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35" w:lineRule="exact"/>
        <w:rPr>
          <w:sz w:val="24"/>
          <w:szCs w:val="24"/>
          <w:color w:val="auto"/>
        </w:rPr>
      </w:pPr>
    </w:p>
    <w:p>
      <w:pPr>
        <w:ind w:left="3920" w:right="1020" w:hanging="2883"/>
        <w:spacing w:after="0" w:line="484" w:lineRule="auto"/>
        <w:tabs>
          <w:tab w:leader="none" w:pos="1418"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29" w:lineRule="exact"/>
        <w:rPr>
          <w:rFonts w:ascii="MS PGothic" w:cs="MS PGothic" w:eastAsia="MS PGothic" w:hAnsi="MS PGothic"/>
          <w:sz w:val="18"/>
          <w:szCs w:val="18"/>
          <w:color w:val="auto"/>
        </w:rPr>
      </w:pPr>
    </w:p>
    <w:p>
      <w:pPr>
        <w:ind w:left="1180" w:hanging="261"/>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9" w:lineRule="exact"/>
        <w:rPr>
          <w:rFonts w:ascii="MS PGothic" w:cs="MS PGothic" w:eastAsia="MS PGothic" w:hAnsi="MS PGothic"/>
          <w:sz w:val="18"/>
          <w:szCs w:val="18"/>
          <w:color w:val="auto"/>
        </w:rPr>
      </w:pPr>
    </w:p>
    <w:p>
      <w:pPr>
        <w:ind w:left="356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transition period from ____________ to __________</w:t>
      </w:r>
    </w:p>
    <w:p>
      <w:pPr>
        <w:spacing w:after="0" w:line="270"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001-37872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51435</wp:posOffset>
            </wp:positionV>
            <wp:extent cx="2537460" cy="11747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37460" cy="1174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Priority Technology Holdings, Inc.</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40"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3420" w:type="dxa"/>
            <w:vAlign w:val="bottom"/>
            <w:tcBorders>
              <w:bottom w:val="single" w:sz="8" w:color="auto"/>
            </w:tcBorders>
          </w:tcPr>
          <w:p>
            <w:pPr>
              <w:jc w:val="center"/>
              <w:ind w:left="1134"/>
              <w:spacing w:after="0"/>
              <w:rPr>
                <w:sz w:val="20"/>
                <w:szCs w:val="20"/>
                <w:color w:val="auto"/>
              </w:rPr>
            </w:pPr>
            <w:r>
              <w:rPr>
                <w:rFonts w:ascii="Arial" w:cs="Arial" w:eastAsia="Arial" w:hAnsi="Arial"/>
                <w:sz w:val="18"/>
                <w:szCs w:val="18"/>
                <w:b w:val="1"/>
                <w:bCs w:val="1"/>
                <w:color w:val="auto"/>
                <w:w w:val="91"/>
              </w:rPr>
              <w:t>Delaware</w:t>
            </w: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tcBorders>
              <w:bottom w:val="single" w:sz="8" w:color="auto"/>
            </w:tcBorders>
          </w:tcPr>
          <w:p>
            <w:pPr>
              <w:jc w:val="right"/>
              <w:ind w:right="1055"/>
              <w:spacing w:after="0"/>
              <w:rPr>
                <w:sz w:val="20"/>
                <w:szCs w:val="20"/>
                <w:color w:val="auto"/>
              </w:rPr>
            </w:pPr>
            <w:r>
              <w:rPr>
                <w:rFonts w:ascii="Arial" w:cs="Arial" w:eastAsia="Arial" w:hAnsi="Arial"/>
                <w:sz w:val="18"/>
                <w:szCs w:val="18"/>
                <w:b w:val="1"/>
                <w:bCs w:val="1"/>
                <w:color w:val="auto"/>
              </w:rPr>
              <w:t>47-4257046</w:t>
            </w:r>
          </w:p>
        </w:tc>
      </w:tr>
      <w:tr>
        <w:trPr>
          <w:trHeight w:val="200"/>
        </w:trPr>
        <w:tc>
          <w:tcPr>
            <w:tcW w:w="3420" w:type="dxa"/>
            <w:vAlign w:val="bottom"/>
          </w:tcPr>
          <w:p>
            <w:pPr>
              <w:jc w:val="center"/>
              <w:ind w:left="1134"/>
              <w:spacing w:after="0"/>
              <w:rPr>
                <w:sz w:val="20"/>
                <w:szCs w:val="20"/>
                <w:color w:val="auto"/>
              </w:rPr>
            </w:pPr>
            <w:r>
              <w:rPr>
                <w:rFonts w:ascii="Arial" w:cs="Arial" w:eastAsia="Arial" w:hAnsi="Arial"/>
                <w:sz w:val="16"/>
                <w:szCs w:val="16"/>
                <w:color w:val="auto"/>
                <w:w w:val="93"/>
              </w:rPr>
              <w:t>(State or other jurisdiction of</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Pr>
          <w:p>
            <w:pPr>
              <w:jc w:val="center"/>
              <w:spacing w:after="0"/>
              <w:rPr>
                <w:sz w:val="20"/>
                <w:szCs w:val="20"/>
                <w:color w:val="auto"/>
              </w:rPr>
            </w:pPr>
            <w:r>
              <w:rPr>
                <w:rFonts w:ascii="Arial" w:cs="Arial" w:eastAsia="Arial" w:hAnsi="Arial"/>
                <w:sz w:val="16"/>
                <w:szCs w:val="16"/>
                <w:color w:val="auto"/>
                <w:w w:val="95"/>
              </w:rPr>
              <w:t>(I.R.S. Employer</w:t>
            </w:r>
          </w:p>
        </w:tc>
      </w:tr>
      <w:tr>
        <w:trPr>
          <w:trHeight w:val="206"/>
        </w:trPr>
        <w:tc>
          <w:tcPr>
            <w:tcW w:w="3420" w:type="dxa"/>
            <w:vAlign w:val="bottom"/>
          </w:tcPr>
          <w:p>
            <w:pPr>
              <w:jc w:val="center"/>
              <w:ind w:left="1134"/>
              <w:spacing w:after="0"/>
              <w:rPr>
                <w:sz w:val="20"/>
                <w:szCs w:val="20"/>
                <w:color w:val="auto"/>
              </w:rPr>
            </w:pPr>
            <w:r>
              <w:rPr>
                <w:rFonts w:ascii="Arial" w:cs="Arial" w:eastAsia="Arial" w:hAnsi="Arial"/>
                <w:sz w:val="16"/>
                <w:szCs w:val="16"/>
                <w:color w:val="auto"/>
                <w:w w:val="94"/>
              </w:rPr>
              <w:t>incorporation or organization)</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r>
        <w:trPr>
          <w:trHeight w:val="465"/>
        </w:trPr>
        <w:tc>
          <w:tcPr>
            <w:tcW w:w="3420" w:type="dxa"/>
            <w:vAlign w:val="bottom"/>
          </w:tcPr>
          <w:p>
            <w:pPr>
              <w:jc w:val="center"/>
              <w:ind w:left="1114"/>
              <w:spacing w:after="0"/>
              <w:rPr>
                <w:sz w:val="20"/>
                <w:szCs w:val="20"/>
                <w:color w:val="auto"/>
              </w:rPr>
            </w:pPr>
            <w:r>
              <w:rPr>
                <w:rFonts w:ascii="Arial" w:cs="Arial" w:eastAsia="Arial" w:hAnsi="Arial"/>
                <w:sz w:val="18"/>
                <w:szCs w:val="18"/>
                <w:b w:val="1"/>
                <w:bCs w:val="1"/>
                <w:color w:val="auto"/>
                <w:w w:val="90"/>
              </w:rPr>
              <w:t>2001 Westside Parkway</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56"/>
        </w:trPr>
        <w:tc>
          <w:tcPr>
            <w:tcW w:w="3420" w:type="dxa"/>
            <w:vAlign w:val="bottom"/>
          </w:tcPr>
          <w:p>
            <w:pPr>
              <w:jc w:val="center"/>
              <w:ind w:left="1114"/>
              <w:spacing w:after="0"/>
              <w:rPr>
                <w:sz w:val="20"/>
                <w:szCs w:val="20"/>
                <w:color w:val="auto"/>
              </w:rPr>
            </w:pPr>
            <w:r>
              <w:rPr>
                <w:rFonts w:ascii="Arial" w:cs="Arial" w:eastAsia="Arial" w:hAnsi="Arial"/>
                <w:sz w:val="18"/>
                <w:szCs w:val="18"/>
                <w:b w:val="1"/>
                <w:bCs w:val="1"/>
                <w:color w:val="auto"/>
                <w:w w:val="88"/>
              </w:rPr>
              <w:t>Suite 155</w:t>
            </w: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60" w:type="dxa"/>
            <w:vAlign w:val="bottom"/>
          </w:tcPr>
          <w:p>
            <w:pPr>
              <w:spacing w:after="0"/>
              <w:rPr>
                <w:sz w:val="22"/>
                <w:szCs w:val="22"/>
                <w:color w:val="auto"/>
              </w:rPr>
            </w:pPr>
          </w:p>
        </w:tc>
      </w:tr>
      <w:tr>
        <w:trPr>
          <w:trHeight w:val="257"/>
        </w:trPr>
        <w:tc>
          <w:tcPr>
            <w:tcW w:w="3420" w:type="dxa"/>
            <w:vAlign w:val="bottom"/>
          </w:tcPr>
          <w:p>
            <w:pPr>
              <w:jc w:val="center"/>
              <w:ind w:right="254"/>
              <w:spacing w:after="0"/>
              <w:rPr>
                <w:sz w:val="20"/>
                <w:szCs w:val="20"/>
                <w:color w:val="auto"/>
              </w:rPr>
            </w:pPr>
            <w:r>
              <w:rPr>
                <w:rFonts w:ascii="Arial" w:cs="Arial" w:eastAsia="Arial" w:hAnsi="Arial"/>
                <w:sz w:val="18"/>
                <w:szCs w:val="18"/>
                <w:b w:val="1"/>
                <w:bCs w:val="1"/>
                <w:color w:val="auto"/>
                <w:w w:val="93"/>
              </w:rPr>
              <w:t>Alpharetta,</w:t>
            </w: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Georgia</w:t>
            </w:r>
          </w:p>
        </w:tc>
        <w:tc>
          <w:tcPr>
            <w:tcW w:w="3160" w:type="dxa"/>
            <w:vAlign w:val="bottom"/>
          </w:tcPr>
          <w:p>
            <w:pPr>
              <w:jc w:val="right"/>
              <w:ind w:right="1275"/>
              <w:spacing w:after="0"/>
              <w:rPr>
                <w:sz w:val="20"/>
                <w:szCs w:val="20"/>
                <w:color w:val="auto"/>
              </w:rPr>
            </w:pPr>
            <w:r>
              <w:rPr>
                <w:rFonts w:ascii="Arial" w:cs="Arial" w:eastAsia="Arial" w:hAnsi="Arial"/>
                <w:sz w:val="18"/>
                <w:szCs w:val="18"/>
                <w:b w:val="1"/>
                <w:bCs w:val="1"/>
                <w:color w:val="auto"/>
              </w:rPr>
              <w:t>30004</w:t>
            </w:r>
          </w:p>
        </w:tc>
      </w:tr>
      <w:tr>
        <w:trPr>
          <w:trHeight w:val="244"/>
        </w:trPr>
        <w:tc>
          <w:tcPr>
            <w:tcW w:w="3420" w:type="dxa"/>
            <w:vAlign w:val="bottom"/>
            <w:tcBorders>
              <w:top w:val="single" w:sz="8" w:color="auto"/>
            </w:tcBorders>
          </w:tcPr>
          <w:p>
            <w:pPr>
              <w:jc w:val="center"/>
              <w:ind w:right="234"/>
              <w:spacing w:after="0"/>
              <w:rPr>
                <w:sz w:val="20"/>
                <w:szCs w:val="20"/>
                <w:color w:val="auto"/>
              </w:rPr>
            </w:pPr>
            <w:r>
              <w:rPr>
                <w:rFonts w:ascii="Arial" w:cs="Arial" w:eastAsia="Arial" w:hAnsi="Arial"/>
                <w:sz w:val="16"/>
                <w:szCs w:val="16"/>
                <w:color w:val="auto"/>
                <w:w w:val="94"/>
              </w:rPr>
              <w:t>(Address of principal executive offices)</w:t>
            </w: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1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(Zip Code)</w:t>
            </w:r>
          </w:p>
        </w:tc>
      </w:tr>
    </w:tbl>
    <w:p>
      <w:pPr>
        <w:spacing w:after="0" w:line="3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7" w:lineRule="exact"/>
        <w:rPr>
          <w:sz w:val="24"/>
          <w:szCs w:val="24"/>
          <w:color w:val="auto"/>
        </w:rPr>
      </w:pPr>
    </w:p>
    <w:tbl>
      <w:tblPr>
        <w:tblLayout w:type="fixed"/>
        <w:tblInd w:w="880" w:type="dxa"/>
        <w:tblCellMar>
          <w:top w:w="0" w:type="dxa"/>
          <w:left w:w="0" w:type="dxa"/>
          <w:bottom w:w="0" w:type="dxa"/>
          <w:right w:w="0" w:type="dxa"/>
        </w:tblCellMar>
      </w:tblPr>
      <w:tr>
        <w:trPr>
          <w:trHeight w:val="234"/>
        </w:trPr>
        <w:tc>
          <w:tcPr>
            <w:tcW w:w="3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100" w:type="dxa"/>
            <w:vAlign w:val="bottom"/>
          </w:tcPr>
          <w:p>
            <w:pPr>
              <w:spacing w:after="0"/>
              <w:rPr>
                <w:sz w:val="19"/>
                <w:szCs w:val="19"/>
                <w:color w:val="auto"/>
              </w:rPr>
            </w:pPr>
          </w:p>
        </w:tc>
        <w:tc>
          <w:tcPr>
            <w:tcW w:w="19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PRTH</w:t>
            </w:r>
          </w:p>
        </w:tc>
        <w:tc>
          <w:tcPr>
            <w:tcW w:w="100" w:type="dxa"/>
            <w:vAlign w:val="bottom"/>
          </w:tcPr>
          <w:p>
            <w:pPr>
              <w:spacing w:after="0"/>
              <w:rPr>
                <w:sz w:val="19"/>
                <w:szCs w:val="19"/>
                <w:color w:val="auto"/>
              </w:rPr>
            </w:pPr>
          </w:p>
        </w:tc>
        <w:tc>
          <w:tcPr>
            <w:tcW w:w="3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2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1100" w:val="left"/>
        </w:tabs>
        <w:rPr>
          <w:sz w:val="20"/>
          <w:szCs w:val="20"/>
          <w:color w:val="auto"/>
        </w:rPr>
      </w:pPr>
      <w:r>
        <w:rPr>
          <w:rFonts w:ascii="Arial" w:cs="Arial" w:eastAsia="Arial" w:hAnsi="Arial"/>
          <w:sz w:val="16"/>
          <w:szCs w:val="16"/>
          <w:color w:val="auto"/>
        </w:rPr>
        <w:t xml:space="preserve">days.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13"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81" w:lineRule="exact"/>
        <w:rPr>
          <w:sz w:val="24"/>
          <w:szCs w:val="24"/>
          <w:color w:val="auto"/>
        </w:rPr>
      </w:pPr>
    </w:p>
    <w:p>
      <w:pPr>
        <w:jc w:val="both"/>
        <w:ind w:right="200" w:firstLine="4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7"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62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06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880" w:type="dxa"/>
            <w:vAlign w:val="bottom"/>
          </w:tcPr>
          <w:p>
            <w:pPr>
              <w:spacing w:after="0"/>
              <w:rPr>
                <w:sz w:val="20"/>
                <w:szCs w:val="20"/>
                <w:color w:val="auto"/>
              </w:rPr>
            </w:pPr>
            <w:r>
              <w:rPr>
                <w:rFonts w:ascii="Arial" w:cs="Arial" w:eastAsia="Arial" w:hAnsi="Arial"/>
                <w:sz w:val="16"/>
                <w:szCs w:val="16"/>
                <w:color w:val="auto"/>
              </w:rPr>
              <w:t>Non-accelerated filer</w:t>
            </w:r>
          </w:p>
        </w:tc>
        <w:tc>
          <w:tcPr>
            <w:tcW w:w="162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060"/>
              <w:spacing w:after="0"/>
              <w:rPr>
                <w:sz w:val="20"/>
                <w:szCs w:val="20"/>
                <w:color w:val="auto"/>
              </w:rPr>
            </w:pPr>
            <w:r>
              <w:rPr>
                <w:rFonts w:ascii="Arial" w:cs="Arial" w:eastAsia="Arial" w:hAnsi="Arial"/>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080" w:type="dxa"/>
            <w:vAlign w:val="bottom"/>
          </w:tcPr>
          <w:p>
            <w:pPr>
              <w:ind w:left="1060"/>
              <w:spacing w:after="0"/>
              <w:rPr>
                <w:sz w:val="20"/>
                <w:szCs w:val="20"/>
                <w:color w:val="auto"/>
              </w:rPr>
            </w:pPr>
            <w:r>
              <w:rPr>
                <w:rFonts w:ascii="Arial" w:cs="Arial" w:eastAsia="Arial" w:hAnsi="Arial"/>
                <w:sz w:val="16"/>
                <w:szCs w:val="16"/>
                <w:color w:val="auto"/>
              </w:rPr>
              <w:t>Emerging growth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89"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240"/>
          </w:cols>
          <w:pgMar w:left="320" w:top="1102" w:right="339" w:bottom="0" w:gutter="0" w:footer="0" w:header="0"/>
        </w:sectPr>
      </w:pPr>
    </w:p>
    <w:bookmarkStart w:id="1" w:name="page2"/>
    <w:bookmarkEnd w:id="1"/>
    <w:p>
      <w:pPr>
        <w:ind w:right="22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51" w:lineRule="exact"/>
        <w:rPr>
          <w:sz w:val="20"/>
          <w:szCs w:val="20"/>
          <w:color w:val="auto"/>
        </w:rPr>
      </w:pPr>
    </w:p>
    <w:p>
      <w:pPr>
        <w:spacing w:after="0" w:line="184" w:lineRule="exact"/>
        <w:tabs>
          <w:tab w:leader="none" w:pos="804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1" w:lineRule="exact"/>
        <w:rPr>
          <w:sz w:val="20"/>
          <w:szCs w:val="20"/>
          <w:color w:val="auto"/>
        </w:rPr>
      </w:pPr>
    </w:p>
    <w:p>
      <w:pPr>
        <w:ind w:right="60"/>
        <w:spacing w:after="0" w:line="349" w:lineRule="auto"/>
        <w:rPr>
          <w:sz w:val="20"/>
          <w:szCs w:val="20"/>
          <w:color w:val="auto"/>
        </w:rPr>
      </w:pPr>
      <w:r>
        <w:rPr>
          <w:rFonts w:ascii="Arial" w:cs="Arial" w:eastAsia="Arial" w:hAnsi="Arial"/>
          <w:sz w:val="14"/>
          <w:szCs w:val="14"/>
          <w:color w:val="auto"/>
        </w:rPr>
        <w:t>As of June 30, 2021, the last business day of the registrant's most recently completed second fiscal quarter, the aggregate market value of the registrant's common stock held by non-affiliates of the registrant was approximately $74.0 million (based upon the closing sale price of the common stock on that date on The Nasdaq Capital Market).</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As of March 10, 2022, 77,561,210 shares of common stock, par value $0.001 per share, were issued and 76,840,794 shares were outstanding.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DOCUMENTS INCORPORATED BY REFERENCE</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Portions of the definitive proxy statement to be filed with the Securities and Exchange Commission pursuant to Regulation 14A relating to the Annual Meeting of shareholders of Priority Technology Holdings, Inc., scheduled to be held on May 25, 2022, will be incorporated by reference in Part III of this Form 10-K. Priority Technology Holdings, Inc. intends to file such proxy statement with the Securities and Exchange Commission no later than 120 days after its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746760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580" w:type="dxa"/>
            <w:vAlign w:val="bottom"/>
          </w:tcPr>
          <w:p>
            <w:pPr>
              <w:ind w:left="3300"/>
              <w:spacing w:after="0"/>
              <w:rPr>
                <w:sz w:val="20"/>
                <w:szCs w:val="20"/>
                <w:color w:val="auto"/>
              </w:rPr>
            </w:pPr>
            <w:r>
              <w:rPr>
                <w:rFonts w:ascii="Arial" w:cs="Arial" w:eastAsia="Arial" w:hAnsi="Arial"/>
                <w:sz w:val="18"/>
                <w:szCs w:val="18"/>
                <w:b w:val="1"/>
                <w:bCs w:val="1"/>
                <w:color w:val="auto"/>
              </w:rPr>
              <w:t>Table of Contents</w:t>
            </w:r>
          </w:p>
        </w:tc>
        <w:tc>
          <w:tcPr>
            <w:tcW w:w="960" w:type="dxa"/>
            <w:vAlign w:val="bottom"/>
          </w:tcPr>
          <w:p>
            <w:pPr>
              <w:spacing w:after="0"/>
              <w:rPr>
                <w:sz w:val="20"/>
                <w:szCs w:val="20"/>
                <w:color w:val="auto"/>
              </w:rPr>
            </w:pPr>
          </w:p>
        </w:tc>
      </w:tr>
      <w:tr>
        <w:trPr>
          <w:trHeight w:val="566"/>
        </w:trPr>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Page</w:t>
            </w:r>
          </w:p>
        </w:tc>
      </w:tr>
      <w:tr>
        <w:trPr>
          <w:trHeight w:val="230"/>
        </w:trPr>
        <w:tc>
          <w:tcPr>
            <w:tcW w:w="10280" w:type="dxa"/>
            <w:vAlign w:val="bottom"/>
            <w:gridSpan w:val="3"/>
          </w:tcPr>
          <w:p>
            <w:pPr>
              <w:ind w:left="20"/>
              <w:spacing w:after="0"/>
              <w:rPr>
                <w:rFonts w:ascii="Arial" w:cs="Arial" w:eastAsia="Arial" w:hAnsi="Arial"/>
                <w:sz w:val="18"/>
                <w:szCs w:val="18"/>
                <w:color w:val="3051F2"/>
              </w:rPr>
            </w:pPr>
            <w:hyperlink w:anchor="page3">
              <w:r>
                <w:rPr>
                  <w:rFonts w:ascii="Arial" w:cs="Arial" w:eastAsia="Arial" w:hAnsi="Arial"/>
                  <w:sz w:val="18"/>
                  <w:szCs w:val="18"/>
                  <w:color w:val="3051F2"/>
                </w:rPr>
                <w:t>Cautionary Note Regarding Forward-Looking Statements and Terms Used in the Annual Report on Form 10-K</w:t>
              </w:r>
            </w:hyperlink>
          </w:p>
        </w:tc>
        <w:tc>
          <w:tcPr>
            <w:tcW w:w="960" w:type="dxa"/>
            <w:vAlign w:val="bottom"/>
          </w:tcPr>
          <w:p>
            <w:pPr>
              <w:jc w:val="right"/>
              <w:spacing w:after="0"/>
              <w:rPr>
                <w:rFonts w:ascii="Arial" w:cs="Arial" w:eastAsia="Arial" w:hAnsi="Arial"/>
                <w:sz w:val="18"/>
                <w:szCs w:val="18"/>
                <w:color w:val="3051F2"/>
              </w:rPr>
            </w:pPr>
            <w:hyperlink w:anchor="page3">
              <w:r>
                <w:rPr>
                  <w:rFonts w:ascii="Arial" w:cs="Arial" w:eastAsia="Arial" w:hAnsi="Arial"/>
                  <w:sz w:val="18"/>
                  <w:szCs w:val="18"/>
                  <w:color w:val="3051F2"/>
                </w:rPr>
                <w:t>1</w:t>
              </w:r>
            </w:hyperlink>
          </w:p>
        </w:tc>
      </w:tr>
      <w:tr>
        <w:trPr>
          <w:trHeight w:val="229"/>
        </w:trPr>
        <w:tc>
          <w:tcPr>
            <w:tcW w:w="840" w:type="dxa"/>
            <w:vAlign w:val="bottom"/>
          </w:tcPr>
          <w:p>
            <w:pPr>
              <w:ind w:left="20"/>
              <w:spacing w:after="0"/>
              <w:rPr>
                <w:rFonts w:ascii="Arial" w:cs="Arial" w:eastAsia="Arial" w:hAnsi="Arial"/>
                <w:sz w:val="18"/>
                <w:szCs w:val="18"/>
                <w:color w:val="3051F2"/>
              </w:rPr>
            </w:pPr>
            <w:hyperlink w:anchor="page3">
              <w:r>
                <w:rPr>
                  <w:rFonts w:ascii="Arial" w:cs="Arial" w:eastAsia="Arial" w:hAnsi="Arial"/>
                  <w:sz w:val="18"/>
                  <w:szCs w:val="18"/>
                  <w:color w:val="3051F2"/>
                </w:rPr>
                <w:t>Part I.</w:t>
              </w:r>
            </w:hyperlink>
          </w:p>
        </w:tc>
        <w:tc>
          <w:tcPr>
            <w:tcW w:w="860" w:type="dxa"/>
            <w:vAlign w:val="bottom"/>
          </w:tcPr>
          <w:p>
            <w:pPr>
              <w:ind w:left="60"/>
              <w:spacing w:after="0"/>
              <w:rPr>
                <w:rFonts w:ascii="Arial" w:cs="Arial" w:eastAsia="Arial" w:hAnsi="Arial"/>
                <w:sz w:val="18"/>
                <w:szCs w:val="18"/>
                <w:color w:val="3051F2"/>
              </w:rPr>
            </w:pPr>
            <w:hyperlink w:anchor="page6">
              <w:r>
                <w:rPr>
                  <w:rFonts w:ascii="Arial" w:cs="Arial" w:eastAsia="Arial" w:hAnsi="Arial"/>
                  <w:sz w:val="18"/>
                  <w:szCs w:val="18"/>
                  <w:color w:val="3051F2"/>
                </w:rPr>
                <w:t>Item 1.</w:t>
              </w:r>
            </w:hyperlink>
          </w:p>
        </w:tc>
        <w:tc>
          <w:tcPr>
            <w:tcW w:w="8580" w:type="dxa"/>
            <w:vAlign w:val="bottom"/>
          </w:tcPr>
          <w:p>
            <w:pPr>
              <w:ind w:left="180"/>
              <w:spacing w:after="0"/>
              <w:rPr>
                <w:rFonts w:ascii="Arial" w:cs="Arial" w:eastAsia="Arial" w:hAnsi="Arial"/>
                <w:sz w:val="18"/>
                <w:szCs w:val="18"/>
                <w:color w:val="3051F2"/>
              </w:rPr>
            </w:pPr>
            <w:hyperlink w:anchor="page6">
              <w:r>
                <w:rPr>
                  <w:rFonts w:ascii="Arial" w:cs="Arial" w:eastAsia="Arial" w:hAnsi="Arial"/>
                  <w:sz w:val="18"/>
                  <w:szCs w:val="18"/>
                  <w:color w:val="3051F2"/>
                </w:rPr>
                <w:t>Business</w:t>
              </w:r>
            </w:hyperlink>
          </w:p>
        </w:tc>
        <w:tc>
          <w:tcPr>
            <w:tcW w:w="960" w:type="dxa"/>
            <w:vAlign w:val="bottom"/>
          </w:tcPr>
          <w:p>
            <w:pPr>
              <w:jc w:val="right"/>
              <w:spacing w:after="0"/>
              <w:rPr>
                <w:rFonts w:ascii="Arial" w:cs="Arial" w:eastAsia="Arial" w:hAnsi="Arial"/>
                <w:sz w:val="18"/>
                <w:szCs w:val="18"/>
                <w:color w:val="3051F2"/>
              </w:rPr>
            </w:pPr>
            <w:hyperlink w:anchor="page6">
              <w:r>
                <w:rPr>
                  <w:rFonts w:ascii="Arial" w:cs="Arial" w:eastAsia="Arial" w:hAnsi="Arial"/>
                  <w:sz w:val="18"/>
                  <w:szCs w:val="18"/>
                  <w:color w:val="3051F2"/>
                </w:rPr>
                <w:t>3</w:t>
              </w:r>
            </w:hyperlink>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rFonts w:ascii="Arial" w:cs="Arial" w:eastAsia="Arial" w:hAnsi="Arial"/>
                <w:sz w:val="18"/>
                <w:szCs w:val="18"/>
                <w:color w:val="3051F2"/>
              </w:rPr>
            </w:pPr>
            <w:hyperlink w:anchor="page16">
              <w:r>
                <w:rPr>
                  <w:rFonts w:ascii="Arial" w:cs="Arial" w:eastAsia="Arial" w:hAnsi="Arial"/>
                  <w:sz w:val="18"/>
                  <w:szCs w:val="18"/>
                  <w:color w:val="3051F2"/>
                </w:rPr>
                <w:t>Item 1A.</w:t>
              </w:r>
            </w:hyperlink>
          </w:p>
        </w:tc>
        <w:tc>
          <w:tcPr>
            <w:tcW w:w="8580" w:type="dxa"/>
            <w:vAlign w:val="bottom"/>
          </w:tcPr>
          <w:p>
            <w:pPr>
              <w:ind w:left="180"/>
              <w:spacing w:after="0"/>
              <w:rPr>
                <w:rFonts w:ascii="Arial" w:cs="Arial" w:eastAsia="Arial" w:hAnsi="Arial"/>
                <w:sz w:val="18"/>
                <w:szCs w:val="18"/>
                <w:color w:val="3051F2"/>
              </w:rPr>
            </w:pPr>
            <w:hyperlink w:anchor="page16">
              <w:r>
                <w:rPr>
                  <w:rFonts w:ascii="Arial" w:cs="Arial" w:eastAsia="Arial" w:hAnsi="Arial"/>
                  <w:sz w:val="18"/>
                  <w:szCs w:val="18"/>
                  <w:color w:val="3051F2"/>
                </w:rPr>
                <w:t>Risk Factors</w:t>
              </w:r>
            </w:hyperlink>
          </w:p>
        </w:tc>
        <w:tc>
          <w:tcPr>
            <w:tcW w:w="960" w:type="dxa"/>
            <w:vAlign w:val="bottom"/>
          </w:tcPr>
          <w:p>
            <w:pPr>
              <w:jc w:val="right"/>
              <w:spacing w:after="0"/>
              <w:rPr>
                <w:rFonts w:ascii="Arial" w:cs="Arial" w:eastAsia="Arial" w:hAnsi="Arial"/>
                <w:sz w:val="18"/>
                <w:szCs w:val="18"/>
                <w:color w:val="3051F2"/>
              </w:rPr>
            </w:pPr>
            <w:hyperlink w:anchor="page16">
              <w:r>
                <w:rPr>
                  <w:rFonts w:ascii="Arial" w:cs="Arial" w:eastAsia="Arial" w:hAnsi="Arial"/>
                  <w:sz w:val="18"/>
                  <w:szCs w:val="18"/>
                  <w:color w:val="3051F2"/>
                </w:rPr>
                <w:t>14</w:t>
              </w:r>
            </w:hyperlink>
          </w:p>
        </w:tc>
      </w:tr>
      <w:tr>
        <w:trPr>
          <w:trHeight w:val="230"/>
        </w:trPr>
        <w:tc>
          <w:tcPr>
            <w:tcW w:w="840" w:type="dxa"/>
            <w:vAlign w:val="bottom"/>
          </w:tcPr>
          <w:p>
            <w:pPr>
              <w:spacing w:after="0"/>
              <w:rPr>
                <w:sz w:val="19"/>
                <w:szCs w:val="19"/>
                <w:color w:val="auto"/>
              </w:rPr>
            </w:pPr>
          </w:p>
        </w:tc>
        <w:tc>
          <w:tcPr>
            <w:tcW w:w="860" w:type="dxa"/>
            <w:vAlign w:val="bottom"/>
          </w:tcPr>
          <w:p>
            <w:pPr>
              <w:ind w:left="60"/>
              <w:spacing w:after="0"/>
              <w:rPr>
                <w:rFonts w:ascii="Arial" w:cs="Arial" w:eastAsia="Arial" w:hAnsi="Arial"/>
                <w:sz w:val="18"/>
                <w:szCs w:val="18"/>
                <w:color w:val="3051F2"/>
              </w:rPr>
            </w:pPr>
            <w:hyperlink w:anchor="page27">
              <w:r>
                <w:rPr>
                  <w:rFonts w:ascii="Arial" w:cs="Arial" w:eastAsia="Arial" w:hAnsi="Arial"/>
                  <w:sz w:val="18"/>
                  <w:szCs w:val="18"/>
                  <w:color w:val="3051F2"/>
                </w:rPr>
                <w:t>Item 1B.</w:t>
              </w:r>
            </w:hyperlink>
          </w:p>
        </w:tc>
        <w:tc>
          <w:tcPr>
            <w:tcW w:w="8580" w:type="dxa"/>
            <w:vAlign w:val="bottom"/>
          </w:tcPr>
          <w:p>
            <w:pPr>
              <w:ind w:left="180"/>
              <w:spacing w:after="0"/>
              <w:rPr>
                <w:rFonts w:ascii="Arial" w:cs="Arial" w:eastAsia="Arial" w:hAnsi="Arial"/>
                <w:sz w:val="18"/>
                <w:szCs w:val="18"/>
                <w:color w:val="3051F2"/>
              </w:rPr>
            </w:pPr>
            <w:hyperlink w:anchor="page27">
              <w:r>
                <w:rPr>
                  <w:rFonts w:ascii="Arial" w:cs="Arial" w:eastAsia="Arial" w:hAnsi="Arial"/>
                  <w:sz w:val="18"/>
                  <w:szCs w:val="18"/>
                  <w:color w:val="3051F2"/>
                </w:rPr>
                <w:t>Unresolved Staff Comments</w:t>
              </w:r>
            </w:hyperlink>
          </w:p>
        </w:tc>
        <w:tc>
          <w:tcPr>
            <w:tcW w:w="960" w:type="dxa"/>
            <w:vAlign w:val="bottom"/>
          </w:tcPr>
          <w:p>
            <w:pPr>
              <w:jc w:val="right"/>
              <w:spacing w:after="0"/>
              <w:rPr>
                <w:rFonts w:ascii="Arial" w:cs="Arial" w:eastAsia="Arial" w:hAnsi="Arial"/>
                <w:sz w:val="18"/>
                <w:szCs w:val="18"/>
                <w:color w:val="3051F2"/>
              </w:rPr>
            </w:pPr>
            <w:hyperlink w:anchor="page27">
              <w:r>
                <w:rPr>
                  <w:rFonts w:ascii="Arial" w:cs="Arial" w:eastAsia="Arial" w:hAnsi="Arial"/>
                  <w:sz w:val="18"/>
                  <w:szCs w:val="18"/>
                  <w:color w:val="3051F2"/>
                </w:rPr>
                <w:t>25</w:t>
              </w:r>
            </w:hyperlink>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rFonts w:ascii="Arial" w:cs="Arial" w:eastAsia="Arial" w:hAnsi="Arial"/>
                <w:sz w:val="18"/>
                <w:szCs w:val="18"/>
                <w:color w:val="3051F2"/>
              </w:rPr>
            </w:pPr>
            <w:hyperlink w:anchor="page28">
              <w:r>
                <w:rPr>
                  <w:rFonts w:ascii="Arial" w:cs="Arial" w:eastAsia="Arial" w:hAnsi="Arial"/>
                  <w:sz w:val="18"/>
                  <w:szCs w:val="18"/>
                  <w:color w:val="3051F2"/>
                </w:rPr>
                <w:t>Item 2.</w:t>
              </w:r>
            </w:hyperlink>
          </w:p>
        </w:tc>
        <w:tc>
          <w:tcPr>
            <w:tcW w:w="8580" w:type="dxa"/>
            <w:vAlign w:val="bottom"/>
          </w:tcPr>
          <w:p>
            <w:pPr>
              <w:ind w:left="180"/>
              <w:spacing w:after="0"/>
              <w:rPr>
                <w:rFonts w:ascii="Arial" w:cs="Arial" w:eastAsia="Arial" w:hAnsi="Arial"/>
                <w:sz w:val="18"/>
                <w:szCs w:val="18"/>
                <w:color w:val="3051F2"/>
              </w:rPr>
            </w:pPr>
            <w:hyperlink w:anchor="page28">
              <w:r>
                <w:rPr>
                  <w:rFonts w:ascii="Arial" w:cs="Arial" w:eastAsia="Arial" w:hAnsi="Arial"/>
                  <w:sz w:val="18"/>
                  <w:szCs w:val="18"/>
                  <w:color w:val="3051F2"/>
                </w:rPr>
                <w:t>Properties</w:t>
              </w:r>
            </w:hyperlink>
          </w:p>
        </w:tc>
        <w:tc>
          <w:tcPr>
            <w:tcW w:w="960" w:type="dxa"/>
            <w:vAlign w:val="bottom"/>
          </w:tcPr>
          <w:p>
            <w:pPr>
              <w:jc w:val="right"/>
              <w:spacing w:after="0"/>
              <w:rPr>
                <w:rFonts w:ascii="Arial" w:cs="Arial" w:eastAsia="Arial" w:hAnsi="Arial"/>
                <w:sz w:val="18"/>
                <w:szCs w:val="18"/>
                <w:color w:val="3051F2"/>
              </w:rPr>
            </w:pPr>
            <w:hyperlink w:anchor="page28">
              <w:r>
                <w:rPr>
                  <w:rFonts w:ascii="Arial" w:cs="Arial" w:eastAsia="Arial" w:hAnsi="Arial"/>
                  <w:sz w:val="18"/>
                  <w:szCs w:val="18"/>
                  <w:color w:val="3051F2"/>
                </w:rPr>
                <w:t>25</w:t>
              </w:r>
            </w:hyperlink>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rFonts w:ascii="Arial" w:cs="Arial" w:eastAsia="Arial" w:hAnsi="Arial"/>
                <w:sz w:val="18"/>
                <w:szCs w:val="18"/>
                <w:color w:val="3051F2"/>
              </w:rPr>
            </w:pPr>
            <w:hyperlink w:anchor="page28">
              <w:r>
                <w:rPr>
                  <w:rFonts w:ascii="Arial" w:cs="Arial" w:eastAsia="Arial" w:hAnsi="Arial"/>
                  <w:sz w:val="18"/>
                  <w:szCs w:val="18"/>
                  <w:color w:val="3051F2"/>
                </w:rPr>
                <w:t>Item 3.</w:t>
              </w:r>
            </w:hyperlink>
          </w:p>
        </w:tc>
        <w:tc>
          <w:tcPr>
            <w:tcW w:w="8580" w:type="dxa"/>
            <w:vAlign w:val="bottom"/>
          </w:tcPr>
          <w:p>
            <w:pPr>
              <w:ind w:left="180"/>
              <w:spacing w:after="0"/>
              <w:rPr>
                <w:rFonts w:ascii="Arial" w:cs="Arial" w:eastAsia="Arial" w:hAnsi="Arial"/>
                <w:sz w:val="18"/>
                <w:szCs w:val="18"/>
                <w:color w:val="3051F2"/>
              </w:rPr>
            </w:pPr>
            <w:hyperlink w:anchor="page28">
              <w:r>
                <w:rPr>
                  <w:rFonts w:ascii="Arial" w:cs="Arial" w:eastAsia="Arial" w:hAnsi="Arial"/>
                  <w:sz w:val="18"/>
                  <w:szCs w:val="18"/>
                  <w:color w:val="3051F2"/>
                </w:rPr>
                <w:t>Legal Proceedings</w:t>
              </w:r>
            </w:hyperlink>
          </w:p>
        </w:tc>
        <w:tc>
          <w:tcPr>
            <w:tcW w:w="960" w:type="dxa"/>
            <w:vAlign w:val="bottom"/>
          </w:tcPr>
          <w:p>
            <w:pPr>
              <w:jc w:val="right"/>
              <w:spacing w:after="0"/>
              <w:rPr>
                <w:rFonts w:ascii="Arial" w:cs="Arial" w:eastAsia="Arial" w:hAnsi="Arial"/>
                <w:sz w:val="18"/>
                <w:szCs w:val="18"/>
                <w:color w:val="3051F2"/>
              </w:rPr>
            </w:pPr>
            <w:hyperlink w:anchor="page28">
              <w:r>
                <w:rPr>
                  <w:rFonts w:ascii="Arial" w:cs="Arial" w:eastAsia="Arial" w:hAnsi="Arial"/>
                  <w:sz w:val="18"/>
                  <w:szCs w:val="18"/>
                  <w:color w:val="3051F2"/>
                </w:rPr>
                <w:t>25</w:t>
              </w:r>
            </w:hyperlink>
          </w:p>
        </w:tc>
      </w:tr>
      <w:tr>
        <w:trPr>
          <w:trHeight w:val="230"/>
        </w:trPr>
        <w:tc>
          <w:tcPr>
            <w:tcW w:w="840" w:type="dxa"/>
            <w:vAlign w:val="bottom"/>
          </w:tcPr>
          <w:p>
            <w:pPr>
              <w:spacing w:after="0"/>
              <w:rPr>
                <w:sz w:val="19"/>
                <w:szCs w:val="19"/>
                <w:color w:val="auto"/>
              </w:rPr>
            </w:pPr>
          </w:p>
        </w:tc>
        <w:tc>
          <w:tcPr>
            <w:tcW w:w="860" w:type="dxa"/>
            <w:vAlign w:val="bottom"/>
          </w:tcPr>
          <w:p>
            <w:pPr>
              <w:ind w:left="60"/>
              <w:spacing w:after="0"/>
              <w:rPr>
                <w:rFonts w:ascii="Arial" w:cs="Arial" w:eastAsia="Arial" w:hAnsi="Arial"/>
                <w:sz w:val="18"/>
                <w:szCs w:val="18"/>
                <w:color w:val="3051F2"/>
              </w:rPr>
            </w:pPr>
            <w:hyperlink w:anchor="page28">
              <w:r>
                <w:rPr>
                  <w:rFonts w:ascii="Arial" w:cs="Arial" w:eastAsia="Arial" w:hAnsi="Arial"/>
                  <w:sz w:val="18"/>
                  <w:szCs w:val="18"/>
                  <w:color w:val="3051F2"/>
                </w:rPr>
                <w:t>Item 4.</w:t>
              </w:r>
            </w:hyperlink>
          </w:p>
        </w:tc>
        <w:tc>
          <w:tcPr>
            <w:tcW w:w="8580" w:type="dxa"/>
            <w:vAlign w:val="bottom"/>
          </w:tcPr>
          <w:p>
            <w:pPr>
              <w:ind w:left="180"/>
              <w:spacing w:after="0"/>
              <w:rPr>
                <w:rFonts w:ascii="Arial" w:cs="Arial" w:eastAsia="Arial" w:hAnsi="Arial"/>
                <w:sz w:val="18"/>
                <w:szCs w:val="18"/>
                <w:color w:val="3051F2"/>
              </w:rPr>
            </w:pPr>
            <w:hyperlink w:anchor="page28">
              <w:r>
                <w:rPr>
                  <w:rFonts w:ascii="Arial" w:cs="Arial" w:eastAsia="Arial" w:hAnsi="Arial"/>
                  <w:sz w:val="18"/>
                  <w:szCs w:val="18"/>
                  <w:color w:val="3051F2"/>
                </w:rPr>
                <w:t>Mine Safety Disclosures</w:t>
              </w:r>
            </w:hyperlink>
          </w:p>
        </w:tc>
        <w:tc>
          <w:tcPr>
            <w:tcW w:w="960" w:type="dxa"/>
            <w:vAlign w:val="bottom"/>
          </w:tcPr>
          <w:p>
            <w:pPr>
              <w:jc w:val="right"/>
              <w:spacing w:after="0"/>
              <w:rPr>
                <w:rFonts w:ascii="Arial" w:cs="Arial" w:eastAsia="Arial" w:hAnsi="Arial"/>
                <w:sz w:val="18"/>
                <w:szCs w:val="18"/>
                <w:color w:val="3051F2"/>
              </w:rPr>
            </w:pPr>
            <w:hyperlink w:anchor="page28">
              <w:r>
                <w:rPr>
                  <w:rFonts w:ascii="Arial" w:cs="Arial" w:eastAsia="Arial" w:hAnsi="Arial"/>
                  <w:sz w:val="18"/>
                  <w:szCs w:val="18"/>
                  <w:color w:val="3051F2"/>
                </w:rPr>
                <w:t>25</w:t>
              </w:r>
            </w:hyperlink>
          </w:p>
        </w:tc>
      </w:tr>
      <w:tr>
        <w:trPr>
          <w:trHeight w:val="229"/>
        </w:trPr>
        <w:tc>
          <w:tcPr>
            <w:tcW w:w="840" w:type="dxa"/>
            <w:vAlign w:val="bottom"/>
          </w:tcPr>
          <w:p>
            <w:pPr>
              <w:ind w:left="20"/>
              <w:spacing w:after="0"/>
              <w:rPr>
                <w:rFonts w:ascii="Arial" w:cs="Arial" w:eastAsia="Arial" w:hAnsi="Arial"/>
                <w:sz w:val="18"/>
                <w:szCs w:val="18"/>
                <w:color w:val="3051F2"/>
              </w:rPr>
            </w:pPr>
            <w:hyperlink w:anchor="page28">
              <w:r>
                <w:rPr>
                  <w:rFonts w:ascii="Arial" w:cs="Arial" w:eastAsia="Arial" w:hAnsi="Arial"/>
                  <w:sz w:val="18"/>
                  <w:szCs w:val="18"/>
                  <w:color w:val="3051F2"/>
                </w:rPr>
                <w:t>Part II.</w:t>
              </w:r>
            </w:hyperlink>
          </w:p>
        </w:tc>
        <w:tc>
          <w:tcPr>
            <w:tcW w:w="860" w:type="dxa"/>
            <w:vAlign w:val="bottom"/>
          </w:tcPr>
          <w:p>
            <w:pPr>
              <w:ind w:left="60"/>
              <w:spacing w:after="0"/>
              <w:rPr>
                <w:rFonts w:ascii="Arial" w:cs="Arial" w:eastAsia="Arial" w:hAnsi="Arial"/>
                <w:sz w:val="18"/>
                <w:szCs w:val="18"/>
                <w:color w:val="3051F2"/>
              </w:rPr>
            </w:pPr>
            <w:hyperlink w:anchor="page29">
              <w:r>
                <w:rPr>
                  <w:rFonts w:ascii="Arial" w:cs="Arial" w:eastAsia="Arial" w:hAnsi="Arial"/>
                  <w:sz w:val="18"/>
                  <w:szCs w:val="18"/>
                  <w:color w:val="3051F2"/>
                </w:rPr>
                <w:t>Item 5.</w:t>
              </w:r>
            </w:hyperlink>
          </w:p>
        </w:tc>
        <w:tc>
          <w:tcPr>
            <w:tcW w:w="8580" w:type="dxa"/>
            <w:vAlign w:val="bottom"/>
          </w:tcPr>
          <w:p>
            <w:pPr>
              <w:ind w:left="180"/>
              <w:spacing w:after="0"/>
              <w:rPr>
                <w:rFonts w:ascii="Arial" w:cs="Arial" w:eastAsia="Arial" w:hAnsi="Arial"/>
                <w:sz w:val="18"/>
                <w:szCs w:val="18"/>
                <w:color w:val="3051F2"/>
                <w:w w:val="94"/>
              </w:rPr>
            </w:pPr>
            <w:hyperlink w:anchor="page29">
              <w:r>
                <w:rPr>
                  <w:rFonts w:ascii="Arial" w:cs="Arial" w:eastAsia="Arial" w:hAnsi="Arial"/>
                  <w:sz w:val="18"/>
                  <w:szCs w:val="18"/>
                  <w:color w:val="3051F2"/>
                  <w:w w:val="94"/>
                </w:rPr>
                <w:t>Market for Registrant's Common Equity, Related Stockholder Matters and Issuer Purchases of Equity Securities</w:t>
              </w:r>
            </w:hyperlink>
          </w:p>
        </w:tc>
        <w:tc>
          <w:tcPr>
            <w:tcW w:w="960" w:type="dxa"/>
            <w:vAlign w:val="bottom"/>
          </w:tcPr>
          <w:p>
            <w:pPr>
              <w:jc w:val="right"/>
              <w:spacing w:after="0"/>
              <w:rPr>
                <w:rFonts w:ascii="Arial" w:cs="Arial" w:eastAsia="Arial" w:hAnsi="Arial"/>
                <w:sz w:val="18"/>
                <w:szCs w:val="18"/>
                <w:color w:val="3051F2"/>
              </w:rPr>
            </w:pPr>
            <w:hyperlink w:anchor="page29">
              <w:r>
                <w:rPr>
                  <w:rFonts w:ascii="Arial" w:cs="Arial" w:eastAsia="Arial" w:hAnsi="Arial"/>
                  <w:sz w:val="18"/>
                  <w:szCs w:val="18"/>
                  <w:color w:val="3051F2"/>
                </w:rPr>
                <w:t>26</w:t>
              </w:r>
            </w:hyperlink>
          </w:p>
        </w:tc>
      </w:tr>
      <w:tr>
        <w:trPr>
          <w:trHeight w:val="230"/>
        </w:trPr>
        <w:tc>
          <w:tcPr>
            <w:tcW w:w="840" w:type="dxa"/>
            <w:vAlign w:val="bottom"/>
          </w:tcPr>
          <w:p>
            <w:pPr>
              <w:spacing w:after="0"/>
              <w:rPr>
                <w:sz w:val="19"/>
                <w:szCs w:val="19"/>
                <w:color w:val="auto"/>
              </w:rPr>
            </w:pPr>
          </w:p>
        </w:tc>
        <w:tc>
          <w:tcPr>
            <w:tcW w:w="860" w:type="dxa"/>
            <w:vAlign w:val="bottom"/>
          </w:tcPr>
          <w:p>
            <w:pPr>
              <w:ind w:left="60"/>
              <w:spacing w:after="0"/>
              <w:rPr>
                <w:rFonts w:ascii="Arial" w:cs="Arial" w:eastAsia="Arial" w:hAnsi="Arial"/>
                <w:sz w:val="18"/>
                <w:szCs w:val="18"/>
                <w:color w:val="3051F2"/>
              </w:rPr>
            </w:pPr>
            <w:hyperlink w:anchor="page29">
              <w:r>
                <w:rPr>
                  <w:rFonts w:ascii="Arial" w:cs="Arial" w:eastAsia="Arial" w:hAnsi="Arial"/>
                  <w:sz w:val="18"/>
                  <w:szCs w:val="18"/>
                  <w:color w:val="3051F2"/>
                </w:rPr>
                <w:t>Item 6.</w:t>
              </w:r>
            </w:hyperlink>
          </w:p>
        </w:tc>
        <w:tc>
          <w:tcPr>
            <w:tcW w:w="8580" w:type="dxa"/>
            <w:vAlign w:val="bottom"/>
          </w:tcPr>
          <w:p>
            <w:pPr>
              <w:ind w:left="180"/>
              <w:spacing w:after="0"/>
              <w:rPr>
                <w:rFonts w:ascii="Arial" w:cs="Arial" w:eastAsia="Arial" w:hAnsi="Arial"/>
                <w:sz w:val="18"/>
                <w:szCs w:val="18"/>
                <w:color w:val="3051F2"/>
              </w:rPr>
            </w:pPr>
            <w:hyperlink w:anchor="page29">
              <w:r>
                <w:rPr>
                  <w:rFonts w:ascii="Arial" w:cs="Arial" w:eastAsia="Arial" w:hAnsi="Arial"/>
                  <w:sz w:val="18"/>
                  <w:szCs w:val="18"/>
                  <w:color w:val="3051F2"/>
                </w:rPr>
                <w:t>Reserved</w:t>
              </w:r>
            </w:hyperlink>
          </w:p>
        </w:tc>
        <w:tc>
          <w:tcPr>
            <w:tcW w:w="960" w:type="dxa"/>
            <w:vAlign w:val="bottom"/>
          </w:tcPr>
          <w:p>
            <w:pPr>
              <w:jc w:val="right"/>
              <w:spacing w:after="0"/>
              <w:rPr>
                <w:rFonts w:ascii="Arial" w:cs="Arial" w:eastAsia="Arial" w:hAnsi="Arial"/>
                <w:sz w:val="18"/>
                <w:szCs w:val="18"/>
                <w:color w:val="3051F2"/>
              </w:rPr>
            </w:pPr>
            <w:hyperlink w:anchor="page29">
              <w:r>
                <w:rPr>
                  <w:rFonts w:ascii="Arial" w:cs="Arial" w:eastAsia="Arial" w:hAnsi="Arial"/>
                  <w:sz w:val="18"/>
                  <w:szCs w:val="18"/>
                  <w:color w:val="3051F2"/>
                </w:rPr>
                <w:t>26</w:t>
              </w:r>
            </w:hyperlink>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rFonts w:ascii="Arial" w:cs="Arial" w:eastAsia="Arial" w:hAnsi="Arial"/>
                <w:sz w:val="18"/>
                <w:szCs w:val="18"/>
                <w:color w:val="3051F2"/>
              </w:rPr>
            </w:pPr>
            <w:hyperlink w:anchor="page29">
              <w:r>
                <w:rPr>
                  <w:rFonts w:ascii="Arial" w:cs="Arial" w:eastAsia="Arial" w:hAnsi="Arial"/>
                  <w:sz w:val="18"/>
                  <w:szCs w:val="18"/>
                  <w:color w:val="3051F2"/>
                </w:rPr>
                <w:t>Item 7.</w:t>
              </w:r>
            </w:hyperlink>
          </w:p>
        </w:tc>
        <w:tc>
          <w:tcPr>
            <w:tcW w:w="8580" w:type="dxa"/>
            <w:vAlign w:val="bottom"/>
          </w:tcPr>
          <w:p>
            <w:pPr>
              <w:ind w:left="180"/>
              <w:spacing w:after="0"/>
              <w:rPr>
                <w:rFonts w:ascii="Arial" w:cs="Arial" w:eastAsia="Arial" w:hAnsi="Arial"/>
                <w:sz w:val="18"/>
                <w:szCs w:val="18"/>
                <w:color w:val="3051F2"/>
              </w:rPr>
            </w:pPr>
            <w:hyperlink w:anchor="page29">
              <w:r>
                <w:rPr>
                  <w:rFonts w:ascii="Arial" w:cs="Arial" w:eastAsia="Arial" w:hAnsi="Arial"/>
                  <w:sz w:val="18"/>
                  <w:szCs w:val="18"/>
                  <w:color w:val="3051F2"/>
                </w:rPr>
                <w:t>Management's Discussion and Analysis of Financial Condition and Results of Operations</w:t>
              </w:r>
            </w:hyperlink>
          </w:p>
        </w:tc>
        <w:tc>
          <w:tcPr>
            <w:tcW w:w="960" w:type="dxa"/>
            <w:vAlign w:val="bottom"/>
          </w:tcPr>
          <w:p>
            <w:pPr>
              <w:jc w:val="right"/>
              <w:spacing w:after="0"/>
              <w:rPr>
                <w:rFonts w:ascii="Arial" w:cs="Arial" w:eastAsia="Arial" w:hAnsi="Arial"/>
                <w:sz w:val="18"/>
                <w:szCs w:val="18"/>
                <w:color w:val="3051F2"/>
              </w:rPr>
            </w:pPr>
            <w:hyperlink w:anchor="page29">
              <w:r>
                <w:rPr>
                  <w:rFonts w:ascii="Arial" w:cs="Arial" w:eastAsia="Arial" w:hAnsi="Arial"/>
                  <w:sz w:val="18"/>
                  <w:szCs w:val="18"/>
                  <w:color w:val="3051F2"/>
                </w:rPr>
                <w:t>27</w:t>
              </w:r>
            </w:hyperlink>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rFonts w:ascii="Arial" w:cs="Arial" w:eastAsia="Arial" w:hAnsi="Arial"/>
                <w:sz w:val="18"/>
                <w:szCs w:val="18"/>
                <w:color w:val="3051F2"/>
              </w:rPr>
            </w:pPr>
            <w:hyperlink w:anchor="page39">
              <w:r>
                <w:rPr>
                  <w:rFonts w:ascii="Arial" w:cs="Arial" w:eastAsia="Arial" w:hAnsi="Arial"/>
                  <w:sz w:val="18"/>
                  <w:szCs w:val="18"/>
                  <w:color w:val="3051F2"/>
                </w:rPr>
                <w:t>Item 7A.</w:t>
              </w:r>
            </w:hyperlink>
          </w:p>
        </w:tc>
        <w:tc>
          <w:tcPr>
            <w:tcW w:w="8580" w:type="dxa"/>
            <w:vAlign w:val="bottom"/>
          </w:tcPr>
          <w:p>
            <w:pPr>
              <w:ind w:left="180"/>
              <w:spacing w:after="0"/>
              <w:rPr>
                <w:rFonts w:ascii="Arial" w:cs="Arial" w:eastAsia="Arial" w:hAnsi="Arial"/>
                <w:sz w:val="18"/>
                <w:szCs w:val="18"/>
                <w:color w:val="3051F2"/>
              </w:rPr>
            </w:pPr>
            <w:hyperlink w:anchor="page39">
              <w:r>
                <w:rPr>
                  <w:rFonts w:ascii="Arial" w:cs="Arial" w:eastAsia="Arial" w:hAnsi="Arial"/>
                  <w:sz w:val="18"/>
                  <w:szCs w:val="18"/>
                  <w:color w:val="3051F2"/>
                </w:rPr>
                <w:t>Qualitative and Quantitative Disclosure About Market Risk</w:t>
              </w:r>
            </w:hyperlink>
          </w:p>
        </w:tc>
        <w:tc>
          <w:tcPr>
            <w:tcW w:w="960" w:type="dxa"/>
            <w:vAlign w:val="bottom"/>
          </w:tcPr>
          <w:p>
            <w:pPr>
              <w:jc w:val="right"/>
              <w:spacing w:after="0"/>
              <w:rPr>
                <w:rFonts w:ascii="Arial" w:cs="Arial" w:eastAsia="Arial" w:hAnsi="Arial"/>
                <w:sz w:val="18"/>
                <w:szCs w:val="18"/>
                <w:color w:val="3051F2"/>
              </w:rPr>
            </w:pPr>
            <w:hyperlink w:anchor="page39">
              <w:r>
                <w:rPr>
                  <w:rFonts w:ascii="Arial" w:cs="Arial" w:eastAsia="Arial" w:hAnsi="Arial"/>
                  <w:sz w:val="18"/>
                  <w:szCs w:val="18"/>
                  <w:color w:val="3051F2"/>
                </w:rPr>
                <w:t>36</w:t>
              </w:r>
            </w:hyperlink>
          </w:p>
        </w:tc>
      </w:tr>
      <w:tr>
        <w:trPr>
          <w:trHeight w:val="230"/>
        </w:trPr>
        <w:tc>
          <w:tcPr>
            <w:tcW w:w="840" w:type="dxa"/>
            <w:vAlign w:val="bottom"/>
          </w:tcPr>
          <w:p>
            <w:pPr>
              <w:spacing w:after="0"/>
              <w:rPr>
                <w:sz w:val="19"/>
                <w:szCs w:val="19"/>
                <w:color w:val="auto"/>
              </w:rPr>
            </w:pPr>
          </w:p>
        </w:tc>
        <w:tc>
          <w:tcPr>
            <w:tcW w:w="860" w:type="dxa"/>
            <w:vAlign w:val="bottom"/>
          </w:tcPr>
          <w:p>
            <w:pPr>
              <w:ind w:left="60"/>
              <w:spacing w:after="0"/>
              <w:rPr>
                <w:rFonts w:ascii="Arial" w:cs="Arial" w:eastAsia="Arial" w:hAnsi="Arial"/>
                <w:sz w:val="18"/>
                <w:szCs w:val="18"/>
                <w:color w:val="3051F2"/>
              </w:rPr>
            </w:pPr>
            <w:hyperlink w:anchor="page39">
              <w:r>
                <w:rPr>
                  <w:rFonts w:ascii="Arial" w:cs="Arial" w:eastAsia="Arial" w:hAnsi="Arial"/>
                  <w:sz w:val="18"/>
                  <w:szCs w:val="18"/>
                  <w:color w:val="3051F2"/>
                </w:rPr>
                <w:t>Item 8.</w:t>
              </w:r>
            </w:hyperlink>
          </w:p>
        </w:tc>
        <w:tc>
          <w:tcPr>
            <w:tcW w:w="8580" w:type="dxa"/>
            <w:vAlign w:val="bottom"/>
          </w:tcPr>
          <w:p>
            <w:pPr>
              <w:ind w:left="180"/>
              <w:spacing w:after="0"/>
              <w:rPr>
                <w:rFonts w:ascii="Arial" w:cs="Arial" w:eastAsia="Arial" w:hAnsi="Arial"/>
                <w:sz w:val="18"/>
                <w:szCs w:val="18"/>
                <w:color w:val="3051F2"/>
              </w:rPr>
            </w:pPr>
            <w:hyperlink w:anchor="page39">
              <w:r>
                <w:rPr>
                  <w:rFonts w:ascii="Arial" w:cs="Arial" w:eastAsia="Arial" w:hAnsi="Arial"/>
                  <w:sz w:val="18"/>
                  <w:szCs w:val="18"/>
                  <w:color w:val="3051F2"/>
                </w:rPr>
                <w:t>Financial Statements and Supplementary Data</w:t>
              </w:r>
            </w:hyperlink>
          </w:p>
        </w:tc>
        <w:tc>
          <w:tcPr>
            <w:tcW w:w="960" w:type="dxa"/>
            <w:vAlign w:val="bottom"/>
          </w:tcPr>
          <w:p>
            <w:pPr>
              <w:jc w:val="right"/>
              <w:spacing w:after="0"/>
              <w:rPr>
                <w:rFonts w:ascii="Arial" w:cs="Arial" w:eastAsia="Arial" w:hAnsi="Arial"/>
                <w:sz w:val="18"/>
                <w:szCs w:val="18"/>
                <w:color w:val="3051F2"/>
              </w:rPr>
            </w:pPr>
            <w:hyperlink w:anchor="page39">
              <w:r>
                <w:rPr>
                  <w:rFonts w:ascii="Arial" w:cs="Arial" w:eastAsia="Arial" w:hAnsi="Arial"/>
                  <w:sz w:val="18"/>
                  <w:szCs w:val="18"/>
                  <w:color w:val="3051F2"/>
                </w:rPr>
                <w:t>37</w:t>
              </w:r>
            </w:hyperlink>
          </w:p>
        </w:tc>
      </w:tr>
      <w:tr>
        <w:trPr>
          <w:trHeight w:val="229"/>
        </w:trPr>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580" w:type="dxa"/>
            <w:vAlign w:val="bottom"/>
          </w:tcPr>
          <w:p>
            <w:pPr>
              <w:ind w:left="180"/>
              <w:spacing w:after="0"/>
              <w:rPr>
                <w:rFonts w:ascii="Arial" w:cs="Arial" w:eastAsia="Arial" w:hAnsi="Arial"/>
                <w:sz w:val="18"/>
                <w:szCs w:val="18"/>
                <w:color w:val="3051F2"/>
              </w:rPr>
            </w:pPr>
            <w:hyperlink w:anchor="page49">
              <w:r>
                <w:rPr>
                  <w:rFonts w:ascii="Arial" w:cs="Arial" w:eastAsia="Arial" w:hAnsi="Arial"/>
                  <w:sz w:val="18"/>
                  <w:szCs w:val="18"/>
                  <w:color w:val="3051F2"/>
                </w:rPr>
                <w:t>Notes to Consolidated Financial Statements</w:t>
              </w:r>
            </w:hyperlink>
          </w:p>
        </w:tc>
        <w:tc>
          <w:tcPr>
            <w:tcW w:w="960" w:type="dxa"/>
            <w:vAlign w:val="bottom"/>
          </w:tcPr>
          <w:p>
            <w:pPr>
              <w:jc w:val="right"/>
              <w:spacing w:after="0"/>
              <w:rPr>
                <w:rFonts w:ascii="Arial" w:cs="Arial" w:eastAsia="Arial" w:hAnsi="Arial"/>
                <w:sz w:val="18"/>
                <w:szCs w:val="18"/>
                <w:color w:val="3051F2"/>
              </w:rPr>
            </w:pPr>
            <w:hyperlink w:anchor="page49">
              <w:r>
                <w:rPr>
                  <w:rFonts w:ascii="Arial" w:cs="Arial" w:eastAsia="Arial" w:hAnsi="Arial"/>
                  <w:sz w:val="18"/>
                  <w:szCs w:val="18"/>
                  <w:color w:val="3051F2"/>
                </w:rPr>
                <w:t>47</w:t>
              </w:r>
            </w:hyperlink>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rFonts w:ascii="Arial" w:cs="Arial" w:eastAsia="Arial" w:hAnsi="Arial"/>
                <w:sz w:val="18"/>
                <w:szCs w:val="18"/>
                <w:color w:val="3051F2"/>
              </w:rPr>
            </w:pPr>
            <w:hyperlink w:anchor="page93">
              <w:r>
                <w:rPr>
                  <w:rFonts w:ascii="Arial" w:cs="Arial" w:eastAsia="Arial" w:hAnsi="Arial"/>
                  <w:sz w:val="18"/>
                  <w:szCs w:val="18"/>
                  <w:color w:val="3051F2"/>
                </w:rPr>
                <w:t>Item 9.</w:t>
              </w:r>
            </w:hyperlink>
          </w:p>
        </w:tc>
        <w:tc>
          <w:tcPr>
            <w:tcW w:w="8580" w:type="dxa"/>
            <w:vAlign w:val="bottom"/>
          </w:tcPr>
          <w:p>
            <w:pPr>
              <w:ind w:left="180"/>
              <w:spacing w:after="0"/>
              <w:rPr>
                <w:rFonts w:ascii="Arial" w:cs="Arial" w:eastAsia="Arial" w:hAnsi="Arial"/>
                <w:sz w:val="18"/>
                <w:szCs w:val="18"/>
                <w:color w:val="3051F2"/>
              </w:rPr>
            </w:pPr>
            <w:hyperlink w:anchor="page93">
              <w:r>
                <w:rPr>
                  <w:rFonts w:ascii="Arial" w:cs="Arial" w:eastAsia="Arial" w:hAnsi="Arial"/>
                  <w:sz w:val="18"/>
                  <w:szCs w:val="18"/>
                  <w:color w:val="3051F2"/>
                </w:rPr>
                <w:t>Changes In and Disagreements with Accountants on Accounting and Financial Disclosure</w:t>
              </w:r>
            </w:hyperlink>
          </w:p>
        </w:tc>
        <w:tc>
          <w:tcPr>
            <w:tcW w:w="960" w:type="dxa"/>
            <w:vAlign w:val="bottom"/>
          </w:tcPr>
          <w:p>
            <w:pPr>
              <w:jc w:val="right"/>
              <w:spacing w:after="0"/>
              <w:rPr>
                <w:rFonts w:ascii="Arial" w:cs="Arial" w:eastAsia="Arial" w:hAnsi="Arial"/>
                <w:sz w:val="18"/>
                <w:szCs w:val="18"/>
                <w:color w:val="3051F2"/>
              </w:rPr>
            </w:pPr>
            <w:hyperlink w:anchor="page93">
              <w:r>
                <w:rPr>
                  <w:rFonts w:ascii="Arial" w:cs="Arial" w:eastAsia="Arial" w:hAnsi="Arial"/>
                  <w:sz w:val="18"/>
                  <w:szCs w:val="18"/>
                  <w:color w:val="3051F2"/>
                </w:rPr>
                <w:t>91</w:t>
              </w:r>
            </w:hyperlink>
          </w:p>
        </w:tc>
      </w:tr>
      <w:tr>
        <w:trPr>
          <w:trHeight w:val="230"/>
        </w:trPr>
        <w:tc>
          <w:tcPr>
            <w:tcW w:w="840" w:type="dxa"/>
            <w:vAlign w:val="bottom"/>
          </w:tcPr>
          <w:p>
            <w:pPr>
              <w:spacing w:after="0"/>
              <w:rPr>
                <w:sz w:val="19"/>
                <w:szCs w:val="19"/>
                <w:color w:val="auto"/>
              </w:rPr>
            </w:pPr>
          </w:p>
        </w:tc>
        <w:tc>
          <w:tcPr>
            <w:tcW w:w="860" w:type="dxa"/>
            <w:vAlign w:val="bottom"/>
          </w:tcPr>
          <w:p>
            <w:pPr>
              <w:ind w:left="60"/>
              <w:spacing w:after="0"/>
              <w:rPr>
                <w:rFonts w:ascii="Arial" w:cs="Arial" w:eastAsia="Arial" w:hAnsi="Arial"/>
                <w:sz w:val="18"/>
                <w:szCs w:val="18"/>
                <w:color w:val="3051F2"/>
              </w:rPr>
            </w:pPr>
            <w:hyperlink w:anchor="page94">
              <w:r>
                <w:rPr>
                  <w:rFonts w:ascii="Arial" w:cs="Arial" w:eastAsia="Arial" w:hAnsi="Arial"/>
                  <w:sz w:val="18"/>
                  <w:szCs w:val="18"/>
                  <w:color w:val="3051F2"/>
                </w:rPr>
                <w:t>Item 9A.</w:t>
              </w:r>
            </w:hyperlink>
          </w:p>
        </w:tc>
        <w:tc>
          <w:tcPr>
            <w:tcW w:w="8580" w:type="dxa"/>
            <w:vAlign w:val="bottom"/>
          </w:tcPr>
          <w:p>
            <w:pPr>
              <w:ind w:left="180"/>
              <w:spacing w:after="0"/>
              <w:rPr>
                <w:rFonts w:ascii="Arial" w:cs="Arial" w:eastAsia="Arial" w:hAnsi="Arial"/>
                <w:sz w:val="18"/>
                <w:szCs w:val="18"/>
                <w:color w:val="3051F2"/>
              </w:rPr>
            </w:pPr>
            <w:hyperlink w:anchor="page94">
              <w:r>
                <w:rPr>
                  <w:rFonts w:ascii="Arial" w:cs="Arial" w:eastAsia="Arial" w:hAnsi="Arial"/>
                  <w:sz w:val="18"/>
                  <w:szCs w:val="18"/>
                  <w:color w:val="3051F2"/>
                </w:rPr>
                <w:t>Controls and Procedures</w:t>
              </w:r>
            </w:hyperlink>
          </w:p>
        </w:tc>
        <w:tc>
          <w:tcPr>
            <w:tcW w:w="960" w:type="dxa"/>
            <w:vAlign w:val="bottom"/>
          </w:tcPr>
          <w:p>
            <w:pPr>
              <w:jc w:val="right"/>
              <w:spacing w:after="0"/>
              <w:rPr>
                <w:rFonts w:ascii="Arial" w:cs="Arial" w:eastAsia="Arial" w:hAnsi="Arial"/>
                <w:sz w:val="18"/>
                <w:szCs w:val="18"/>
                <w:color w:val="3051F2"/>
              </w:rPr>
            </w:pPr>
            <w:hyperlink w:anchor="page94">
              <w:r>
                <w:rPr>
                  <w:rFonts w:ascii="Arial" w:cs="Arial" w:eastAsia="Arial" w:hAnsi="Arial"/>
                  <w:sz w:val="18"/>
                  <w:szCs w:val="18"/>
                  <w:color w:val="3051F2"/>
                </w:rPr>
                <w:t>91</w:t>
              </w:r>
            </w:hyperlink>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rFonts w:ascii="Arial" w:cs="Arial" w:eastAsia="Arial" w:hAnsi="Arial"/>
                <w:sz w:val="18"/>
                <w:szCs w:val="18"/>
                <w:color w:val="3051F2"/>
              </w:rPr>
            </w:pPr>
            <w:hyperlink w:anchor="page95">
              <w:r>
                <w:rPr>
                  <w:rFonts w:ascii="Arial" w:cs="Arial" w:eastAsia="Arial" w:hAnsi="Arial"/>
                  <w:sz w:val="18"/>
                  <w:szCs w:val="18"/>
                  <w:color w:val="3051F2"/>
                </w:rPr>
                <w:t>Item 9B.</w:t>
              </w:r>
            </w:hyperlink>
          </w:p>
        </w:tc>
        <w:tc>
          <w:tcPr>
            <w:tcW w:w="8580" w:type="dxa"/>
            <w:vAlign w:val="bottom"/>
          </w:tcPr>
          <w:p>
            <w:pPr>
              <w:ind w:left="180"/>
              <w:spacing w:after="0"/>
              <w:rPr>
                <w:rFonts w:ascii="Arial" w:cs="Arial" w:eastAsia="Arial" w:hAnsi="Arial"/>
                <w:sz w:val="18"/>
                <w:szCs w:val="18"/>
                <w:color w:val="3051F2"/>
              </w:rPr>
            </w:pPr>
            <w:hyperlink w:anchor="page95">
              <w:r>
                <w:rPr>
                  <w:rFonts w:ascii="Arial" w:cs="Arial" w:eastAsia="Arial" w:hAnsi="Arial"/>
                  <w:sz w:val="18"/>
                  <w:szCs w:val="18"/>
                  <w:color w:val="3051F2"/>
                </w:rPr>
                <w:t>Other Information</w:t>
              </w:r>
            </w:hyperlink>
          </w:p>
        </w:tc>
        <w:tc>
          <w:tcPr>
            <w:tcW w:w="960" w:type="dxa"/>
            <w:vAlign w:val="bottom"/>
          </w:tcPr>
          <w:p>
            <w:pPr>
              <w:jc w:val="right"/>
              <w:spacing w:after="0"/>
              <w:rPr>
                <w:rFonts w:ascii="Arial" w:cs="Arial" w:eastAsia="Arial" w:hAnsi="Arial"/>
                <w:sz w:val="18"/>
                <w:szCs w:val="18"/>
                <w:color w:val="3051F2"/>
              </w:rPr>
            </w:pPr>
            <w:hyperlink w:anchor="page95">
              <w:r>
                <w:rPr>
                  <w:rFonts w:ascii="Arial" w:cs="Arial" w:eastAsia="Arial" w:hAnsi="Arial"/>
                  <w:sz w:val="18"/>
                  <w:szCs w:val="18"/>
                  <w:color w:val="3051F2"/>
                </w:rPr>
                <w:t>92</w:t>
              </w:r>
            </w:hyperlink>
          </w:p>
        </w:tc>
      </w:tr>
      <w:tr>
        <w:trPr>
          <w:trHeight w:val="230"/>
        </w:trPr>
        <w:tc>
          <w:tcPr>
            <w:tcW w:w="840" w:type="dxa"/>
            <w:vAlign w:val="bottom"/>
          </w:tcPr>
          <w:p>
            <w:pPr>
              <w:ind w:left="20"/>
              <w:spacing w:after="0"/>
              <w:rPr>
                <w:rFonts w:ascii="Arial" w:cs="Arial" w:eastAsia="Arial" w:hAnsi="Arial"/>
                <w:sz w:val="18"/>
                <w:szCs w:val="18"/>
                <w:color w:val="3051F2"/>
              </w:rPr>
            </w:pPr>
            <w:hyperlink w:anchor="page95">
              <w:r>
                <w:rPr>
                  <w:rFonts w:ascii="Arial" w:cs="Arial" w:eastAsia="Arial" w:hAnsi="Arial"/>
                  <w:sz w:val="18"/>
                  <w:szCs w:val="18"/>
                  <w:color w:val="3051F2"/>
                </w:rPr>
                <w:t>Part III.</w:t>
              </w:r>
            </w:hyperlink>
          </w:p>
        </w:tc>
        <w:tc>
          <w:tcPr>
            <w:tcW w:w="860" w:type="dxa"/>
            <w:vAlign w:val="bottom"/>
          </w:tcPr>
          <w:p>
            <w:pPr>
              <w:ind w:left="60"/>
              <w:spacing w:after="0"/>
              <w:rPr>
                <w:rFonts w:ascii="Arial" w:cs="Arial" w:eastAsia="Arial" w:hAnsi="Arial"/>
                <w:sz w:val="18"/>
                <w:szCs w:val="18"/>
                <w:color w:val="3051F2"/>
              </w:rPr>
            </w:pPr>
            <w:hyperlink w:anchor="page96">
              <w:r>
                <w:rPr>
                  <w:rFonts w:ascii="Arial" w:cs="Arial" w:eastAsia="Arial" w:hAnsi="Arial"/>
                  <w:sz w:val="18"/>
                  <w:szCs w:val="18"/>
                  <w:color w:val="3051F2"/>
                </w:rPr>
                <w:t>Item 10.</w:t>
              </w:r>
            </w:hyperlink>
          </w:p>
        </w:tc>
        <w:tc>
          <w:tcPr>
            <w:tcW w:w="8580" w:type="dxa"/>
            <w:vAlign w:val="bottom"/>
          </w:tcPr>
          <w:p>
            <w:pPr>
              <w:ind w:left="180"/>
              <w:spacing w:after="0"/>
              <w:rPr>
                <w:rFonts w:ascii="Arial" w:cs="Arial" w:eastAsia="Arial" w:hAnsi="Arial"/>
                <w:sz w:val="18"/>
                <w:szCs w:val="18"/>
                <w:color w:val="3051F2"/>
              </w:rPr>
            </w:pPr>
            <w:hyperlink w:anchor="page96">
              <w:r>
                <w:rPr>
                  <w:rFonts w:ascii="Arial" w:cs="Arial" w:eastAsia="Arial" w:hAnsi="Arial"/>
                  <w:sz w:val="18"/>
                  <w:szCs w:val="18"/>
                  <w:color w:val="3051F2"/>
                </w:rPr>
                <w:t>Directors, Executive Officers and Corporate Governance</w:t>
              </w:r>
            </w:hyperlink>
          </w:p>
        </w:tc>
        <w:tc>
          <w:tcPr>
            <w:tcW w:w="960" w:type="dxa"/>
            <w:vAlign w:val="bottom"/>
          </w:tcPr>
          <w:p>
            <w:pPr>
              <w:jc w:val="right"/>
              <w:spacing w:after="0"/>
              <w:rPr>
                <w:rFonts w:ascii="Arial" w:cs="Arial" w:eastAsia="Arial" w:hAnsi="Arial"/>
                <w:sz w:val="18"/>
                <w:szCs w:val="18"/>
                <w:color w:val="3051F2"/>
              </w:rPr>
            </w:pPr>
            <w:hyperlink w:anchor="page96">
              <w:r>
                <w:rPr>
                  <w:rFonts w:ascii="Arial" w:cs="Arial" w:eastAsia="Arial" w:hAnsi="Arial"/>
                  <w:sz w:val="18"/>
                  <w:szCs w:val="18"/>
                  <w:color w:val="3051F2"/>
                </w:rPr>
                <w:t>93</w:t>
              </w:r>
            </w:hyperlink>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rFonts w:ascii="Arial" w:cs="Arial" w:eastAsia="Arial" w:hAnsi="Arial"/>
                <w:sz w:val="18"/>
                <w:szCs w:val="18"/>
                <w:color w:val="3051F2"/>
              </w:rPr>
            </w:pPr>
            <w:hyperlink w:anchor="page96">
              <w:r>
                <w:rPr>
                  <w:rFonts w:ascii="Arial" w:cs="Arial" w:eastAsia="Arial" w:hAnsi="Arial"/>
                  <w:sz w:val="18"/>
                  <w:szCs w:val="18"/>
                  <w:color w:val="3051F2"/>
                </w:rPr>
                <w:t>Item 11.</w:t>
              </w:r>
            </w:hyperlink>
          </w:p>
        </w:tc>
        <w:tc>
          <w:tcPr>
            <w:tcW w:w="8580" w:type="dxa"/>
            <w:vAlign w:val="bottom"/>
          </w:tcPr>
          <w:p>
            <w:pPr>
              <w:ind w:left="180"/>
              <w:spacing w:after="0"/>
              <w:rPr>
                <w:rFonts w:ascii="Arial" w:cs="Arial" w:eastAsia="Arial" w:hAnsi="Arial"/>
                <w:sz w:val="18"/>
                <w:szCs w:val="18"/>
                <w:color w:val="3051F2"/>
              </w:rPr>
            </w:pPr>
            <w:hyperlink w:anchor="page96">
              <w:r>
                <w:rPr>
                  <w:rFonts w:ascii="Arial" w:cs="Arial" w:eastAsia="Arial" w:hAnsi="Arial"/>
                  <w:sz w:val="18"/>
                  <w:szCs w:val="18"/>
                  <w:color w:val="3051F2"/>
                </w:rPr>
                <w:t>Executive Compensation</w:t>
              </w:r>
            </w:hyperlink>
          </w:p>
        </w:tc>
        <w:tc>
          <w:tcPr>
            <w:tcW w:w="960" w:type="dxa"/>
            <w:vAlign w:val="bottom"/>
          </w:tcPr>
          <w:p>
            <w:pPr>
              <w:jc w:val="right"/>
              <w:spacing w:after="0"/>
              <w:rPr>
                <w:rFonts w:ascii="Arial" w:cs="Arial" w:eastAsia="Arial" w:hAnsi="Arial"/>
                <w:sz w:val="18"/>
                <w:szCs w:val="18"/>
                <w:color w:val="3051F2"/>
              </w:rPr>
            </w:pPr>
            <w:hyperlink w:anchor="page96">
              <w:r>
                <w:rPr>
                  <w:rFonts w:ascii="Arial" w:cs="Arial" w:eastAsia="Arial" w:hAnsi="Arial"/>
                  <w:sz w:val="18"/>
                  <w:szCs w:val="18"/>
                  <w:color w:val="3051F2"/>
                </w:rPr>
                <w:t>93</w:t>
              </w:r>
            </w:hyperlink>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rFonts w:ascii="Arial" w:cs="Arial" w:eastAsia="Arial" w:hAnsi="Arial"/>
                <w:sz w:val="18"/>
                <w:szCs w:val="18"/>
                <w:color w:val="3051F2"/>
              </w:rPr>
            </w:pPr>
            <w:hyperlink w:anchor="page96">
              <w:r>
                <w:rPr>
                  <w:rFonts w:ascii="Arial" w:cs="Arial" w:eastAsia="Arial" w:hAnsi="Arial"/>
                  <w:sz w:val="18"/>
                  <w:szCs w:val="18"/>
                  <w:color w:val="3051F2"/>
                </w:rPr>
                <w:t>Item 12.</w:t>
              </w:r>
            </w:hyperlink>
          </w:p>
        </w:tc>
        <w:tc>
          <w:tcPr>
            <w:tcW w:w="8580" w:type="dxa"/>
            <w:vAlign w:val="bottom"/>
          </w:tcPr>
          <w:p>
            <w:pPr>
              <w:ind w:left="180"/>
              <w:spacing w:after="0"/>
              <w:rPr>
                <w:rFonts w:ascii="Arial" w:cs="Arial" w:eastAsia="Arial" w:hAnsi="Arial"/>
                <w:sz w:val="18"/>
                <w:szCs w:val="18"/>
                <w:color w:val="3051F2"/>
              </w:rPr>
            </w:pPr>
            <w:hyperlink w:anchor="page96">
              <w:r>
                <w:rPr>
                  <w:rFonts w:ascii="Arial" w:cs="Arial" w:eastAsia="Arial" w:hAnsi="Arial"/>
                  <w:sz w:val="18"/>
                  <w:szCs w:val="18"/>
                  <w:color w:val="3051F2"/>
                </w:rPr>
                <w:t>Security Ownership of Certain Beneficial Owners and Management and Related Stockholder Matters</w:t>
              </w:r>
            </w:hyperlink>
          </w:p>
        </w:tc>
        <w:tc>
          <w:tcPr>
            <w:tcW w:w="960" w:type="dxa"/>
            <w:vAlign w:val="bottom"/>
          </w:tcPr>
          <w:p>
            <w:pPr>
              <w:jc w:val="right"/>
              <w:spacing w:after="0"/>
              <w:rPr>
                <w:rFonts w:ascii="Arial" w:cs="Arial" w:eastAsia="Arial" w:hAnsi="Arial"/>
                <w:sz w:val="18"/>
                <w:szCs w:val="18"/>
                <w:color w:val="3051F2"/>
              </w:rPr>
            </w:pPr>
            <w:hyperlink w:anchor="page96">
              <w:r>
                <w:rPr>
                  <w:rFonts w:ascii="Arial" w:cs="Arial" w:eastAsia="Arial" w:hAnsi="Arial"/>
                  <w:sz w:val="18"/>
                  <w:szCs w:val="18"/>
                  <w:color w:val="3051F2"/>
                </w:rPr>
                <w:t>93</w:t>
              </w:r>
            </w:hyperlink>
          </w:p>
        </w:tc>
      </w:tr>
      <w:tr>
        <w:trPr>
          <w:trHeight w:val="230"/>
        </w:trPr>
        <w:tc>
          <w:tcPr>
            <w:tcW w:w="840" w:type="dxa"/>
            <w:vAlign w:val="bottom"/>
          </w:tcPr>
          <w:p>
            <w:pPr>
              <w:spacing w:after="0"/>
              <w:rPr>
                <w:sz w:val="19"/>
                <w:szCs w:val="19"/>
                <w:color w:val="auto"/>
              </w:rPr>
            </w:pPr>
          </w:p>
        </w:tc>
        <w:tc>
          <w:tcPr>
            <w:tcW w:w="860" w:type="dxa"/>
            <w:vAlign w:val="bottom"/>
          </w:tcPr>
          <w:p>
            <w:pPr>
              <w:ind w:left="60"/>
              <w:spacing w:after="0"/>
              <w:rPr>
                <w:rFonts w:ascii="Arial" w:cs="Arial" w:eastAsia="Arial" w:hAnsi="Arial"/>
                <w:sz w:val="18"/>
                <w:szCs w:val="18"/>
                <w:color w:val="3051F2"/>
              </w:rPr>
            </w:pPr>
            <w:hyperlink w:anchor="page96">
              <w:r>
                <w:rPr>
                  <w:rFonts w:ascii="Arial" w:cs="Arial" w:eastAsia="Arial" w:hAnsi="Arial"/>
                  <w:sz w:val="18"/>
                  <w:szCs w:val="18"/>
                  <w:color w:val="3051F2"/>
                </w:rPr>
                <w:t>Item 13.</w:t>
              </w:r>
            </w:hyperlink>
          </w:p>
        </w:tc>
        <w:tc>
          <w:tcPr>
            <w:tcW w:w="8580" w:type="dxa"/>
            <w:vAlign w:val="bottom"/>
          </w:tcPr>
          <w:p>
            <w:pPr>
              <w:ind w:left="180"/>
              <w:spacing w:after="0"/>
              <w:rPr>
                <w:rFonts w:ascii="Arial" w:cs="Arial" w:eastAsia="Arial" w:hAnsi="Arial"/>
                <w:sz w:val="18"/>
                <w:szCs w:val="18"/>
                <w:color w:val="3051F2"/>
              </w:rPr>
            </w:pPr>
            <w:hyperlink w:anchor="page96">
              <w:r>
                <w:rPr>
                  <w:rFonts w:ascii="Arial" w:cs="Arial" w:eastAsia="Arial" w:hAnsi="Arial"/>
                  <w:sz w:val="18"/>
                  <w:szCs w:val="18"/>
                  <w:color w:val="3051F2"/>
                </w:rPr>
                <w:t>Certain Relationships and Related Transactions, and Director Independence</w:t>
              </w:r>
            </w:hyperlink>
          </w:p>
        </w:tc>
        <w:tc>
          <w:tcPr>
            <w:tcW w:w="960" w:type="dxa"/>
            <w:vAlign w:val="bottom"/>
          </w:tcPr>
          <w:p>
            <w:pPr>
              <w:jc w:val="right"/>
              <w:spacing w:after="0"/>
              <w:rPr>
                <w:rFonts w:ascii="Arial" w:cs="Arial" w:eastAsia="Arial" w:hAnsi="Arial"/>
                <w:sz w:val="18"/>
                <w:szCs w:val="18"/>
                <w:color w:val="3051F2"/>
              </w:rPr>
            </w:pPr>
            <w:hyperlink w:anchor="page96">
              <w:r>
                <w:rPr>
                  <w:rFonts w:ascii="Arial" w:cs="Arial" w:eastAsia="Arial" w:hAnsi="Arial"/>
                  <w:sz w:val="18"/>
                  <w:szCs w:val="18"/>
                  <w:color w:val="3051F2"/>
                </w:rPr>
                <w:t>93</w:t>
              </w:r>
            </w:hyperlink>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rFonts w:ascii="Arial" w:cs="Arial" w:eastAsia="Arial" w:hAnsi="Arial"/>
                <w:sz w:val="18"/>
                <w:szCs w:val="18"/>
                <w:color w:val="3051F2"/>
              </w:rPr>
            </w:pPr>
            <w:hyperlink w:anchor="page96">
              <w:r>
                <w:rPr>
                  <w:rFonts w:ascii="Arial" w:cs="Arial" w:eastAsia="Arial" w:hAnsi="Arial"/>
                  <w:sz w:val="18"/>
                  <w:szCs w:val="18"/>
                  <w:color w:val="3051F2"/>
                </w:rPr>
                <w:t>Item 14.</w:t>
              </w:r>
            </w:hyperlink>
          </w:p>
        </w:tc>
        <w:tc>
          <w:tcPr>
            <w:tcW w:w="8580" w:type="dxa"/>
            <w:vAlign w:val="bottom"/>
          </w:tcPr>
          <w:p>
            <w:pPr>
              <w:ind w:left="180"/>
              <w:spacing w:after="0"/>
              <w:rPr>
                <w:rFonts w:ascii="Arial" w:cs="Arial" w:eastAsia="Arial" w:hAnsi="Arial"/>
                <w:sz w:val="18"/>
                <w:szCs w:val="18"/>
                <w:color w:val="3051F2"/>
              </w:rPr>
            </w:pPr>
            <w:hyperlink w:anchor="page96">
              <w:r>
                <w:rPr>
                  <w:rFonts w:ascii="Arial" w:cs="Arial" w:eastAsia="Arial" w:hAnsi="Arial"/>
                  <w:sz w:val="18"/>
                  <w:szCs w:val="18"/>
                  <w:color w:val="3051F2"/>
                </w:rPr>
                <w:t>Principal Accounting Fees and Services</w:t>
              </w:r>
            </w:hyperlink>
          </w:p>
        </w:tc>
        <w:tc>
          <w:tcPr>
            <w:tcW w:w="960" w:type="dxa"/>
            <w:vAlign w:val="bottom"/>
          </w:tcPr>
          <w:p>
            <w:pPr>
              <w:jc w:val="right"/>
              <w:spacing w:after="0"/>
              <w:rPr>
                <w:rFonts w:ascii="Arial" w:cs="Arial" w:eastAsia="Arial" w:hAnsi="Arial"/>
                <w:sz w:val="18"/>
                <w:szCs w:val="18"/>
                <w:color w:val="3051F2"/>
              </w:rPr>
            </w:pPr>
            <w:hyperlink w:anchor="page96">
              <w:r>
                <w:rPr>
                  <w:rFonts w:ascii="Arial" w:cs="Arial" w:eastAsia="Arial" w:hAnsi="Arial"/>
                  <w:sz w:val="18"/>
                  <w:szCs w:val="18"/>
                  <w:color w:val="3051F2"/>
                </w:rPr>
                <w:t>93</w:t>
              </w:r>
            </w:hyperlink>
          </w:p>
        </w:tc>
      </w:tr>
      <w:tr>
        <w:trPr>
          <w:trHeight w:val="230"/>
        </w:trPr>
        <w:tc>
          <w:tcPr>
            <w:tcW w:w="840" w:type="dxa"/>
            <w:vAlign w:val="bottom"/>
          </w:tcPr>
          <w:p>
            <w:pPr>
              <w:ind w:left="20"/>
              <w:spacing w:after="0"/>
              <w:rPr>
                <w:rFonts w:ascii="Arial" w:cs="Arial" w:eastAsia="Arial" w:hAnsi="Arial"/>
                <w:sz w:val="18"/>
                <w:szCs w:val="18"/>
                <w:color w:val="3051F2"/>
              </w:rPr>
            </w:pPr>
            <w:hyperlink w:anchor="page96">
              <w:r>
                <w:rPr>
                  <w:rFonts w:ascii="Arial" w:cs="Arial" w:eastAsia="Arial" w:hAnsi="Arial"/>
                  <w:sz w:val="18"/>
                  <w:szCs w:val="18"/>
                  <w:color w:val="3051F2"/>
                </w:rPr>
                <w:t>Part IV.</w:t>
              </w:r>
            </w:hyperlink>
          </w:p>
        </w:tc>
        <w:tc>
          <w:tcPr>
            <w:tcW w:w="860" w:type="dxa"/>
            <w:vAlign w:val="bottom"/>
          </w:tcPr>
          <w:p>
            <w:pPr>
              <w:ind w:left="60"/>
              <w:spacing w:after="0"/>
              <w:rPr>
                <w:rFonts w:ascii="Arial" w:cs="Arial" w:eastAsia="Arial" w:hAnsi="Arial"/>
                <w:sz w:val="18"/>
                <w:szCs w:val="18"/>
                <w:color w:val="3051F2"/>
              </w:rPr>
            </w:pPr>
            <w:hyperlink w:anchor="page97">
              <w:r>
                <w:rPr>
                  <w:rFonts w:ascii="Arial" w:cs="Arial" w:eastAsia="Arial" w:hAnsi="Arial"/>
                  <w:sz w:val="18"/>
                  <w:szCs w:val="18"/>
                  <w:color w:val="3051F2"/>
                </w:rPr>
                <w:t>Item 15.</w:t>
              </w:r>
            </w:hyperlink>
          </w:p>
        </w:tc>
        <w:tc>
          <w:tcPr>
            <w:tcW w:w="8580" w:type="dxa"/>
            <w:vAlign w:val="bottom"/>
          </w:tcPr>
          <w:p>
            <w:pPr>
              <w:ind w:left="180"/>
              <w:spacing w:after="0"/>
              <w:rPr>
                <w:rFonts w:ascii="Arial" w:cs="Arial" w:eastAsia="Arial" w:hAnsi="Arial"/>
                <w:sz w:val="18"/>
                <w:szCs w:val="18"/>
                <w:color w:val="3051F2"/>
              </w:rPr>
            </w:pPr>
            <w:hyperlink w:anchor="page97">
              <w:r>
                <w:rPr>
                  <w:rFonts w:ascii="Arial" w:cs="Arial" w:eastAsia="Arial" w:hAnsi="Arial"/>
                  <w:sz w:val="18"/>
                  <w:szCs w:val="18"/>
                  <w:color w:val="3051F2"/>
                </w:rPr>
                <w:t>Exhibits, Financial Statement Schedules</w:t>
              </w:r>
            </w:hyperlink>
          </w:p>
        </w:tc>
        <w:tc>
          <w:tcPr>
            <w:tcW w:w="960" w:type="dxa"/>
            <w:vAlign w:val="bottom"/>
          </w:tcPr>
          <w:p>
            <w:pPr>
              <w:jc w:val="right"/>
              <w:spacing w:after="0"/>
              <w:rPr>
                <w:rFonts w:ascii="Arial" w:cs="Arial" w:eastAsia="Arial" w:hAnsi="Arial"/>
                <w:sz w:val="18"/>
                <w:szCs w:val="18"/>
                <w:color w:val="3051F2"/>
              </w:rPr>
            </w:pPr>
            <w:hyperlink w:anchor="page97">
              <w:r>
                <w:rPr>
                  <w:rFonts w:ascii="Arial" w:cs="Arial" w:eastAsia="Arial" w:hAnsi="Arial"/>
                  <w:sz w:val="18"/>
                  <w:szCs w:val="18"/>
                  <w:color w:val="3051F2"/>
                </w:rPr>
                <w:t>94</w:t>
              </w:r>
            </w:hyperlink>
          </w:p>
        </w:tc>
      </w:tr>
      <w:tr>
        <w:trPr>
          <w:trHeight w:val="230"/>
        </w:trPr>
        <w:tc>
          <w:tcPr>
            <w:tcW w:w="840" w:type="dxa"/>
            <w:vAlign w:val="bottom"/>
          </w:tcPr>
          <w:p>
            <w:pPr>
              <w:spacing w:after="0"/>
              <w:rPr>
                <w:sz w:val="20"/>
                <w:szCs w:val="20"/>
                <w:color w:val="auto"/>
              </w:rPr>
            </w:pPr>
          </w:p>
        </w:tc>
        <w:tc>
          <w:tcPr>
            <w:tcW w:w="860" w:type="dxa"/>
            <w:vAlign w:val="bottom"/>
          </w:tcPr>
          <w:p>
            <w:pPr>
              <w:ind w:left="60"/>
              <w:spacing w:after="0"/>
              <w:rPr>
                <w:rFonts w:ascii="Arial" w:cs="Arial" w:eastAsia="Arial" w:hAnsi="Arial"/>
                <w:sz w:val="18"/>
                <w:szCs w:val="18"/>
                <w:color w:val="3051F2"/>
              </w:rPr>
            </w:pPr>
            <w:hyperlink w:anchor="page99">
              <w:r>
                <w:rPr>
                  <w:rFonts w:ascii="Arial" w:cs="Arial" w:eastAsia="Arial" w:hAnsi="Arial"/>
                  <w:sz w:val="18"/>
                  <w:szCs w:val="18"/>
                  <w:color w:val="3051F2"/>
                </w:rPr>
                <w:t>Item 16.</w:t>
              </w:r>
            </w:hyperlink>
          </w:p>
        </w:tc>
        <w:tc>
          <w:tcPr>
            <w:tcW w:w="8580" w:type="dxa"/>
            <w:vAlign w:val="bottom"/>
          </w:tcPr>
          <w:p>
            <w:pPr>
              <w:ind w:left="180"/>
              <w:spacing w:after="0"/>
              <w:rPr>
                <w:rFonts w:ascii="Arial" w:cs="Arial" w:eastAsia="Arial" w:hAnsi="Arial"/>
                <w:sz w:val="18"/>
                <w:szCs w:val="18"/>
                <w:color w:val="3051F2"/>
              </w:rPr>
            </w:pPr>
            <w:hyperlink w:anchor="page99">
              <w:r>
                <w:rPr>
                  <w:rFonts w:ascii="Arial" w:cs="Arial" w:eastAsia="Arial" w:hAnsi="Arial"/>
                  <w:sz w:val="18"/>
                  <w:szCs w:val="18"/>
                  <w:color w:val="3051F2"/>
                </w:rPr>
                <w:t>Form 10-K Summary</w:t>
              </w:r>
            </w:hyperlink>
          </w:p>
        </w:tc>
        <w:tc>
          <w:tcPr>
            <w:tcW w:w="960" w:type="dxa"/>
            <w:vAlign w:val="bottom"/>
          </w:tcPr>
          <w:p>
            <w:pPr>
              <w:jc w:val="right"/>
              <w:spacing w:after="0"/>
              <w:rPr>
                <w:rFonts w:ascii="Arial" w:cs="Arial" w:eastAsia="Arial" w:hAnsi="Arial"/>
                <w:sz w:val="18"/>
                <w:szCs w:val="18"/>
                <w:color w:val="3051F2"/>
              </w:rPr>
            </w:pPr>
            <w:hyperlink w:anchor="page99">
              <w:r>
                <w:rPr>
                  <w:rFonts w:ascii="Arial" w:cs="Arial" w:eastAsia="Arial" w:hAnsi="Arial"/>
                  <w:sz w:val="18"/>
                  <w:szCs w:val="18"/>
                  <w:color w:val="3051F2"/>
                </w:rPr>
                <w:t>96</w:t>
              </w:r>
            </w:hyperlink>
          </w:p>
        </w:tc>
      </w:tr>
      <w:tr>
        <w:trPr>
          <w:trHeight w:val="445"/>
        </w:trPr>
        <w:tc>
          <w:tcPr>
            <w:tcW w:w="840" w:type="dxa"/>
            <w:vAlign w:val="bottom"/>
          </w:tcPr>
          <w:p>
            <w:pPr>
              <w:ind w:left="20"/>
              <w:spacing w:after="0"/>
              <w:rPr>
                <w:rFonts w:ascii="Arial" w:cs="Arial" w:eastAsia="Arial" w:hAnsi="Arial"/>
                <w:sz w:val="18"/>
                <w:szCs w:val="18"/>
                <w:color w:val="3051F2"/>
                <w:w w:val="92"/>
              </w:rPr>
            </w:pPr>
            <w:hyperlink w:anchor="page99">
              <w:r>
                <w:rPr>
                  <w:rFonts w:ascii="Arial" w:cs="Arial" w:eastAsia="Arial" w:hAnsi="Arial"/>
                  <w:sz w:val="18"/>
                  <w:szCs w:val="18"/>
                  <w:color w:val="3051F2"/>
                  <w:w w:val="92"/>
                </w:rPr>
                <w:t>Signatures</w:t>
              </w:r>
            </w:hyperlink>
          </w:p>
        </w:tc>
        <w:tc>
          <w:tcPr>
            <w:tcW w:w="86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3051F2"/>
              </w:rPr>
            </w:pPr>
            <w:hyperlink w:anchor="page99">
              <w:r>
                <w:rPr>
                  <w:rFonts w:ascii="Arial" w:cs="Arial" w:eastAsia="Arial" w:hAnsi="Arial"/>
                  <w:sz w:val="18"/>
                  <w:szCs w:val="18"/>
                  <w:color w:val="3051F2"/>
                </w:rPr>
                <w:t>97</w:t>
              </w:r>
            </w:hyperlink>
          </w:p>
        </w:tc>
      </w:tr>
      <w:tr>
        <w:trPr>
          <w:trHeight w:val="2302"/>
        </w:trPr>
        <w:tc>
          <w:tcPr>
            <w:tcW w:w="8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5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Some of the statements made in this Annual Report on Form 10-K constitute forward-looking statements within the meaning of the federal securities laws. Such forward-looking statements include, but are not limited to, statements regarding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Annual Report on Form 10-K include, but are not limited to, statements about:</w:t>
      </w:r>
    </w:p>
    <w:p>
      <w:pPr>
        <w:spacing w:after="0" w:line="19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competition in the payment processing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use of distribution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any unauthorized disclosures of merchant or cardholder data, whether through breach of our computer systems, computer viruses or otherwise;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breakdowns in our processing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government regulation, including regulation of consumer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use of third-party vendors;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changes in card association and debit network fees or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failure to comply with the rules established by payment networks or standards established by third-party processors;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proposed acquisitions or dispositions or any risks associated with completed acquisitions or dispositions;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set forth in the "</w:t>
      </w:r>
      <w:hyperlink w:anchor="page16">
        <w:r>
          <w:rPr>
            <w:rFonts w:ascii="Arial" w:cs="Arial" w:eastAsia="Arial" w:hAnsi="Arial"/>
            <w:sz w:val="18"/>
            <w:szCs w:val="18"/>
            <w:u w:val="single" w:color="auto"/>
            <w:color w:val="0000FF"/>
          </w:rPr>
          <w:t>Item 1A - Risk Factors</w:t>
        </w:r>
      </w:hyperlink>
      <w:r>
        <w:rPr>
          <w:rFonts w:ascii="Arial" w:cs="Arial" w:eastAsia="Arial" w:hAnsi="Arial"/>
          <w:sz w:val="18"/>
          <w:szCs w:val="18"/>
          <w:color w:val="auto"/>
        </w:rPr>
        <w:t>" section of this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Annual Report on Form 10-K.</w:t>
      </w:r>
    </w:p>
    <w:p>
      <w:pPr>
        <w:spacing w:after="0" w:line="225" w:lineRule="exact"/>
        <w:rPr>
          <w:sz w:val="20"/>
          <w:szCs w:val="20"/>
          <w:color w:val="auto"/>
        </w:rPr>
      </w:pPr>
    </w:p>
    <w:p>
      <w:pPr>
        <w:spacing w:after="0" w:line="272" w:lineRule="auto"/>
        <w:rPr>
          <w:rFonts w:ascii="Arial" w:cs="Arial" w:eastAsia="Arial" w:hAnsi="Arial"/>
          <w:sz w:val="17"/>
          <w:szCs w:val="17"/>
          <w:color w:val="0000FF"/>
        </w:rPr>
      </w:pPr>
      <w:r>
        <w:rPr>
          <w:rFonts w:ascii="Arial" w:cs="Arial" w:eastAsia="Arial" w:hAnsi="Arial"/>
          <w:sz w:val="17"/>
          <w:szCs w:val="17"/>
          <w:color w:val="auto"/>
        </w:rPr>
        <w:t xml:space="preserve">The forward-looking statements contained in this Annual Report on Form 10-K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w:t>
      </w:r>
      <w:hyperlink w:anchor="page16">
        <w:r>
          <w:rPr>
            <w:rFonts w:ascii="Arial" w:cs="Arial" w:eastAsia="Arial" w:hAnsi="Arial"/>
            <w:sz w:val="17"/>
            <w:szCs w:val="17"/>
            <w:color w:val="auto"/>
          </w:rPr>
          <w:t>a number of risks, uncertainties (some of which are beyond our control) or other assumptions, including the risk factors set forth in the "</w:t>
        </w:r>
        <w:r>
          <w:rPr>
            <w:rFonts w:ascii="Arial" w:cs="Arial" w:eastAsia="Arial" w:hAnsi="Arial"/>
            <w:sz w:val="17"/>
            <w:szCs w:val="17"/>
            <w:u w:val="single" w:color="auto"/>
            <w:color w:val="0000FF"/>
          </w:rPr>
          <w:t>Item 1A - Risk</w:t>
        </w:r>
      </w:hyperlink>
      <w:r>
        <w:rPr>
          <w:rFonts w:ascii="Arial" w:cs="Arial" w:eastAsia="Arial" w:hAnsi="Arial"/>
          <w:sz w:val="17"/>
          <w:szCs w:val="17"/>
          <w:color w:val="auto"/>
        </w:rPr>
        <w:t xml:space="preserve"> </w:t>
      </w:r>
      <w:hyperlink w:anchor="page16">
        <w:r>
          <w:rPr>
            <w:rFonts w:ascii="Arial" w:cs="Arial" w:eastAsia="Arial" w:hAnsi="Arial"/>
            <w:sz w:val="17"/>
            <w:szCs w:val="17"/>
            <w:u w:val="single" w:color="auto"/>
            <w:color w:val="0000FF"/>
          </w:rPr>
          <w:t>Factors</w:t>
        </w:r>
        <w:r>
          <w:rPr>
            <w:rFonts w:ascii="Arial" w:cs="Arial" w:eastAsia="Arial" w:hAnsi="Arial"/>
            <w:sz w:val="17"/>
            <w:szCs w:val="17"/>
            <w:color w:val="000000"/>
          </w:rPr>
          <w:t xml:space="preserve">" section of this Annual Report on Form 10-K, that may cause our actual results or performance to be materially different from those expressed </w:t>
        </w:r>
      </w:hyperlink>
      <w:r>
        <w:rPr>
          <w:rFonts w:ascii="Arial" w:cs="Arial" w:eastAsia="Arial" w:hAnsi="Arial"/>
          <w:sz w:val="17"/>
          <w:szCs w:val="17"/>
          <w:color w:val="0000FF"/>
        </w:rPr>
        <w:t xml:space="preserve">or </w:t>
      </w:r>
      <w:r>
        <w:rPr>
          <w:rFonts w:ascii="Arial" w:cs="Arial" w:eastAsia="Arial" w:hAnsi="Arial"/>
          <w:sz w:val="17"/>
          <w:szCs w:val="17"/>
          <w:color w:val="000000"/>
        </w:rPr>
        <w:t>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7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You should read this Annual Report on Form 10-K with the understanding that our actual future results, levels of activity, performance and achievements may be materially different from what we expect. We qualify all of our forward-looking statements by these cautionary statements.</w:t>
      </w:r>
    </w:p>
    <w:p>
      <w:pPr>
        <w:spacing w:after="0" w:line="14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Terms Used in this Annual Report on Form 10-K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used in this Annual Report on Form 10-K, unless the context otherwise requires, references to the terms "Company," "Priority," "we," "us" and "our" refer to Priority Technology Holdings,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5" w:right="61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Company</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Priority is a payments technology company that leverages a purpose-built platform to enable clients to collect, store and send money, operating at scale. We help our customers take and make payments while managing business and consumer operating accounts to monetize payment networks. Our tailored, agile technology powers high-value payments products bolstered by our industry leading personalized support.</w:t>
      </w:r>
    </w:p>
    <w:p>
      <w:pPr>
        <w:spacing w:after="0" w:line="160"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Priority was established in 2005 and has grown from a founder financed startup to become the 6</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largest non-bank merchant acquirer in the United States ("U.S.") by volume. Since inception, we have built a native technology platform that provides all forms of payments </w:t>
      </w:r>
      <w:r>
        <w:rPr>
          <w:rFonts w:ascii="Arial" w:cs="Arial" w:eastAsia="Arial" w:hAnsi="Arial"/>
          <w:sz w:val="17"/>
          <w:szCs w:val="17"/>
          <w:color w:val="212529"/>
        </w:rPr>
        <w:t>(card acquiring and issuing, automated</w:t>
      </w:r>
      <w:r>
        <w:rPr>
          <w:rFonts w:ascii="Arial" w:cs="Arial" w:eastAsia="Arial" w:hAnsi="Arial"/>
          <w:sz w:val="17"/>
          <w:szCs w:val="17"/>
          <w:color w:val="auto"/>
        </w:rPr>
        <w:t xml:space="preserve"> </w:t>
      </w:r>
      <w:r>
        <w:rPr>
          <w:rFonts w:ascii="Arial" w:cs="Arial" w:eastAsia="Arial" w:hAnsi="Arial"/>
          <w:sz w:val="17"/>
          <w:szCs w:val="17"/>
          <w:color w:val="212529"/>
        </w:rPr>
        <w:t xml:space="preserve">clearing house ("ACH"), check and wire) and embedded banking services that serve </w:t>
      </w:r>
      <w:r>
        <w:rPr>
          <w:rFonts w:ascii="Arial" w:cs="Arial" w:eastAsia="Arial" w:hAnsi="Arial"/>
          <w:sz w:val="17"/>
          <w:szCs w:val="17"/>
          <w:color w:val="000000"/>
        </w:rPr>
        <w:t>small and medium-sized businesses ("SMB")</w:t>
      </w:r>
      <w:r>
        <w:rPr>
          <w:rFonts w:ascii="Arial" w:cs="Arial" w:eastAsia="Arial" w:hAnsi="Arial"/>
          <w:sz w:val="17"/>
          <w:szCs w:val="17"/>
          <w:color w:val="212529"/>
        </w:rPr>
        <w:t>, i</w:t>
      </w:r>
      <w:r>
        <w:rPr>
          <w:rFonts w:ascii="Arial" w:cs="Arial" w:eastAsia="Arial" w:hAnsi="Arial"/>
          <w:sz w:val="17"/>
          <w:szCs w:val="17"/>
          <w:color w:val="000000"/>
        </w:rPr>
        <w:t>ndependent software</w:t>
      </w:r>
      <w:r>
        <w:rPr>
          <w:rFonts w:ascii="Arial" w:cs="Arial" w:eastAsia="Arial" w:hAnsi="Arial"/>
          <w:sz w:val="17"/>
          <w:szCs w:val="17"/>
          <w:color w:val="212529"/>
        </w:rPr>
        <w:t xml:space="preserve"> </w:t>
      </w:r>
      <w:r>
        <w:rPr>
          <w:rFonts w:ascii="Arial" w:cs="Arial" w:eastAsia="Arial" w:hAnsi="Arial"/>
          <w:sz w:val="17"/>
          <w:szCs w:val="17"/>
          <w:color w:val="000000"/>
        </w:rPr>
        <w:t>vendor ("</w:t>
      </w:r>
      <w:r>
        <w:rPr>
          <w:rFonts w:ascii="Arial" w:cs="Arial" w:eastAsia="Arial" w:hAnsi="Arial"/>
          <w:sz w:val="17"/>
          <w:szCs w:val="17"/>
          <w:color w:val="212529"/>
        </w:rPr>
        <w:t>ISV") and enterprise customers. Collectively, our single platform to collect, store and send money currently processes over 60 billion transactions</w:t>
      </w:r>
      <w:r>
        <w:rPr>
          <w:rFonts w:ascii="Arial" w:cs="Arial" w:eastAsia="Arial" w:hAnsi="Arial"/>
          <w:sz w:val="17"/>
          <w:szCs w:val="17"/>
          <w:color w:val="000000"/>
        </w:rPr>
        <w:t xml:space="preserve"> </w:t>
      </w:r>
      <w:r>
        <w:rPr>
          <w:rFonts w:ascii="Arial" w:cs="Arial" w:eastAsia="Arial" w:hAnsi="Arial"/>
          <w:sz w:val="17"/>
          <w:szCs w:val="17"/>
          <w:color w:val="212529"/>
        </w:rPr>
        <w:t xml:space="preserve">in payment volume on behalf of its approximately 240,000 SMB and ISV customers and has established approximately 75,000 supplier relationships. Priority maintains a global business platform with </w:t>
      </w:r>
      <w:r>
        <w:rPr>
          <w:rFonts w:ascii="Arial" w:cs="Arial" w:eastAsia="Arial" w:hAnsi="Arial"/>
          <w:sz w:val="17"/>
          <w:szCs w:val="17"/>
          <w:color w:val="000000"/>
        </w:rPr>
        <w:t>790</w:t>
      </w:r>
      <w:r>
        <w:rPr>
          <w:rFonts w:ascii="Arial" w:cs="Arial" w:eastAsia="Arial" w:hAnsi="Arial"/>
          <w:sz w:val="17"/>
          <w:szCs w:val="17"/>
          <w:color w:val="212529"/>
        </w:rPr>
        <w:t xml:space="preserve"> employees operating from its headquarters in Alpharetta, GA and offices in other locations, including New York, NY; San Jose, CA; Chattanooga, TN; Raleigh, NC and Chandigarh, India.</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Priority delivers value to its partners by leveraging a native banking and payments technology to deliver solutions that power modern commerce for SMBs and enterprise software and business partners. Our approach is simple, we handle the complexities of payments and banking to free our partners to focus on their core business objectives. Priority provides end-to-end operational support including risk management and underwriting, full compliance and customer service.</w:t>
      </w:r>
    </w:p>
    <w:p>
      <w:pPr>
        <w:spacing w:after="0" w:line="18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Our growth has been underpinned by three key strengths: 1) market leading proprietary product platforms in SMB, business-to-business ("B2B") and Enterprise Payments verticals; 2) focused distribution engines dedicated to helping our partners monetize their merchant payment networks; and 3) a cost-efficient, agile payment, banking and business processing infrastructure, purpose-built to support our partners in operating in these distinct market verticals.</w:t>
      </w:r>
    </w:p>
    <w:p>
      <w:pPr>
        <w:spacing w:after="0" w:line="14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Priority's solutions are delivered via internally developed payment applications and services to the SMB Payments, B2B Payments and Enterprise Payments business segments.</w:t>
      </w:r>
    </w:p>
    <w:p>
      <w:pPr>
        <w:spacing w:after="0" w:line="170" w:lineRule="exact"/>
        <w:rPr>
          <w:sz w:val="20"/>
          <w:szCs w:val="20"/>
          <w:color w:val="auto"/>
        </w:rPr>
      </w:pPr>
    </w:p>
    <w:p>
      <w:pPr>
        <w:ind w:left="660" w:right="48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SMB Payments</w:t>
      </w:r>
      <w:r>
        <w:rPr>
          <w:rFonts w:ascii="Arial" w:cs="Arial" w:eastAsia="Arial" w:hAnsi="Arial"/>
          <w:sz w:val="18"/>
          <w:szCs w:val="18"/>
          <w:color w:val="auto"/>
        </w:rPr>
        <w:t>: Provides full-service acquiring and payment-enabled solutions for business to consumer ("B2C") transactions, leveraging</w:t>
      </w:r>
      <w:r>
        <w:rPr>
          <w:rFonts w:ascii="Arial" w:cs="Arial" w:eastAsia="Arial" w:hAnsi="Arial"/>
          <w:sz w:val="18"/>
          <w:szCs w:val="18"/>
          <w:i w:val="1"/>
          <w:iCs w:val="1"/>
          <w:color w:val="auto"/>
        </w:rPr>
        <w:t xml:space="preserve"> </w:t>
      </w:r>
      <w:r>
        <w:rPr>
          <w:rFonts w:ascii="Arial" w:cs="Arial" w:eastAsia="Arial" w:hAnsi="Arial"/>
          <w:sz w:val="18"/>
          <w:szCs w:val="18"/>
          <w:color w:val="auto"/>
        </w:rPr>
        <w:t>Priority's proprietary software platform, distributed through independent sales organizations ("ISO"), direct sales and vertically focused ISV channels.</w:t>
      </w:r>
    </w:p>
    <w:p>
      <w:pPr>
        <w:spacing w:after="0" w:line="183"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B2B Payments</w:t>
      </w:r>
      <w:r>
        <w:rPr>
          <w:rFonts w:ascii="Arial" w:cs="Arial" w:eastAsia="Arial" w:hAnsi="Arial"/>
          <w:sz w:val="18"/>
          <w:szCs w:val="18"/>
          <w:color w:val="auto"/>
        </w:rPr>
        <w:t>: Provides market-leading accounts payable ("AP") automation solutions to corporations, software partners and industry leading</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institutions ("FI") (including Citibank, Mastercard and American Express).</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Enterprise Payments</w:t>
      </w:r>
      <w:r>
        <w:rPr>
          <w:rFonts w:ascii="Arial" w:cs="Arial" w:eastAsia="Arial" w:hAnsi="Arial"/>
          <w:sz w:val="18"/>
          <w:szCs w:val="18"/>
          <w:color w:val="auto"/>
        </w:rPr>
        <w:t>: Provides embedded payment and banking solutions to enterprise customers to modernize legacy platforms and accelerate</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partners' strategies to monetize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SMB MX product line provides technology-enabled payment acceptance and business management capabilities to merchants, enterprises and our distribution partners. The MX product line includes MX Connect and our MX Merchant products, which together provide resellers and merchant clients a flexible and customizable set of business applications that help better manage critical business work functions and revenue performance using core payment processing as our leverage point. MX Connect provides our SMB payments reselling partners with automated tools that support low friction merchant on-boarding, underwriting and risk management, client service, and commission processing through a single mobile-enabled, web-based interface. The result is a smooth merchant activation onto our flagship consumer payments offering, MX Merchant, which provides core processing and business solutions to SMB clients. In addition to payment processing, the MX Merchant product line encompasses a variety of proprietary and third-party product applications that merchants can adopt such as MX Insights, MX Storefront, MX Retail, MX Invoice, MX B2B and ACH.com, among others. This comprehensive suite of solutions enables merchants to 1) identify key consumer trends in their businesses; 2) quickly implement e-commerce or retail point-of-sale ("POS") solutions; and 3) handle ACH payments. By empowering resellers to adopt a consultative selling approach and embedding our technology into the critical day-to-day workflows and operations of both merchants and resellers, we believe that we have established and maintained "sticky" relationships. We believe that our strong retention, coupled with consistent merchant onboarding, have resulted in strong processing volume and revenue growth.</w:t>
      </w:r>
    </w:p>
    <w:p>
      <w:pPr>
        <w:spacing w:after="0" w:line="18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to our SMB offering, we have diversified our source of revenues through our growing presence in the B2B market. We provide automated AP offerings to our enterprise clients and FIs through our CPX platform. Our CPX platform offers clients a seamless bridge for buyer-to-supplier (payor-to-provider) payments by integrating directly to a buyer's payment instruction file and parsing it for payment to suppliers via virtual card, purchase card, ACH +, dynamic discounting or check. Successful implementation of our AP automation solutions provides: 1) suppliers with the benefits of cash acceleration;</w:t>
      </w:r>
    </w:p>
    <w:p>
      <w:pPr>
        <w:spacing w:after="0" w:line="1" w:lineRule="exact"/>
        <w:rPr>
          <w:sz w:val="20"/>
          <w:szCs w:val="20"/>
          <w:color w:val="auto"/>
        </w:rPr>
      </w:pPr>
    </w:p>
    <w:p>
      <w:pPr>
        <w:ind w:right="160" w:firstLine="8"/>
        <w:spacing w:after="0" w:line="295" w:lineRule="auto"/>
        <w:tabs>
          <w:tab w:leader="none" w:pos="195" w:val="left"/>
        </w:tabs>
        <w:numPr>
          <w:ilvl w:val="0"/>
          <w:numId w:val="4"/>
        </w:numPr>
        <w:rPr>
          <w:rFonts w:ascii="Arial" w:cs="Arial" w:eastAsia="Arial" w:hAnsi="Arial"/>
          <w:sz w:val="16"/>
          <w:szCs w:val="16"/>
          <w:color w:val="auto"/>
        </w:rPr>
      </w:pPr>
      <w:r>
        <w:rPr>
          <w:rFonts w:ascii="Arial" w:cs="Arial" w:eastAsia="Arial" w:hAnsi="Arial"/>
          <w:sz w:val="16"/>
          <w:szCs w:val="16"/>
          <w:color w:val="auto"/>
        </w:rPr>
        <w:t>buyers with valuable rebate/discount revenue: and 3) the Company with stable sources of payment processing and other revenue. Additionally, we provide curated managed services and a robust suite of integrated AP automation solutions to industry leading FIs and card networks such as Citibank, Mastercard, Visa and American Express, among others. Considering that the commercial payments volume in the U.S. is over twice the size of consumer payments and substantially less penetrated for electronic payments, we believe that this market represents a high growth opportunity for us.</w:t>
      </w:r>
    </w:p>
    <w:p>
      <w:pPr>
        <w:spacing w:after="0" w:line="16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Enterprise Payments segment provides embedded payment and banking solutions to enterprise customers that modernize legacy platforms and accelerate modern software partners looking to monetize payment components. We provide solutions for</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ISVs, third-party integrators, and merchants that allow for the leveraging of our core payments engine, our automated payables platform or our account ledgering capabilities all via APIs resources.</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generate revenue primarily from payment processing transactions, and to a lesser extent, from monthly subscription services and other solutions provided to customers. Payment processing fees are generated from the ongoing sales of our merchants and are governed by multi-year merchant contracts. As a result, payment processing fees are highly recurring in nature. Due to the nature of our strong reseller-centric distribution model and differentiated technology offering, we can drive efficient scale and operating leverage, generating robust margins and profitability.</w:t>
      </w:r>
    </w:p>
    <w:p>
      <w:pPr>
        <w:spacing w:after="0" w:line="171" w:lineRule="exact"/>
        <w:rPr>
          <w:sz w:val="20"/>
          <w:szCs w:val="20"/>
          <w:color w:val="auto"/>
        </w:rPr>
      </w:pPr>
    </w:p>
    <w:p>
      <w:pPr>
        <w:ind w:right="40"/>
        <w:spacing w:after="0" w:line="255" w:lineRule="auto"/>
        <w:rPr>
          <w:rFonts w:ascii="Arial" w:cs="Arial" w:eastAsia="Arial" w:hAnsi="Arial"/>
          <w:sz w:val="18"/>
          <w:szCs w:val="18"/>
          <w:color w:val="auto"/>
        </w:rPr>
      </w:pPr>
      <w:r>
        <w:rPr>
          <w:rFonts w:ascii="Arial" w:cs="Arial" w:eastAsia="Arial" w:hAnsi="Arial"/>
          <w:sz w:val="18"/>
          <w:szCs w:val="18"/>
          <w:color w:val="auto"/>
        </w:rPr>
        <w:t>For the year ended December 31, 2021, we generated revenue of $514.9 million, net loss attributable to common stockholders of $24.6 million and Adjusted EBITDA (a non-GAAP liquidity measure) of $96.3 million, compared to revenue of $404.3 million, net income attributable to common stockholders of $25.7 million, and Adjusted EBITDA of $70.3 million for the year ended December 31, 2020. For a discussion of Adjusted EBITDA and a reconciliation to net income (loss), the most directly comparable measure under generally accepted accounting principles ("GAAP"), please see the section entitled "</w:t>
      </w:r>
      <w:hyperlink w:anchor="page29">
        <w:r>
          <w:rPr>
            <w:rFonts w:ascii="Arial" w:cs="Arial" w:eastAsia="Arial" w:hAnsi="Arial"/>
            <w:sz w:val="18"/>
            <w:szCs w:val="18"/>
            <w:u w:val="single" w:color="auto"/>
            <w:color w:val="0000FF"/>
          </w:rPr>
          <w:t>Item 7 - Management's Discussion and Analysis of Financial Conditions and Results of Operations Liquidity and Capital Resources</w:t>
        </w:r>
      </w:hyperlink>
      <w:r>
        <w:rPr>
          <w:rFonts w:ascii="Arial" w:cs="Arial" w:eastAsia="Arial" w:hAnsi="Arial"/>
          <w:sz w:val="18"/>
          <w:szCs w:val="18"/>
          <w:color w:val="auto"/>
        </w:rPr>
        <w:t>" in Part II of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payment processing industry provides merchants with credit, debit, gift, loyalty card and other payment processing services, along with related value-added solutions and information services. The industry continues to grow, driven by wider merchant acceptance, increased use of electronic payments and advances in payment technology. The proliferation of bankcards and the use of other payment technologies has made the acceptance of electronic payments through multiple channels a virtual necessity for many businesses to remain competitive. The increased use and acceptance of bankcards and the availability of more sophisticated products and services has resulted in a highly competitive, specialized industry.</w:t>
      </w:r>
    </w:p>
    <w:p>
      <w:pPr>
        <w:spacing w:after="0" w:line="17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Services to the SMB merchant market have been historically characterized by basic payment processing without ready access to more sophisticated technology, value-added solutions, or customer service that are typically offered to large merchants. To keep up with the changing demands of how consumers wish to pay for goods and services, we believe that SMB merchants increasingly recognize the need for value-added services wrapped around omni-channel payment solutions that are tailored to their specific business needs.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Industry Trends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key trends we believe are impacting the merchant acquiring/payment processing industry:</w:t>
      </w:r>
    </w:p>
    <w:p>
      <w:pPr>
        <w:spacing w:after="0" w:line="225" w:lineRule="exact"/>
        <w:rPr>
          <w:sz w:val="20"/>
          <w:szCs w:val="20"/>
          <w:color w:val="auto"/>
        </w:rPr>
      </w:pPr>
    </w:p>
    <w:p>
      <w:pPr>
        <w:ind w:left="660" w:right="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 Toward Electronic Transactions – We believe the continued shift from cash/paper payments toward electronic/card payments will drive growth for merchant acquirers and processors as volume continues to grow correspondingly. We believe this migration and overall market growth will continue to provide tailwinds to the electronic payments industry.</w:t>
      </w:r>
    </w:p>
    <w:p>
      <w:pPr>
        <w:spacing w:after="0" w:line="183" w:lineRule="exact"/>
        <w:rPr>
          <w:rFonts w:ascii="Arial" w:cs="Arial" w:eastAsia="Arial" w:hAnsi="Arial"/>
          <w:sz w:val="18"/>
          <w:szCs w:val="18"/>
          <w:color w:val="auto"/>
        </w:rPr>
      </w:pPr>
    </w:p>
    <w:p>
      <w:pPr>
        <w:ind w:left="660" w:right="60" w:hanging="328"/>
        <w:spacing w:after="0" w:line="273"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Convergence of Payments and Banking – As consumer behavior shifts due to the COVID-19 pandemic, the scale of disruption is likely to grow dramatically and the speed of change will continue to rise in the months to come. The appetite of both merchants and consumers for new alternatives to traditional payment options is top of mind and Big tech companies, fintechs, challenger banks and other non-bank entrants are driving market disruption by offering customers better user experiences at lower prices. The continued displacement of cash and checks over the next several years, helped along by customers' adoption of digital shopping and fueled by their desire to avoid contact with physical infrastructure and objects, will create even more opportunities for disruption in payments.</w:t>
      </w:r>
    </w:p>
    <w:p>
      <w:pPr>
        <w:spacing w:after="0" w:line="177" w:lineRule="exact"/>
        <w:rPr>
          <w:rFonts w:ascii="Arial" w:cs="Arial" w:eastAsia="Arial" w:hAnsi="Arial"/>
          <w:sz w:val="17"/>
          <w:szCs w:val="17"/>
          <w:color w:val="auto"/>
        </w:rPr>
      </w:pPr>
    </w:p>
    <w:p>
      <w:pPr>
        <w:ind w:left="660" w:right="120" w:hanging="328"/>
        <w:spacing w:after="0" w:line="279"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Mobile Payments – Historically, e-commerce was conducted on a computer via a web browser; however, as mobile technologies continue to proliferate, consumers are making more purchases through mobile browsers and native mobile applications. We believe this shift represents a significant opportunity given the high growth rates of mobile payments volume, higher fees for card-not-present and cross-border processing and potential for the in-app economy to stimulate and/or alter consumer spending behavior.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560"/>
        <w:spacing w:after="0" w:line="286" w:lineRule="auto"/>
        <w:rPr>
          <w:sz w:val="20"/>
          <w:szCs w:val="20"/>
          <w:color w:val="auto"/>
        </w:rPr>
      </w:pPr>
      <w:r>
        <w:rPr>
          <w:rFonts w:ascii="Arial" w:cs="Arial" w:eastAsia="Arial" w:hAnsi="Arial"/>
          <w:sz w:val="17"/>
          <w:szCs w:val="17"/>
          <w:color w:val="auto"/>
        </w:rPr>
        <w:t>B2B payments is the largest payment market in the U.S. by volume and presents a significant opportunity for payment providers to capitalize on the conversion of check and paper-based payments to electronic payments, including card-based acceptance. As businesses have increasingly looked to improve efficiency and reduce costs, the electronification of B2B payments has gained momentum.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possess certain attributes that we believe differentiate us as a leading provider of merchant acquiring, commercial payment and banking as a service ("BaaS") solutions in the U.S. Our key competitive strengths include:</w:t>
      </w:r>
    </w:p>
    <w:p>
      <w:pPr>
        <w:spacing w:after="0" w:line="170" w:lineRule="exact"/>
        <w:rPr>
          <w:sz w:val="20"/>
          <w:szCs w:val="20"/>
          <w:color w:val="auto"/>
        </w:rPr>
      </w:pPr>
    </w:p>
    <w:p>
      <w:pPr>
        <w:ind w:left="660" w:right="60" w:hanging="328"/>
        <w:spacing w:after="0" w:line="273"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Diverse Reseller Community – We maintain strong reseller relationships with approximately 1,300 partners, including ISOs, FIs, ISVs, value-added resellers ("VARs") and other referral partners. MX Connect enables resellers to efficiently market merchant acquiring solutions to a broad base of merchants through a one-to-many distribution model. We believe that our ability to service our reseller partners through a comprehensive offering provides a competitive advantage that has allowed the Company to build a large, diverse merchant base characterized by high retention. The strengths of our technology offering are manifested in the fact that we maintain ownership of merchant contracts, with most reseller contracts including strong non-solicit and portability restrictions.</w:t>
      </w:r>
    </w:p>
    <w:p>
      <w:pPr>
        <w:spacing w:after="0" w:line="177" w:lineRule="exact"/>
        <w:rPr>
          <w:rFonts w:ascii="Arial" w:cs="Arial" w:eastAsia="Arial" w:hAnsi="Arial"/>
          <w:sz w:val="17"/>
          <w:szCs w:val="17"/>
          <w:color w:val="auto"/>
        </w:rPr>
      </w:pPr>
    </w:p>
    <w:p>
      <w:pPr>
        <w:ind w:left="660" w:right="20" w:hanging="328"/>
        <w:spacing w:after="0" w:line="270"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Comprehensive Suite of Payment Solutions – We offer a comprehensive and differentiated suite of traditional and emerging payment products and services that enables SMBs to address their payment needs through one provider. Our purpose-built proprietary technology provides technology-enabled payment acceptance and business management solutions to merchants, enterprises and ISVs. We provide a payment processing platform that allows merchants to accept electronic payments (e.g., credit cards, debit cards, and ACH) at the POS, online, and via mobile payment technologies. We deliver innovative business management products and add-on features that meet the needs of SMBs across different vertical markets. Additionally, with our BaaS offerings, we are uniquely positioned to collect, store and send money on behalf of our customers. As a result, we believe we are well-positioned to capitalize on the trend towards integrated payments solutions, new technology adoption and value-add service utilization that is underway in the SMB market. We believe our solutions facilitate a superior merchant experience that results in increased customer lifetime value.</w:t>
      </w:r>
    </w:p>
    <w:p>
      <w:pPr>
        <w:spacing w:after="0" w:line="180" w:lineRule="exact"/>
        <w:rPr>
          <w:rFonts w:ascii="Arial" w:cs="Arial" w:eastAsia="Arial" w:hAnsi="Arial"/>
          <w:sz w:val="17"/>
          <w:szCs w:val="17"/>
          <w:color w:val="auto"/>
        </w:rPr>
      </w:pPr>
    </w:p>
    <w:p>
      <w:pPr>
        <w:ind w:left="660" w:hanging="328"/>
        <w:spacing w:after="0" w:line="255"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Highly Scalable Business Model with Operating Leverage – As a result of thoughtful investments in our technology, we have developed robust and differentiated infrastructure that has enabled us to scale in a cost-efficient manner. Our operating efficiency supports a low capital expenditure environment to develop product enhancements that drive organic growth across our SMB and B2B payment ecosystems, as well as, attract both reselling partners and enterprise clients looking for best-in-class solutions. By creating a cost-efficient environment that facilitates the combination of ongoing product innovation to drive organic growth and stable cash flow to fund acquisitions, we anticipate ongoing economies of scale and increased margins over time.</w:t>
      </w:r>
    </w:p>
    <w:p>
      <w:pPr>
        <w:spacing w:after="0" w:line="192" w:lineRule="exact"/>
        <w:rPr>
          <w:rFonts w:ascii="Arial" w:cs="Arial" w:eastAsia="Arial" w:hAnsi="Arial"/>
          <w:sz w:val="18"/>
          <w:szCs w:val="18"/>
          <w:color w:val="auto"/>
        </w:rPr>
      </w:pPr>
    </w:p>
    <w:p>
      <w:pPr>
        <w:ind w:left="660" w:right="8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Experienced Management Team Led by Industry Veterans – Our executive management team has a record of execution in the merchant acquiring and technology-enabled payments industry. Our team has continued to develop and enhance our proprietary and innovative technology platforms that differentiate us in the payments industry. We invest to attract and retain executive leadership that align with the opportunities in the market and our strategic focus.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intend to continue to execute a multi-pronged growth strategy, with diverse organic initiatives supplemented by acquisitions. Growth strategies include: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Growth in our Consumer Reseller and Merchant Base</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expect to grow through our existing reseller network and merchant base by capitalizing on the organic growth of existing merchant volume and reseller merchant portfolios. By providing resellers with agile tools to manage their sales businesses and grow their merchant portfolio, we have established a solid base from which to generate new merchant adoption and retain existing merchants. By engaging in a consultative partnership approach, we maintain strong relationships with our reseller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partners and continue to exhibit strong merchant adoption and volume growth trends. Through our resellers, we provide merchants with full-service acquiring solutions, as well as value-added services and tools to streamline their business processes and enable them to focus on driving same store sales growth.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Deploy our Banking as a Service Solution to Enterprise Customers</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6"/>
          <w:szCs w:val="16"/>
          <w:color w:val="auto"/>
        </w:rPr>
        <w:t>Our Enterprise Payments segment, and its flagship product Priority Passport enables software partners and business platform customers to embed our payments and banking solutions into their core operating and business systems that deliver a fully automated and digital experience to collect, store and</w:t>
      </w:r>
    </w:p>
    <w:p>
      <w:pPr>
        <w:spacing w:after="0"/>
        <w:rPr>
          <w:sz w:val="20"/>
          <w:szCs w:val="20"/>
          <w:color w:val="auto"/>
        </w:rPr>
      </w:pPr>
      <w:r>
        <w:rPr>
          <w:rFonts w:ascii="Arial" w:cs="Arial" w:eastAsia="Arial" w:hAnsi="Arial"/>
          <w:sz w:val="17"/>
          <w:szCs w:val="17"/>
          <w:color w:val="auto"/>
        </w:rPr>
        <w:t>send money for their customers. Through Passport, Priority delivers a full BaaS solution to customers that manages the inflows and outflows, and</w:t>
      </w:r>
    </w:p>
    <w:p>
      <w:pPr>
        <w:spacing w:after="0" w:line="61" w:lineRule="exact"/>
        <w:rPr>
          <w:sz w:val="20"/>
          <w:szCs w:val="20"/>
          <w:color w:val="auto"/>
        </w:rPr>
      </w:pPr>
    </w:p>
    <w:p>
      <w:pPr>
        <w:ind w:right="160"/>
        <w:spacing w:after="0" w:line="308" w:lineRule="auto"/>
        <w:rPr>
          <w:sz w:val="20"/>
          <w:szCs w:val="20"/>
          <w:color w:val="auto"/>
        </w:rPr>
      </w:pPr>
      <w:r>
        <w:rPr>
          <w:rFonts w:ascii="Arial" w:cs="Arial" w:eastAsia="Arial" w:hAnsi="Arial"/>
          <w:sz w:val="16"/>
          <w:szCs w:val="16"/>
          <w:color w:val="auto"/>
        </w:rPr>
        <w:t>reconciliation, of all forms of payments (ACH, wire, check, credit and debit) for an infinite number of clients from a single bank account. The platform today manages over 340,000 active accounts and, through its nationwide money transmission licenses, handles approximately $500.0 million in deposits</w:t>
      </w:r>
    </w:p>
    <w:p>
      <w:pPr>
        <w:ind w:right="260"/>
        <w:spacing w:after="0" w:line="342" w:lineRule="auto"/>
        <w:rPr>
          <w:sz w:val="20"/>
          <w:szCs w:val="20"/>
          <w:color w:val="auto"/>
        </w:rPr>
      </w:pPr>
      <w:r>
        <w:rPr>
          <w:rFonts w:ascii="Arial" w:cs="Arial" w:eastAsia="Arial" w:hAnsi="Arial"/>
          <w:sz w:val="16"/>
          <w:szCs w:val="16"/>
          <w:color w:val="auto"/>
        </w:rPr>
        <w:t>across a growing number of partners. This segment is quickly growing as marketplaces, gig economy platforms, software partners, and legacy business platforms are incorporating features of payment processing and banking services into their customer experience and enhance their offering.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 our Network of Distribution Partners</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have established and maintained a strong position within the reseller community with approximately 1,300 partners. We intend to continue to expand our distribution network to reach new partners, particularly with ISVs and VARs to expand technology and integrated partnerships. We believe that our technology offering enables us to attract and retain, high-quality resellers focused on growth.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Deploy Industry Specific Payment Technology</w:t>
      </w:r>
    </w:p>
    <w:p>
      <w:pPr>
        <w:spacing w:after="0" w:line="22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We intend to continue to enhance and deploy our technology-enabled payment solutions in attractive industries. Specifically, we will continue to expand our capabilities to collect, store and send money into industry-specific verticals. We continue to identify and evaluate new, attractive industries where we can deliver differentiated technology-enabled payment solutions that meet merchants' industry-specific needs.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 Electronic Payments Share of B2B Transactions with CPX</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a growing presence in the commercial payments market where we provide curated managed services and AP automation solutions to industry leading FIs and card networks such as Citibank, Mastercard, Visa and American Express. The commercial payments market is the largest and one of the fastest growing payments markets in the U.S. by volume. We are well positioned to capitalize on the shift from check to electronic payments, which currently lags the consumer payments market, by eliminating the friction between buyers and suppliers through our industry leading offerings. We believe this will drive strong growth and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Accretive Acquisitions</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With a consistent, long-term goal of maximizing stockholder value, we intend to selectively pursue strategic and tactical acquisitions that meet our established criteria. We actively seek potential acquisition candidates that exhibit certain attractive attributes including predictable and recurring revenue, a scalable operating model, low capital intensity complementary technology offerings and a strong cultural fit. Our operating infrastructure is purpose-built to rapidly and seamlessly consolidate complementary businesses into our ecosystem all while optimizing revenue and cost synergies.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Distribution</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reach our SMB segment through three primary sales channels: 1) ISOs (Retail and Wholesale) and Agents; 2) FIs; and 3) ISVs and VARs. Our cloud-based solution, MX Connect, allows our partners and resellers to engage merchants for processing services and a host of value-added features designed to enhance their customer relationships. Our merchants utilize our cloud-based MX Merchant product suite to manage their businesses and process transactions. This separate solution increases our ability to retain the merchant if the ISO were to leave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Our B2B segment obtains its partner clients through: 1) direct sales initiatives; 2) ISVs and business partnerships; 3) the card networks (Mastercard, Visa, American Express); and 4) large U.S. banking institutions. We support a direct vendor sales model that provides turn-key merchant development, product sales and supplier enablement programs. By establishing a seamless bridge for buyer-to-supplier (payor-to-provider) payments that is integrated directly to a buyer's payment instruction file to facilitate payments to vendors via all payment types (virtual card, purchase card, ACH +, dynamic discounting), we have established ourselves as one of the top solutions in commercial payments.</w:t>
      </w:r>
    </w:p>
    <w:p>
      <w:pPr>
        <w:spacing w:after="0" w:line="17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Our market strategy has resulted in a merchant base that we believe is diversified across both industries and geographies resulting in, what we believe, is more stable average profitability per merchant. Only one single reseller relationship contributes more than 10% of total bankcard processing volume, and that one relationship represents approximately 18% of our total bankcard processing volume.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Disaster Recovery and Back-up Systems</w:t>
      </w:r>
    </w:p>
    <w:p>
      <w:pPr>
        <w:spacing w:after="0" w:line="22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As a result of routine business operations, we store information relating to our merchants and their transactions. Because this information is considered sensitive in nature, we maintain a high level of security to protect it. Our computational systems are continually updated and audited to the latest security standards as defined by 1) payment card industry and data security standards; and 2) the Payment Card Industry Security Standards Council. As such, we have a dedicated team responsible for responding to security incidents. This team develops, maintains, tests and verifies our incident response plan. The primary function of this team is to react and respond to intrusions, denial of service, data leakage, malware, vandalism and other events that could potentially jeopardize data availability, integrity and confidentiality. In addition to handling security incidents, the incident response team continually educates themselves and us on information security matters.</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High-availability and disaster recovery are provided through a combination of redundant hardware and software running at two geographically distinct data centers. Each data center deployment is an exact mirror of the other and each can handle all technical, payment and business operations for all product lines independently. If one data center becomes impaired, the traffic is automatically redirected to the other. Business continuity planning drills are run each quarter to test fail-over and recovery as well as staff operations and readiness.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Processors and Sponsor Banks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partner with various vendors in the payments value chain, most notably processors and sponsor banks which sit between us (the merchant acquirer) and the card networks, to assist us in providing payment processing services to merchant clients. Processing is a scale-driven business in which many acquirers outsource the processing function to a small number of large processors. In these partnerships, we serve as a merchant acquirer and enter into processing agreements with payment processors, such as First Data or TSYS, to assist us in providing front-end and back-end transaction processing services for our merchants. These third parties are compensated for their services. These processors in turn have agreements with card networks such as Visa and Mastercard, through which the transaction information is routed in exchange for network fees.</w:t>
      </w:r>
    </w:p>
    <w:p>
      <w:pPr>
        <w:spacing w:after="0" w:line="17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To provide processing services, merchant acquirers like Priority must be registered with the card networks (e.g., Visa and Mastercard). To register with a card network in the U.S., acquirers must maintain relationships with banks willing to sponsor the merchant acquirer's adherence to the rules and standards of the card networks, or a sponsor bank. We maintain sponsor bank relationships with Wells Fargo, Synovus Bank, Pueblo Bank, Sutton Bank and Axiom Bank. For ACH payments, the Company's ACH network (ACH.com) is sponsored by Atlantic Capital Bank and Fifth Third Bank. Sponsor bank relationships enable us to route transactions under the sponsor bank's control and identification number (referred to as a BIN for Visa and ICA for Mastercard) across the card networks (or ACH network) to authorize and clear transactions.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Our thoughtful merchant and reseller underwriting policies combined with our forward-looking transaction management capabilities have enabled us to maintain low credit loss performance. Our risk management strategies are informed by a team with decades of experience managing merchant acquiring risk operations that are augmented by our modern systems designed to manage risk at the transaction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i w:val="1"/>
          <w:iCs w:val="1"/>
          <w:color w:val="auto"/>
        </w:rPr>
        <w:t xml:space="preserve">Initial Underwriting </w:t>
      </w:r>
      <w:r>
        <w:rPr>
          <w:rFonts w:ascii="Arial" w:cs="Arial" w:eastAsia="Arial" w:hAnsi="Arial"/>
          <w:sz w:val="16"/>
          <w:szCs w:val="16"/>
          <w:color w:val="auto"/>
        </w:rPr>
        <w:t>– Central to our risk management process are our front-line underwriting policies that vet all resellers and merchants prior to their</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contractual arrangements with us. Our automated risk systems pull: 1) credit bureau reports; 2) corporate ownership details; 3) anti-money laundering information; and, 4) Office of Foreign Assets Control ("OFAC") and Financial Crimes Enforcement Network ("FinCEN") information from a variety of integrated databases. The collected information is delivered to a tenured team of underwriters who conduct any necessary industry checks, financial performance analysis or owner background checks, consistent with our policies. Based upon these results, the underwriting department rejects or approves the merchant or reseller and sets appropriate merchant and reseller reserve requirements which are held by our bank sponsors on our behalf. Resellers are subject to quarterly and/or annual assessments for financial strength in compliance with our policies and adjustments to reserve levels. The results of our initial merchant underwriting process inform the transaction-level risk limits for volume, average ticket, transaction types and authorization codes that are captured by our CYRIS risk module - a proprietary risk system that monitors and reports transaction risk activity to our risk team. This transaction-level risk module, housed within MX Connect, forms the foundational risk management framework that enables the Company to optimize transaction activity and processing scale while preserving a modest aggregate risk profile that has resulted in historically low losses.</w:t>
      </w:r>
    </w:p>
    <w:p>
      <w:pPr>
        <w:spacing w:after="0" w:line="1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Real-Time Risk Monitoring </w:t>
      </w:r>
      <w:r>
        <w:rPr>
          <w:rFonts w:ascii="Arial" w:cs="Arial" w:eastAsia="Arial" w:hAnsi="Arial"/>
          <w:sz w:val="18"/>
          <w:szCs w:val="18"/>
          <w:color w:val="auto"/>
        </w:rPr>
        <w:t>– Merchant transactions are monitored on a transactional basis to proactively enforce risk controls. Our risk systems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automated evaluation of merchant transaction activity against initial underwriting settings. Transactions that are outside underwriting parameters are queued for further investigation. Also, resellers whose merchant portfolio represents a concentration of investigated merchants are evaluated for risk action (i.e., increased reserves or contract termination).</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Risk Audit </w:t>
      </w:r>
      <w:r>
        <w:rPr>
          <w:rFonts w:ascii="Arial" w:cs="Arial" w:eastAsia="Arial" w:hAnsi="Arial"/>
          <w:sz w:val="18"/>
          <w:szCs w:val="18"/>
          <w:color w:val="auto"/>
        </w:rPr>
        <w:t>– Transactions flagged by our risk monitoring systems or that demonstrate suspicious activity traits that have been flagged for review can result</w:t>
      </w:r>
      <w:r>
        <w:rPr>
          <w:rFonts w:ascii="Arial" w:cs="Arial" w:eastAsia="Arial" w:hAnsi="Arial"/>
          <w:sz w:val="18"/>
          <w:szCs w:val="18"/>
          <w:i w:val="1"/>
          <w:iCs w:val="1"/>
          <w:color w:val="auto"/>
        </w:rPr>
        <w:t xml:space="preserve"> </w:t>
      </w:r>
      <w:r>
        <w:rPr>
          <w:rFonts w:ascii="Arial" w:cs="Arial" w:eastAsia="Arial" w:hAnsi="Arial"/>
          <w:sz w:val="18"/>
          <w:szCs w:val="18"/>
          <w:color w:val="auto"/>
        </w:rPr>
        <w:t>in funds being held in addition to other risk mitigation actions. The risk mitigation actions can include: 1) non-authorization of the transaction; 2) debit of reserves; or 3) termination of the processing agreement. Merchants are periodically reviewed to assess any risk adjustments based upon their overall financial health and compliance with network standards. Merchant transaction activity is investigated for instances of business activity changes or credit impairment (and improvement).</w:t>
      </w:r>
    </w:p>
    <w:p>
      <w:pPr>
        <w:spacing w:after="0" w:line="188"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i w:val="1"/>
          <w:iCs w:val="1"/>
          <w:color w:val="auto"/>
        </w:rPr>
        <w:t xml:space="preserve">Loss Mitigation </w:t>
      </w:r>
      <w:r>
        <w:rPr>
          <w:rFonts w:ascii="Arial" w:cs="Arial" w:eastAsia="Arial" w:hAnsi="Arial"/>
          <w:sz w:val="16"/>
          <w:szCs w:val="16"/>
          <w:color w:val="auto"/>
        </w:rPr>
        <w:t>– In instances where transactions and/or individual merchants are flagged for fraud, or in instances where the transaction activity is</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in excessive charge-backs, several loss mitigation actions may be taken. These include: 1) charge-back dispute resolution; 2) merchant and reseller funds (reserves or processed batches) withheld; 3) inclusion on Network Match List to notify the industry of a "bad actor"; and/or 4) legal action.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Dispositions of Businesses</w:t>
      </w:r>
    </w:p>
    <w:p>
      <w:pPr>
        <w:spacing w:after="0" w:line="229"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On September 17, 2021, we completed our acquisition of Finxera Holdings, Inc. ("Finxera"). Finxera is a provider of deposit account management and licensed money transmission services in the U.S. The acquisition of Finxera will allow the Company to offer clients turn-key merchant services, payment facilitation, card issuing, automated payables, virtual banking, e-wallet tools, risk management, underwriting and compliance on a single platform.</w:t>
      </w:r>
    </w:p>
    <w:p>
      <w:pPr>
        <w:spacing w:after="0" w:line="149" w:lineRule="exact"/>
        <w:rPr>
          <w:sz w:val="20"/>
          <w:szCs w:val="20"/>
          <w:color w:val="auto"/>
        </w:rPr>
      </w:pPr>
    </w:p>
    <w:p>
      <w:pPr>
        <w:ind w:right="340"/>
        <w:spacing w:after="0" w:line="277" w:lineRule="auto"/>
        <w:rPr>
          <w:rFonts w:ascii="Arial" w:cs="Arial" w:eastAsia="Arial" w:hAnsi="Arial"/>
          <w:sz w:val="18"/>
          <w:szCs w:val="18"/>
          <w:color w:val="0000FF"/>
        </w:rPr>
      </w:pPr>
      <w:hyperlink w:anchor="page70">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3, Acquisitions</w:t>
        </w:r>
        <w:r>
          <w:rPr>
            <w:rFonts w:ascii="Arial" w:cs="Arial" w:eastAsia="Arial" w:hAnsi="Arial"/>
            <w:sz w:val="18"/>
            <w:szCs w:val="18"/>
            <w:color w:val="auto"/>
          </w:rPr>
          <w:t xml:space="preserve"> for additional information related to the Company's acquisitions. For information regarding our business disposal, see </w:t>
        </w:r>
        <w:r>
          <w:rPr>
            <w:rFonts w:ascii="Arial" w:cs="Arial" w:eastAsia="Arial" w:hAnsi="Arial"/>
            <w:sz w:val="18"/>
            <w:szCs w:val="18"/>
            <w:u w:val="single" w:color="auto"/>
            <w:color w:val="0000FF"/>
          </w:rPr>
          <w:t>Note 6,</w:t>
        </w:r>
      </w:hyperlink>
      <w:r>
        <w:rPr>
          <w:rFonts w:ascii="Arial" w:cs="Arial" w:eastAsia="Arial" w:hAnsi="Arial"/>
          <w:sz w:val="18"/>
          <w:szCs w:val="18"/>
          <w:color w:val="auto"/>
        </w:rPr>
        <w:t xml:space="preserve"> </w:t>
      </w:r>
      <w:hyperlink w:anchor="page70">
        <w:r>
          <w:rPr>
            <w:rFonts w:ascii="Arial" w:cs="Arial" w:eastAsia="Arial" w:hAnsi="Arial"/>
            <w:sz w:val="18"/>
            <w:szCs w:val="18"/>
            <w:u w:val="single" w:color="auto"/>
            <w:color w:val="0000FF"/>
          </w:rPr>
          <w:t>Disposal of Business</w:t>
        </w:r>
        <w:r>
          <w:rPr>
            <w:rFonts w:ascii="Arial" w:cs="Arial" w:eastAsia="Arial" w:hAnsi="Arial"/>
            <w:sz w:val="18"/>
            <w:szCs w:val="18"/>
            <w:color w:val="000000"/>
          </w:rPr>
          <w:t>.</w:t>
        </w:r>
      </w:hyperlink>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U.S. acquiring industry is highly competitive, with several large processors accounting for the majority of processing volume. When excluding banks, we ranked 6th among U.S. merchant acquirers, according to the Nilson Report issued in March 2021.</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concentration at the top of the industry is partly a result of consolidation. We believe that consolidation has also resulted in many large processors maintaining multiple, inflexible legacy IT systems that are not well-equipped to adjust to changing market requirements. We believe that the large merchant acquirers whose innovation has been hindered by these redundant, legacy systems risk losing market share to acquirers with more agile and dynamic IT systems, such as Priority.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Pricing has historically been the key factor influencing the selection of a merchant acquirer. Providers with more advanced tech-enabled services (primarily online and integrated offerings), have an advantage over providers who are operating legacy technology and offering undifferentiated services that have come under pricing pressure from higher levels of competition. High quality customer service further differentiates providers as this helps to reduce attrition. Other competitive factors that set acquirers apart include: 1) price; 2) vast product offerings; 3) partnerships with FIs; 4) servicing capability; 5) data security; and 6) functionality. Leading acquirers are expected to continue to add additional services to expand cross-selling opportunities, primarily in omni-channel payment solutions, POS software, payments security, customer loyalty and other payments-related offerings.</w:t>
      </w:r>
    </w:p>
    <w:p>
      <w:pPr>
        <w:spacing w:after="0" w:line="16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largest opportunity for acquirers to expand is within the SMB merchant market. According to the SMB Group, a markets insight firm for SMBs, the majority of SMBs recognize the upside that tech-enabled solutions provide to daily operations and long-term growth potential. As small businesses increasingly demand integrated solutions tailored to specific business functions or industries, merchant processors are adopting payment-enabled software offerings that combine BaaS products with core business operating software. By subsisting within SMB's critical business software, processors are able to improve economic results through better merchant retention and higher processing margins. Through our MX Merchant platform, we are well-positioned to capitalize on the trend towards integrated solutions, new technology adoption and value added-service utilization in the SMB market.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Payment Network Rules</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operate in an increasingly complex legal and regulatory environment. We are subject to a variety of federal, state and local laws and regulations and the rules and standards of the payment networks that are utilized to provide our electronic payment services, as more fully described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Wall Street Reform and Consumer Protection Act</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Dodd-Frank Wall Street Reform and Consumer Protection Act of 2010 (the "Dodd-Frank Act") resulted in significant structural and other changes to the regulation of the financial services industry. The Dodd-Frank Act directed the Board of Governors of the Federal Reserve System (the "Federal Reserve Board") to regulate the debit interchange transaction fees that a card issuer or payment card network receives or charges for an electronic debit transaction. Pursuant to the so-called "Durbin Amendment" to the Dodd-Frank Act, these fees must be "reasonable and proportional" to the cost incurred by the card issuer in authorizing, clearing and settling the transaction. Pursuant to regulations promulgated by the Federal Reserve Board, debit interchange rates for card issuers with assets of $10.0 billion or more are capped at $0.21 per transaction and an ad valorem component of five basis points to reflect a portion of the issuer's fraud losses plus, for qualifying issuers, an additional $0.01 per transaction in debit interchange for fraud prevention costs. The cap on interchange fees has not had a material direct effect on our results of operations.</w:t>
      </w:r>
    </w:p>
    <w:p>
      <w:pPr>
        <w:spacing w:after="0" w:line="17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addition, the Dodd-Frank Act limits the ability of payment card networks to impose certain restrictions because it allows merchants to: 1) set minimum dollar amounts (not to exceed $10.00) for the acceptance of a credit card (and allows federal governmental entities and institutions of higher education to set maximum amounts for the acceptance of credit cards); and 2) provide discounts or incentives to encourage consumers to pay with cash, checks, debit cards or credit cards.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rules also contain prohibitions on network exclusivity and merchant routing restrictions. These rules require a card issuer to: 1) enable at least two unaffiliated networks on each debit card; 2) prohibit card networks from entering into exclusivity arrangements; and 3) restrict the ability of issuers or networks to mandate transaction routing requirements. The prohibition on network exclusivity has not significantly affected our ability to pass on network fees and other costs to our customers, nor do we expect it to in the future.</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Dodd-Frank Act created the Consumer Financial Protection Bureau ("CFPB"), which has assumed responsibility for enforcing federal consumer protection laws, and the Financial Stability Oversight Council ("FSOC"), which was established to, among other things, identify risks to the stability of the U.S. financial system. The FSOC has the authority to require supervision and regulation of nonbank financial companies that the FSOC determines pose a systemic risk to the U.S. financial system. Accordingly, we may be subject to additional systemic risk-related oversight.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Network Rules and Standards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a merchant acquirer, we are subject to the rules of Visa, Mastercard, American Express, Discover and other payment networks. In order to provide services, several of our subsidiaries are either registered as service providers for member institutions with Mastercard, Visa and other networks or are direct members of Mastercard, Visa and other networks. Accordingly, we are subject to card association and network rules that could subject us to a variety of fines or penalties that may be levied by the card networks for certain acts or omissions.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Banking Laws and Regulations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Federal Financial Institutions Examination Council (the "FFIEC") is an interagency body comprised of federal bank and credit union regulators such as the Federal Reserve Board, the Federal Deposit Insurance Corporation ("FDIC"), the National Credit Union Administration, the Office of the Comptroller of the Currency and the Bureau of Consumer Financial Protection. The FFIEC examines large data processors to identify and mitigate risks associated with systemically significant service providers, including specifically the risks they may pose to the banking industry.</w:t>
      </w:r>
    </w:p>
    <w:p>
      <w:pPr>
        <w:spacing w:after="0" w:line="17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are considered by the FFIEC to be a technology service provider ("TSP") based on the services we provide to FIs. As a TSP, we are subject to audits by an interagency group consisting of the Federal Reserve System, the FDIC, and the Office of the Comptroller of the Currency.</w:t>
      </w:r>
    </w:p>
    <w:p>
      <w:pPr>
        <w:spacing w:after="0" w:line="14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also hold money transmission licenses in 48 U.S. states and territories. Accordingly, we are subject to the applicable laws and regulations and are subject to examinations by state banking regulators.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Information Security Laws</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provide services that may be subject to various state, federal and foreign privacy laws and regulations. These laws and regulations include: 1) the federal Gramm-Leach-Bliley Act of 1999, which applies to a broad range of FIs and to companies that provide services to FIs in the U.S.; 2) certain health care technology laws, including HIPAA and the Health Information Technology for Economic and Clinical Act; and 3) the California Consumer Protection Act ("CCPA"), which establishes a new privacy framework for covered businesses by: i) creating an expanded definition of personal information; ii) establishing new data privacy rights for consumers in the State of California; iii) imposing special rules on the collection of consumer data from minors; and iv) creating a new and potentially severe statutory damages framework for violations of the CCPA and for businesses that fail to implement reasonable security procedures and practices to prevent data breaches. We are also subject to a variety of foreign data protection and privacy laws, including, without limitation, Directive 95/46/EC, as implemented in each member state of the European Union and its successor, the General Data Protection Regulation. Among other things, these foreign and domestic laws, and their implementing regulations, in certain cases: 1) restrict the collection, processing, storage, use and disclosure of personal information; 2) require notice to individuals of privacy practices, and provide individuals with certain rights to prevent use; and 3) disclosure of protected information. These laws also impose requirements for safeguarding and removal or elimination of personal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Anti-money Laundering and Counter-terrorism Regulation</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U.S. federal anti-money laundering laws and regulations, including the Bank Secrecy Act of 1970, as amended by the USA PATRIOT Act of 2001 (collectively, the "BSA"), and the BSA implementing regulations administered by FinCEN, a bureau of the U.S. Department of the Treasury, require, among other things, each financial institution to: 1) develop and implement a risk-based anti-money laundering program; 2) file reports on large currency transactions; 3) file suspicious activity reports if the financial institution believes a customer may be violating U.S. laws and regulations; and 4) maintain transaction records. Given that a number of our clients are FIs that are directly subject to U.S. federal anti-money laundering laws and regulations, we have developed an anti-money laundering compliance program to best assist our clients in meeting such legal and regulatory requirements.</w:t>
      </w:r>
    </w:p>
    <w:p>
      <w:pPr>
        <w:spacing w:after="0" w:line="164"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We are subject to certain economic and trade sanctions programs that are administered by OFAC of the U.S. Department of Treasury, which place prohibitions and restrictions on all U.S. citizens and entities with respect to transactions by U.S. persons with specified countries and individuals and entities identified on OFAC's Specially Designated Nationals list (for example,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individuals and companies owned or controlled by, or acting for or on behalf of, countries subject to certain economic and trade sanctions, as well as terrorists, terrorist organizations and narcotics traffickers identified by OFAC under programs that are not country specific). Similar anti-money laundering, counter-terrorist financing and proceeds of crime laws apply to movements of currency and payments through electronic transactions and to dealings with persons specified on lists maintained by organizations similar to OFAC in several other countries and which may impose specific data retention obligations or prohibitions on intermediaries in the payment process. We have developed and continue to enhance compliance programs and policies to monitor and address such legal and regulatory requirements and developments. We continue to enhance such programs and policies to ensure that our customers do not engage in prohibited transactions with designated countries, individuals or entities.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Telephone Consumer Protection Act</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are subject to the Federal Telephone Consumer Protection Act of 1191 (the "TCPA") and various state laws to the extent we place telephone calls and short message service ("SMS") messages to clients and consumers. The TCPA regulates certain telephone calls and SMS messages placed using automatic telephone dialing systems or artificial or prerecorded voices and can alter the way we do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Escheat Laws</w:t>
      </w:r>
    </w:p>
    <w:p>
      <w:pPr>
        <w:spacing w:after="0" w:line="22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We are subject to U.S. federal and state unclaimed or abandoned property laws that require us to transfer to certain government authorities the unclaimed property of other that we hold when that property has been unclaimed for a certain period of time. Moreover, we are subject to audit by state and foreign regulatory authorities with regard to our escheatment practices.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Regulation</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Housing Assistance Tax Act of 2008 requires certain merchant acquiring entities and third-party settlement organizations to provide information returns for each calendar year with respect to payments made in settlement of electronic payment transactions and third-party payment network transactions occurring in that calendar year. Reportable transactions are also subject to backup withholding requirements.</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foregoing is not an exhaustive list of the laws, rules and regulations to which we are subject to and the regulatory framework governing our business is changing continuously.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developed a payments platform that includes many instances of proprietary software, code sets, workflows and algorithms. It is our practice to enter confidentiality, non-disclosure and invention assignment agreements with our employees and contractors, and to enter into confidentiality and non-disclosure agreements with other third parties to limit access to, and disclosure and use of, our confidential information and proprietary technology. In addition to these contractual measures, we also rely on a combination of trademarks, copyrights, registered domain names, and patent rights to help protect the Priority brand and our other intellectual property.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December 31, 2021, we employed 790 employees, of which 783 were employed full-time. We have employees residing throughout the United States and India. None of our employees are represented by a labor union or covered by a collective bargaining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Growth and Development</w:t>
      </w:r>
    </w:p>
    <w:p>
      <w:pPr>
        <w:spacing w:after="0" w:line="22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Our strategy to develop and retain the best talent includes an emphasis on employee training and development. We promote our core values of ownership, innovation, camaraderie, service, authenticity and trust as an organization and offer awards to colleagues who exemplify these qualities. We require a mandatory online training curriculum for our employees that includes annual anti-harassment and anti-discrimination training.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Well-being and Safety during COVID-19 Pandemic</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success of our business is connected to the well-being of our employees. Accordingly, we are committed to the health, safety and wellness of our employees. In response to the COVID-19 pandemic, we implemented significant changes that we determined were in the best interest of our employees and the communities in which we operate. This included enabling all of our employees to seamlessly shift to work from home. Over the past few years, we have made investments in our operating environments and technology that support day-to-day execution by employees working from home which allowed for the smooth transition. Additional health and safety measures have been implemented for employees who have elected to work within office locations.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Inclusion and Diversity</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inclusion and diversity program focuses on our employees, workplace and community. We believe that our business is strengthened by a diverse workforce that reflects the communities in which we operate. We believe all of our employees should be treated with respect and equality, regardless of gender, ethnicity, sexual orientation, gender identity, religious beliefs or other characteristics. As part of this goal, we launched a Diversity and Inclusion roundtable series for all employees. Inclusion and diversity remains a common thread in all of our human resource practices so that we can attract, develop and retain the best talent for our workforce.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Filings</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Annual Reports on Form 10-K, Quarterly Reports on Form 10-Q, Current Reports on Form 8-K and amendments to those reports filed or furnished pursuant to Section 13(a) or 15(d) of the Securities Exchange Act of 1934, as amended (the "Exchange Act"), are made available free of charge on our internet website at www.prth.com, as soon as reasonably practicable after we have electronically filed the material with, or furnished it to, the Securities and Exchange Commission (the "SEC"). The SEC maintains an internet site that contains our reports, proxy and information statements and our other SEC filings. The address of that website is www.sec.gov.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i w:val="1"/>
          <w:iCs w:val="1"/>
          <w:color w:val="auto"/>
        </w:rPr>
        <w:t>An investment in our common stock and our financial results are subject to a number of risks. You should carefully consider the risks described below and all other information contained in this Annual Report on Form 10-K and the documents incorporated by reference. Our business, prospects, financial condition or operating results could be harmed by any of these risks, as well as other risks not currently known to us or that we currently consider immaterial. Additional risks and uncertainties, including those generally affecting the industry in which we operate and risks that management currently deems immaterial, may arise or become material in the future and affect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is likely to continue to be, negatively affected by the recent COVID-19 outbreak.</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outbreak of COVID-19 in the U.S., which was declared a pandemic by the World Health Organization on March 11, 2020, continues to adversely affect commercial activity and has contributed to significant declines in economic activity. In particular, the COVID-19 pandemic has affected a number of operational factors, including:</w:t>
      </w:r>
    </w:p>
    <w:p>
      <w:pPr>
        <w:spacing w:after="0" w:line="184" w:lineRule="exact"/>
        <w:rPr>
          <w:sz w:val="20"/>
          <w:szCs w:val="20"/>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merchant temporary closures and failures;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and/or worsening unemployment which may negatively influence consumer spending;</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third-party disruptions, including potential outages at network providers and other suppliers; and</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cyber and payment fraud risk.</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These factors may remain prevalent for a significant period of time and may continue to adversely affect our business, results of operations and financial condition even after the COVID-19 pandemic has subsided. The full effects of the COVID-19 pandemic on our business, results of operations, financial condition and cash flows will depend on future developments, which are highly uncertain and difficult to predict at this time, including, but not limited to, the duration and spread of the pandemic, its severity, the restrictive actions taken to contain the virus or treat its effects, its effects on our customers and how quickly and to what extent normal economic and operating conditions, operations and demand for our services can resume. Accordingly, while the COVID-19 pandemic could have an adverse effect on our revenues and financial results for reporting periods after 2021, the ultimate effects on our operations, financial condition and cash flows cannot be determined at this time.</w:t>
      </w:r>
    </w:p>
    <w:p>
      <w:pPr>
        <w:spacing w:after="0" w:line="17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Unauthorized disclosure of merchant or cardholder data, whether through breach of our computer systems, computer viruses, or otherwise, could expose us to liability, protracted and costly litigation and damage our reputation.</w:t>
      </w:r>
    </w:p>
    <w:p>
      <w:pPr>
        <w:spacing w:after="0" w:line="17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Our services include the processing, transmission and storing of sensitive business and personal information about our merchants, merchants' customers, vendors, partners and other third parties. This information may include credit and debit card numbers, bank account numbers, personal identification numbers, names and addresses or other sensitive business information. This information may also be stored by third parties to whom we outsource certain functions or other agents ("associated third parties"). We may have responsibility to the card networks, FIs, and in some instances, our merchants, and/or ISOs, for our failure or the failure of our associated third parties to protect this information.</w:t>
      </w:r>
    </w:p>
    <w:p>
      <w:pPr>
        <w:spacing w:after="0" w:line="17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Information security risks for us and our competitors have substantially increased in recent years in part due to the proliferation of new technologies and the increased sophistication, resources and activities of hackers, terrorists, activists, organized crime, and other external parties, including hostile nation-state actors. The techniques used to obtain unauthorized access, disable or degrade service, sabotage systems or utilize payment systems in an effort to perpetrate financial fraud change frequently and are often difficult to detect. Threats may derive from human error, fraud or malice on the part of employees or third parties, or may result from accidental technological failure. Computer viruses can be distributed and spread rapidly over the internet and could infiltrate our systems or those of our associated third parties. Additionally, denial of service or other attacks could be launched against us for a variety of purposes, including interfering with our services or to create a diversion for other malicious activities. Our defensive measures may not prevent down-time, unauthorized access or use of sensitive data. While we maintain insurance coverage that will cover certain aspects of cyber risks, such insurance coverage may be insufficient to cover all losses.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Furthermore, we do not control the actions of our third-party partners and customers in their systems. These third parties may experience security breaches and any future problems experienced by these third parties, including those resulting from cyber attacks or other breakdowns or disruptions in services, could adversely affect our ability to conduct our business or expose us to liability. Further, our agreements with our bank sponsors and our third-party payment processors (as well as payment network requirements) require us to take certain protective measures to ensure the confidentiality of merchant and consumer data. Any such actions, attacks or failure to adequately comply with these protective measures could hurt our reputation, force us to incur significant expenses in remediating the resulting impacts, expose us to uninsured liability, result in the loss of our bank sponsors or our ability to participate in the payment networks, or subject us to fees, penalties, sanctions, litigation or termination of our bank sponsor agreements or our third-party payment processor agreements.</w:t>
      </w:r>
    </w:p>
    <w:p>
      <w:pPr>
        <w:spacing w:after="0" w:line="19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a result of information security risks, we must continuously develop and enhance our controls, processes and practices designed to protect our computer systems, software, data and networks from attack, damage or unauthorized access. This continuous development and enhancement will require us to expend additional resources, including to investigate and remediate significant information security vulnerabilities detected. Despite our investments in security measures, we are unable to assure that any security measures will not be subject to system or human error.</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systems or our third-party providers' systems may fail, which could interrupt our service, cause us to lose business, increase our costs and expose us to liability.</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depend on the efficient and uninterrupted operation of our computer systems, software, data centers and telecommunications networks, as well as the systems and services of third parties. A system outage or data loss could have a material adverse effect on our business, financial condition, results of operations and cash flows. Not only could we suffer damage to our reputation in the event of a system outage or data loss, but we may also be liable to third parties. Many of our contractual agreements with FIs and certain other customers require the payment of penalties if we do not meet certain operating standards. Our systems and operations or those of our third-party providers could be exposed to damage or interruption from, among other things, fire, natural disaster, power loss or telecommunications failure.</w:t>
      </w:r>
    </w:p>
    <w:p>
      <w:pPr>
        <w:spacing w:after="0" w:line="192" w:lineRule="exact"/>
        <w:rPr>
          <w:sz w:val="20"/>
          <w:szCs w:val="20"/>
          <w:color w:val="auto"/>
        </w:rPr>
      </w:pPr>
    </w:p>
    <w:p>
      <w:pPr>
        <w:ind w:right="420"/>
        <w:spacing w:after="0" w:line="381" w:lineRule="auto"/>
        <w:rPr>
          <w:sz w:val="20"/>
          <w:szCs w:val="20"/>
          <w:color w:val="auto"/>
        </w:rPr>
      </w:pPr>
      <w:r>
        <w:rPr>
          <w:rFonts w:ascii="Arial" w:cs="Arial" w:eastAsia="Arial" w:hAnsi="Arial"/>
          <w:sz w:val="15"/>
          <w:szCs w:val="15"/>
          <w:b w:val="1"/>
          <w:bCs w:val="1"/>
          <w:i w:val="1"/>
          <w:iCs w:val="1"/>
          <w:color w:val="auto"/>
        </w:rPr>
        <w:t>The payment processing industry is highly competitive and such competition is likely to increase, which may adversely influence the prices we can charge to merchants for our services and the compensation we must pay to our distribution partners, and as a result, our profit margins.</w:t>
      </w:r>
    </w:p>
    <w:p>
      <w:pPr>
        <w:spacing w:after="0" w:line="10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payment processing industry is highly competitive. We primarily compete in the SMB merchant industry. We compete with FIs and their affiliates, independent payment processing companies and ISOs. We also compete with many of these same entities for production through distribution partners. Many of our distribution partners are not exclusive to us but also have relationships with our competitors, such that we have to continually expend resources to maintain those relationships. Our growth will depend on the continued growth of payments with credit, debit and prepaid cards ("Electronic Payments"), particularly Electronic Payments to SMB merchants, and our ability to increase our market share through successful competitive efforts to gain new merchants and distribution partners.</w:t>
      </w:r>
    </w:p>
    <w:p>
      <w:pPr>
        <w:spacing w:after="0" w:line="19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Additionally, many FIs and their subsidiaries or well-established payment-enabled technology providers with which we compete, have substantially greater capital, technological, management and marketing resources than we have. These factors may allow our competitors to offer better pricing terms to merchants and more attractive compensation to distribution partners, which could result in a loss of our potential or current merchants and distribution partners. Our current and future competitors may also develop or offer services that have price or other advantages over the services we provide.</w:t>
      </w:r>
    </w:p>
    <w:p>
      <w:pPr>
        <w:spacing w:after="0" w:line="157"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We also face new, well capitalized, competition from emerging technology and non-traditional payment processing companies as well as traditional companies offering alternative electronic payments services and payment-enabled software solutions. If these new entrants gain a greater share of total electronic payments transactions, they could impact our ability to retain and grow our relationships with merchants and distribution partners. Acquirers may be susceptible to the adoption by the broader merchant community of payment-enabled software versus terminal based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Increased merchant, referral partner or ISO attrition could cause our financial results to decline.</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experience attrition in merchant credit and debit card processing volume resulting from several factors, including business closures, transfers of merchant accounts to our competitors, unsuccessful contract renewal negotiations and account closures that we initiate for various reasons such as heightened credit risks or contract breaches by merchants. Our referral partners are a significant source of new business. If a referral partner or an ISO switches to another processor, terminates our services, internalizes payment processing that we perform, merges with or is acquired by one of our competitors, or shuts down or becomes insolvent, we may no longer receive new merchant referrals from such referral partner, and we risk losing existing merchants that were originally enrolled by the referral partner or ISO. We cannot predict the level of attrition in the future and it could increase. Higher than expected attrition could negatively affect our results, which could have a material adverse effect on our business, financial condition, results of operations and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card association and debit network fees or products could increase costs or otherwise limit our operations.</w:t>
      </w:r>
    </w:p>
    <w:p>
      <w:pPr>
        <w:spacing w:after="0" w:line="2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From time to time, card associations and debit networks increase the organization and/or processing fees (known as interchange fees) that they charge. It is possible that competitive pressures will result in us absorbing a portion of such increases in the future, which would increase our operating costs, reduce our profit margin, and adversely affect our business, operating results, and financial condition. In addition, the various card associations and networks prescribe certain capital requirements. Any increase in the capital level required would further limit our use of capital for other purposes.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payment network rules or standards could adversely affect our business, financial condition and results of operations.</w:t>
      </w:r>
    </w:p>
    <w:p>
      <w:pPr>
        <w:spacing w:after="0" w:line="22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Payment network rules are established and changed from time to time by each payment network as they may determine in their sole discretion and with or without advance notice to their participants. The timelines imposed by the payment networks or sponsor banks for expected compliance with new rules have historically been, and may continue to be, highly compressed, requiring us to quickly implement changes to our systems which increases the risk of non-compliance with new standards or the reduction of certain types of merchant activity. In addition, the payment networks could make changes to interchange or other elements of the pricing structure of the merchant acquiring industry that would have a negative impact on our results of operations.</w:t>
      </w:r>
    </w:p>
    <w:p>
      <w:pPr>
        <w:spacing w:after="0" w:line="161"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In order to remain competitive and to continue to increase our revenues and earnings, we must continually update our products and services, a process which could result in increased costs and the loss of revenues, earnings, merchants and distribution partners if the new products and services do not perform as intended or are not accepted in the marketplace.</w:t>
      </w:r>
    </w:p>
    <w:p>
      <w:pPr>
        <w:spacing w:after="0" w:line="18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electronic payments industry in which we compete is subject to rapid technological changes and is characterized by new technology, product and service introductions, evolving industry standards, changing merchant needs and the entrance of non-traditional competitors. We are subject to the risk that our existing products and services become obsolete, and that we are unable to develop new products and services in response to industry demands. Our future success will depend in part on our ability to develop or adapt to technological changes and the evolving needs of our resellers, merchants and the industry at large. In addition, new products and offerings may not perform as intended or generate the business or revenue growth expected. Defects in our software and errors or delays in our processing of electronic transactions could result in additional development costs, diversion of technical and other resources from our other development efforts, loss of credibility with current or potential distribution partners and merchants, harm to our reputation, fines imposed by card networks, or exposure to liability claims. Any delay in the delivery of new products or services or the failure to differentiate our products and services could render them less desirable, or possibly even obsolete, to our merchants. Additionally, the market for alternative payment processing products and services is evolving, and we may develop too rapidly or not rapidly enough for us to recover the costs we have incurred in developing new products and services.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create certain risks and may adversely affect our business, financial condition, or results of operations.</w:t>
      </w:r>
    </w:p>
    <w:p>
      <w:pPr>
        <w:spacing w:after="0" w:line="22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have actively acquired businesses and expect to continue to make acquisitions of businesses and assets in the future. The acquisition and integration of businesses and assets involve a number of risks. These risks include valuation (negotiating a fair price for the business and assets), integration (managing the process of integrating the acquired business' people,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technology, and other assets to realize the projected value and synergies), regulatory (obtaining any applicable regulatory or other government approvals), and due diligence (identifying risks to the prospects of the business, including undisclosed or unknown liabilities or restrictions). There can be no assurances that we will be able to complete suitable acquisitions for a variety of reasons, including the identification of and competition for acquisition targets, the need for regulatory approvals, the inability of the parties to agree to the structure or purchase price of the transaction and our inability to finance the transaction on commercially acceptable terms. In addition, any potential acquisition can subject us to a variety of other risks:</w:t>
      </w:r>
    </w:p>
    <w:p>
      <w:pPr>
        <w:spacing w:after="0" w:line="176" w:lineRule="exact"/>
        <w:rPr>
          <w:sz w:val="20"/>
          <w:szCs w:val="20"/>
          <w:color w:val="auto"/>
        </w:rPr>
      </w:pPr>
    </w:p>
    <w:p>
      <w:pPr>
        <w:ind w:left="660" w:right="18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successfully integrate the benefits plans, duties and responsibilities and other factors of interest to management of employees of the acquired business, we could lose employees to our competitors in the region, which could significantly affect our ability to operate the business and complete the integration;</w:t>
      </w:r>
    </w:p>
    <w:p>
      <w:pPr>
        <w:spacing w:after="0" w:line="183"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integration process causes any delays with the delivery of our services, or the quality of those services, we could lose customers to our competitors;</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acquisition may otherwise cause disruption to the acquired company's business and operations and relationships with financial institution sponsors, customers, merchants, employees and other partners;</w:t>
      </w:r>
    </w:p>
    <w:p>
      <w:pPr>
        <w:spacing w:after="0" w:line="170" w:lineRule="exact"/>
        <w:rPr>
          <w:rFonts w:ascii="Arial" w:cs="Arial" w:eastAsia="Arial" w:hAnsi="Arial"/>
          <w:sz w:val="18"/>
          <w:szCs w:val="18"/>
          <w:color w:val="auto"/>
        </w:rPr>
      </w:pPr>
    </w:p>
    <w:p>
      <w:pPr>
        <w:ind w:left="660" w:right="52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acquisition and the related integration could divert the attention of our management from other strategic matters including possible acquisitions and alliances and planning for new product development or expansion into new markets for payments technology and software solutions;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related to the integration of an acquired company's business and operations into ours may be greater than anticipated.</w:t>
      </w:r>
    </w:p>
    <w:p>
      <w:pPr>
        <w:spacing w:after="0" w:line="22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We are subject to economic and political risk, the business cycles of our merchants and distribution partners and the overall level of consumer and commercial spending, which could negatively impact our business, financial condition and results of operations.</w:t>
      </w:r>
    </w:p>
    <w:p>
      <w:pPr>
        <w:spacing w:after="0" w:line="14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electronic payments industry depends heavily on the overall level of consumer, commercial and government spending. We are exposed to general economic conditions that affect consumer confidence, consumer spending, consumer discretionary income and changes in consumer purchasing habits. A sustained deterioration in general economic conditions or increases in interest rates could adversely affect our financial performance by reducing the number or aggregate dollar volume of transactions made using electronic payments. If our merchants make fewer sales of their products and services using electronic payments, or consumers spend less money through electronic payments, we will have fewer transactions to process at lower dollar amounts, resulting in lower revenue. In addition, a weakening in the economy could force merchants to close at higher than historical rates, resulting in exposure to potential losses and a decline in the number of transactions that we process. We also have material fixed and semi-fixed costs, including rent, debt service, contractual minimums and salaries, which could limit our ability to quickly adjust costs and respond to changes in our business and the economy.</w:t>
      </w:r>
    </w:p>
    <w:p>
      <w:pPr>
        <w:spacing w:after="0" w:line="16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Global economic, political and market conditions affecting the U.S. markets may adversely affect our business, results of operations and financial condition, including our revenue growth and profitability.</w:t>
      </w:r>
    </w:p>
    <w:p>
      <w:pPr>
        <w:spacing w:after="0" w:line="17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Worldwide financial market conditions, as well as various social and political tensions in the U.S. and around the world, may contribute to increased market volatility, may have long-term effects and may cause economic uncertainties or deterioration in the U.S. The U.S. markets experienced extreme volatility and disruption during the economic downturn that began in mid-2007, and the U.S. economy was in a recession for several consecutive calendar quarters during the same period. In addition, the fiscal and monetary policies of foreign nations, such as Russia and China, may have a severe impact on</w:t>
      </w:r>
    </w:p>
    <w:p>
      <w:pPr>
        <w:spacing w:after="0" w:line="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U.S. financial markets. We are monitoring the conflict between Russia and Ukraine. While we do not expect that such conflict will itself be material to our business, geopolitical instability and adversity arising from such conflict (including additional conflicts that could arise from such conflict), the imposition of sanctions, taxes and/or tariffs against Russia and Russia's response to such sanctions (including retaliatory acts, such as cyber attacks and sanctions against other countries) could adversely affect the global economy or specific international, regional and domestic markets,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Any new legislation that may be adopted in the U.S. could significantly affect the regulation of U.S. financial markets. Areas subject to potential change, amendment or repeal include the Dodd-Frank Act and the authority of the Federal Reserve Board and the FSOC. The U.S. may also potentially withdraw from or renegotiate various trade agreements and take other actions that would change current trade policies of the U.S. We cannot predict which, if any, of these actions will be taken or, if taken, their effect on the financial stability of the U.S. Such actions could have a significant adverse effect on our business, financial condition and results of operations, particularly in view of the regulatory oversight we presently face. We cannot predict the effects of these or similar events in the future on the U.S. economy in general, or specifically on our business model or growth strategy, which typically involves the use of debt financing. To the extent a downturn in the U.S. economy impacts our merchant accounts, regulatory changes increase the burden we face in operating our business, or disruptions in the credit markets prevent us from using debt to finance future acquisitions, our financial condition and results of operations may be materially and adversely impacted.</w:t>
      </w:r>
    </w:p>
    <w:p>
      <w:pPr>
        <w:spacing w:after="0" w:line="18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rely on FIs and other service and technology providers. If they fail or discontinue providing their services or technology generally or to us specifically, our ability to provide services to merchants may be interrupted, and, as a result, our business, financial condition and results of operations could be adversely impacted.</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rely on various FIs to provide clearing services in connection with our settlement activities. If such FIs should stop providing clearing services, we must find other FIs to provide those services. If we are unable to find a replacement financial institution, we may no longer be able to provide processing services to certain customers, which could negatively affect our revenues, earnings and cash flows.</w:t>
      </w:r>
    </w:p>
    <w:p>
      <w:pPr>
        <w:spacing w:after="0" w:line="184"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We also rely on third parties to provide or supplement bankcard processing services and for infrastructure hosting services. We also rely on third parties for specific software and hardware used in providing our products and services. The termination by our service or technology providers of their arrangements with us or their failure to perform their services efficiently and effectively may adversely affect our relationships with our merchants and, if we cannot find alternate providers quickly, may cause those merchants to terminate their relationship with us.</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also rely in part on third parties for the development and access to new technologies, or updates to existing products and services for which third parties provide ongoing support, which increases the cost associated with new and existing product and service offerings. Failure by these third-party providers to devote an appropriate level of attention to our products and services could result in delays in introducing new products or services, or delays in resolving any issues with existing products or services for which third-party providers provide ongoing support.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by merchants or others could cause us to incur losses.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potential liability for fraudulent electronic payment transactions or credits initiated by merchants or others. Examples of merchant fraud include when a merchant or other party knowingly uses a stolen or counterfeit credit or debit card, card number, or other credentials to record a false sales or credit transaction, processes an invalid card, or intentionally fails to deliver the merchandise or services sold in an otherwise valid transaction. Criminals are using increasingly sophisticated methods to engage in illegal activities such as counterfeiting and fraud. Failure to effectively manage risk and prevent fraud could increase in the future. Increases in chargebacks or other liabilities could have a material adverse effect on our financial condition, results of operations and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liability when our merchants refuse or cannot reimburse us for chargebacks resolved in favor of their customers.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have potential liability for chargebacks associated with the transactions we process. If a billing dispute between a merchant and a cardholder is not ultimately resolved in favor of the merchant, the disputed transaction is "charged back" to the merchant's bank and credited or otherwise refunded to the cardholder. The risk of chargebacks is typically greater with those merchants that promise future delivery of goods and services rather than delivering goods or rendering services at the time of payment. If we or our bank sponsors are unable to collect the chargeback from the merchant's account or reserve account (if applicable), or if the merchant refuses or is financially unable (due to bankruptcy or other reasons) to reimburse the merchant's bank for the chargeback, we may bear the loss for the amount of the refund paid to the cardholder. Any increase in chargebacks not paid by our merchants could increase our costs and decrease our revenues. We have policies to manage merchant-related credit risk and often mitigate such risk by requiring collateral and monitoring transaction activity. Notwithstanding our programs and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 managing credit risk, it is possible that a default on such obligations by one or more of our merchants could have a material adverse effect on our business.</w:t>
      </w:r>
    </w:p>
    <w:p>
      <w:pPr>
        <w:spacing w:after="0" w:line="170"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b w:val="1"/>
          <w:bCs w:val="1"/>
          <w:i w:val="1"/>
          <w:iCs w:val="1"/>
          <w:color w:val="auto"/>
        </w:rPr>
        <w:t>If we fail to comply with the applicable requirements of the card networks, they could seek to fine us, suspend us or terminate our registrations for membership. If we incur fines or penalties for which our merchants or ISOs are responsible that we cannot collect, we may have to bear the cost of such fines or penalties</w:t>
      </w:r>
      <w:r>
        <w:rPr>
          <w:rFonts w:ascii="Arial" w:cs="Arial" w:eastAsia="Arial" w:hAnsi="Arial"/>
          <w:sz w:val="18"/>
          <w:szCs w:val="18"/>
          <w:b w:val="1"/>
          <w:bCs w:val="1"/>
          <w:color w:val="auto"/>
        </w:rPr>
        <w:t>.</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subject to card association and network rules that could subject us to a variety of fines or penalties that may be levied by the card networks for certain acts or omissions. The rules of the card networks are set by the card networks themselves and may be influenced by card issuers, some of which are our competitors with respect to processing services. Many banks directly or indirectly sell processing services to merchants in direct competition with us. These banks could attempt, by virtue of their influence on the networks, to alter the networks' rules or policies to the detriment of non-members, including us. The termination of our registrations or our membership status as a service provider or merchant processor, or any changes in a card association or other network rules or standards, including interpretation and implementation of the rules or standards, that increase the cost of doing business or limit our ability to provide transaction processing services to our customers, could have a material adverse effect on our business, financial condition, results of operations and cash flows. If a merchant or an ISO fails to comply with the applicable requirements of the card associations and networks, we or the merchant or ISO could be subject to a variety of fines or penalties that may be levied by the card associations or networks. If we cannot collect or pursue collection of such amounts from the applicable merchant or ISO, we may have to bear the cost of such fines or penalties, resulting in lower earnings for us. The termination of our registration, or any changes in the Visa or Mastercard rules that would impair our registration, could require us to stop providing Visa and Mastercard payment processing services, which would make it impossible for us to conduct our business on its current scale.</w:t>
      </w:r>
    </w:p>
    <w:p>
      <w:pPr>
        <w:spacing w:after="0" w:line="16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loss of, for example, key personnel or of our ability to attract, recruit, retain and develop qualified employees could adversely affect our business, financial condition and results of operations.</w:t>
      </w:r>
    </w:p>
    <w:p>
      <w:pPr>
        <w:spacing w:after="0" w:line="17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success depends upon the continued services of our senior management and other key personnel who have substantial experience in the electronic payments industry and the markets in which we offer our services. In addition, our success depends in large part upon the reputation within the industry of our senior managers who have developed relationships with our distribution partners, payment networks and other payment processing and service providers. Further, in order for us to continue to successfully compete and grow, we must attract, recruit, develop and retain personnel who will provide us with expertise across the entire spectrum of our intellectual capital needs. Our success is also dependent on the skill and experience of our sales force, which we must continuously work to maintain. While we have many key personnel who have substantial experience with our operations, we must also develop our personnel to provide succession plans capable of maintaining the continuity of our operations. The market for qualified personnel is competitive, and we may not succeed in recruiting additional personnel or may fail to effectively replace current personnel who depart with qualified or effective successors.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Regulatory Compliance and Tax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could have a material adverse effect on our business, financial condition or results of operations.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ordinary course of business, we may become involved in various litigation matters, including but not limited to commercial disputes and employee claims, and from time to time may be involved in governmental or regulatory investigations or similar matters arising out of our current or future business. Any claims asserted against us, regardless of merit or eventual outcome, could harm our reputation and have an adverse impact on our relationship with our merchants, distribution partners and other third parties and could lead to additional related claims. Certain claims may seek injunctive relief, which could disrupt the ordinary conduct of our business and operations or increase our cost of doing business. Our insurance or indemnities may not cover all claims that may be asserted against us, and any claims asserted against it, regardless of merit or eventual outcome, may harm our reputation and cause us to expend resources in our defense. Furthermore, there is no guarantee that we will be successful in defending ourselves in future litigation. Should the ultimate judgments or settlements in any pending litigation or future litigation or investigation significantly exceed our insurance coverage, they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are subject to extensive government regulation, and any new laws and regulations, industry standards or revisions made to existing laws, regulations or industry standards affecting the electronic payments industry may have an unfavorable impact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Our business is affected by laws and regulations and examinations that affect us and our industries. Regulation and proposed regulation of the payments</w:t>
      </w:r>
    </w:p>
    <w:p>
      <w:pPr>
        <w:spacing w:after="0" w:line="7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industry has increased significantly in recent years. Failure to comply with regulations or guidelines may result in the suspension or revocation of a license or registration, the limitation, suspension or termination of service, and the imposition of civil and criminal penalties, including fines, or may cause customers or potential customers to be reluctant to do business with us, any of which could have an adverse effect on our financial condition.</w:t>
      </w:r>
    </w:p>
    <w:p>
      <w:pPr>
        <w:spacing w:after="0" w:line="165"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auto"/>
        </w:rPr>
        <w:t>Interchange fees are subject to intense legal, regulatory and legislative scrutiny. In particular, the Dodd-Frank Act limits the amount of debit card fees charged by certain issuers, allowing merchants to set minimum dollar amounts for the acceptance of credit cards and allowing merchants to offer discounts or other incentives for different payment methods. These types of restrictions could negatively affect the number of debit transactions, which would</w:t>
      </w:r>
    </w:p>
    <w:p>
      <w:pPr>
        <w:spacing w:after="0" w:line="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adversely affect our business. The Dodd-Frank Act also created the CFPB, which has assumed responsibility for enforcing federal consumer protection laws, and the FSOC, which has the authority to determine whether any non-bank financial company, which may include us within the definitional scope, should be supervised by the Federal Reserve because it is systemically important to the U.S. financial system. Any such designation would result in increased regulatory burdens on our business, which increases our risk profile and may have an adverse impact on our business, financial condition and results of operations.</w:t>
      </w:r>
    </w:p>
    <w:p>
      <w:pPr>
        <w:spacing w:after="0" w:line="18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and many of our merchants may be subject to Section 5 of the Federal Trade Commission Act prohibiting unfair or deceptive acts or practices. That statement and other laws, rules and or regulations, including the Telemarketing Sales Act, may directly impact the activities of certain of our merchants and, in some cases, may subject us, as the merchant's electronic processor or provider of certain services, to investigations, fees, fines and disgorgement of funds if we were deemed to have improperly aided and abetted or otherwise provided the means and instrumentalities to facilitate the illegal or improper activities of the merchant through our services. Various federal and state regulatory enforcement agencies, including the Federal Trade Commission and state attorneys general, have authority to take action against non-banks that engage in unfair or deceptive practices or violate other laws, rules and regulations and to the extent we are processing payments or providing services for a merchant that may be in violation of laws, rules and regulations, we may be subject to enforcement actions and as a result may incur losses and liabilities that may impact our business.</w:t>
      </w:r>
    </w:p>
    <w:p>
      <w:pPr>
        <w:spacing w:after="0" w:line="16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Our business may also be subject to the Fair Credit Reporting Act (the "FCRA"), which regulates the use and reporting of consumer credit information and also imposes disclosure requirements on entities that take adverse action based on information obtained from credit reporting agencies. We could be liable if our practices under the FCRA are not in compliance with the FCRA or regulations under it.</w:t>
      </w:r>
    </w:p>
    <w:p>
      <w:pPr>
        <w:spacing w:after="0" w:line="184"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Separately, the Housing Assistance Tax Act of 2008 included an amendment to the Internal Revenue Code that requires the filing of yearly information returns by payment processing entities and third-party settlement organizations with respect to payments made in settlement of electronic payment transactions and third-party payment network transactions occurring in that calendar year. Transactions that are reportable pursuant to these rules are subject to backup withholding requirements. We could be liable for penalties if our information returns do not comply with these regulations.</w:t>
      </w:r>
    </w:p>
    <w:p>
      <w:pPr>
        <w:spacing w:after="0" w:line="15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These and other laws and regulations, even if not directed at us, may require us to make significant efforts to change our products and services and may require that we incur additional compliance costs and change how we price our services to merchants. Implementing new compliance efforts may be difficult because of the complexity of new regulatory requirements and may cause us to devote significant resources to ensure compliance. Furthermore, regulatory actions may cause changes in business practices by us and other industry participants which could affect how we market, price and distribute our products and services, which could limit our ability to grow, reduce our revenues or increase our costs. In addition, even an inadvertent failure to comply with laws and regulations, as well as rapidly evolving social expectations of corporate fairness, could damage our business or our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manage our intellectual property and may be subject to infringement claims.</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rely on a combination of contractual rights and copyright, trademark, patent and trade secret laws to establish and protect our proprietary technology. Third parties may challenge, circumvent, infringe or misappropriate our intellectual property, or such intellectual property may not be sufficient to permit us to take advantage of current market trends or otherwise to provide competitive advantages, which could result in costly redesign efforts, discontinuance of service offerings or other competitive harm. Others, including our competitors, may independently develop similar technology, duplicate our services or design around our intellectual property and, in such cases, we could not assert our intellectual property rights against such parties. Further, our contractual arrangements may not effectively prevent disclosure of our confidential information or provide an adequate remedy in the event of unauthorized disclosure of our confidential information. We may have to litigate to enforce or determine the scope and enforceability of our intellectual property rights and know-how, which is expensive, could cause a diversion of resources and may not prove successful. Also, because of the rapid pace of technological change in our industry, aspects of our business and our services rely on technologies developed or licensed by third parties, and we may not be able to obtain or continue to obtain licenses and technologies from these third parties on reasonable terms or at all. The loss of intellectual property protection or the inability to license or otherwise use third-party intellectual property could harm our business and ability to compete.</w:t>
      </w:r>
    </w:p>
    <w:p>
      <w:pPr>
        <w:spacing w:after="0" w:line="17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may also be subject to costly litigation if our services and technology are alleged to infringe upon or otherwise violate a third party's proprietary rights. Third parties may have, or may eventually be issued, patents that could be infringed by our products, services or technology. Any of these third parties could make a claim of infringement against us with respect to our products, services or technology. We may also be subject to claims by third parties for patent, copyright or trademark infringement, breach of license or violation of other third-party intellectual property rights. Any claim from third parties may result in a limitation on our ability to use the intellectual property subject to these claims. Additionally, in recent years, individuals and groups have been purchasing intellectual property assets for the sole purpose of making claims of infringement or other violations and attempting to extract settlements from companies like ours. Even if we believe that intellectual property related claims are without merit, defending against such claims is time consuming and expensive and could result in the diversion of the time and attention of our management and employees. Claims of intellectual property infringement or violation also might require us to redesign affected products or services, enter into costly settlement or license agreements, pay costly damage awards or face a temporary or permanent injunction prohibiting us from marketing or selling certain of our products or services. Even if we have an agreement for indemnification against such costs, the indemnifying party, if any in such circumstances, may be unable to uphold our contractual obligations. If we cannot or do not license the infringed technology on reasonable terms or substitute similar technology from another source, our revenue and earnings could be adversely impacted.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and regulations could adversely affect our results of operations and cash flows from operations.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Changes in tax laws in our significant tax jurisdictions could materially increase the amount of taxes we owe, thereby negatively impacting our results of operations as well as our cash flows from operations. For example, restrictions on the deductibility of interest expense in a U.S. jurisdiction without a corresponding reduction in statutory tax rates could negatively impact our effective tax rate, financial position, results of operations and cash flows in the period that such a change occurs and future periods.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risk management policies and procedures may not be fully effective in mitigating our risk exposure in all market environments or against all types of risks.</w:t>
      </w:r>
    </w:p>
    <w:p>
      <w:pPr>
        <w:spacing w:after="0" w:line="17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operate in a rapidly changing industry. Accordingly, our risk management policies and procedures may not be fully effective to identify, monitor, manage and remediate our risks. Some of our risk evaluation methods depend upon information provided by others and public information regarding markets, merchants or other matters that are otherwise inaccessible by us. In some cases, that information may not be accurate, complete or up-to-date. Additionally, our risk detection system is subject to a high degree of "false positive" risks being detected, which makes it difficult for us to identify real risks in a timely manner. If our policies and procedures are not fully effective or we are not always successful in capturing all risks to which we are or may be exposed, we may suffer harm to our reputation or be subject to litigation or regulatory actions that materially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our costs and subject us to reputational damage that could limit our ability to grow and cause us to lose existing merchant clients.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Related to Our Capital Structure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substantial indebtedness.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a substantial amount of indebtedness and may incur other debt in the future. Our level of debt and the covenant to which we agreed could have negative consequences on us, including, among other things, (i) requiring us to dedicate a large portion of our cash flow from operations to servicing and repayment of the debt; (ii) limiting funds available for strategic initiatives and opportunities, working capital and other general corporate needs and (iii) limiting our ability to incur certain kinds or amounts of additional indebtedness, which could restrict our ability to react to changes in our business, our industry and economic conditions.</w:t>
      </w:r>
    </w:p>
    <w:p>
      <w:pPr>
        <w:spacing w:after="0" w:line="18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Substantially all of our indebtedness is variable rate debt, primarily based on LIBOR. LIBOR is the subject of recent national, international, and other regulatory guidance and proposals for reform, which may cause LIBOR to disappear entirely or to perform differently than in the past. While we expect reasonable alternatives to LIBOR will be implemented, we cannot predict the consequences and timing of any impact, which could include an increase in our interest expense As a result of this variable rate debt, an increase in interest rates generally, such as those we have recently experienced, would adversely affect our profitability. We may enter into pay-fixed interest rate swaps to limit our exposure to changes in floating interest rates. Such instruments may result in economic losses should interest rates decline to a point lower than our fixed rate commitments. We would be exposed to credit-related losses, which could impact the results of operations in the event of fluctuations in the fair value of the interest rate swaps due to a change in the credit worthiness or non-performance by the counterparties to the interest rate swaps.</w:t>
      </w:r>
    </w:p>
    <w:p>
      <w:pPr>
        <w:spacing w:after="0" w:line="17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The credit agreements governing our existing credit facilities and any other debt instruments we may issue in the future will contain restrictive covenants that may impair our ability to conduct business.</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credit agreements governing our existing credit facilities contain operating covenants and financial covenants that may limit management's discretion with respect to certain business matters. In addition, any debt instruments we may issue in the future will likely contain similar operating and financial covenants restricting our business. Among other things, these covenants will restrict our ability to:</w:t>
      </w:r>
    </w:p>
    <w:p>
      <w:pPr>
        <w:spacing w:after="0" w:line="18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or redeem or purchase equity interests;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 the nature of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acquisitions or other investments;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merge or consolidate with other entities.</w:t>
      </w:r>
    </w:p>
    <w:p>
      <w:pPr>
        <w:spacing w:after="0" w:line="225" w:lineRule="exact"/>
        <w:rPr>
          <w:sz w:val="20"/>
          <w:szCs w:val="20"/>
          <w:color w:val="auto"/>
        </w:rPr>
      </w:pPr>
    </w:p>
    <w:p>
      <w:pPr>
        <w:ind w:right="160"/>
        <w:spacing w:after="0" w:line="257" w:lineRule="auto"/>
        <w:rPr>
          <w:rFonts w:ascii="Arial" w:cs="Arial" w:eastAsia="Arial" w:hAnsi="Arial"/>
          <w:sz w:val="18"/>
          <w:szCs w:val="18"/>
          <w:color w:val="0000FF"/>
        </w:rPr>
      </w:pPr>
      <w:hyperlink w:anchor="page29">
        <w:r>
          <w:rPr>
            <w:rFonts w:ascii="Arial" w:cs="Arial" w:eastAsia="Arial" w:hAnsi="Arial"/>
            <w:sz w:val="18"/>
            <w:szCs w:val="18"/>
            <w:color w:val="auto"/>
          </w:rPr>
          <w:t xml:space="preserve">In addition, the credit agreements governing our senior credit facilities contain a total net leverage ratio financial covenant. See </w:t>
        </w:r>
        <w:r>
          <w:rPr>
            <w:rFonts w:ascii="Arial" w:cs="Arial" w:eastAsia="Arial" w:hAnsi="Arial"/>
            <w:sz w:val="18"/>
            <w:szCs w:val="18"/>
            <w:u w:val="single" w:color="auto"/>
            <w:color w:val="0000FF"/>
          </w:rPr>
          <w:t>Item 7, Management’s</w:t>
        </w:r>
      </w:hyperlink>
      <w:r>
        <w:rPr>
          <w:rFonts w:ascii="Arial" w:cs="Arial" w:eastAsia="Arial" w:hAnsi="Arial"/>
          <w:sz w:val="18"/>
          <w:szCs w:val="18"/>
          <w:color w:val="auto"/>
        </w:rPr>
        <w:t xml:space="preserve"> </w:t>
      </w:r>
      <w:hyperlink w:anchor="page29">
        <w:r>
          <w:rPr>
            <w:rFonts w:ascii="Arial" w:cs="Arial" w:eastAsia="Arial" w:hAnsi="Arial"/>
            <w:sz w:val="18"/>
            <w:szCs w:val="18"/>
            <w:u w:val="single" w:color="auto"/>
            <w:color w:val="0000FF"/>
          </w:rPr>
          <w:t>Discussion and Analysis of Financial Condition and Results of Operations</w:t>
        </w:r>
        <w:r>
          <w:rPr>
            <w:rFonts w:ascii="Arial" w:cs="Arial" w:eastAsia="Arial" w:hAnsi="Arial"/>
            <w:sz w:val="18"/>
            <w:szCs w:val="18"/>
            <w:color w:val="000000"/>
          </w:rPr>
          <w:t>. A breach of any of these covenants (or any other covenant in the documents</w:t>
        </w:r>
      </w:hyperlink>
      <w:r>
        <w:rPr>
          <w:rFonts w:ascii="Arial" w:cs="Arial" w:eastAsia="Arial" w:hAnsi="Arial"/>
          <w:sz w:val="18"/>
          <w:szCs w:val="18"/>
          <w:color w:val="0000FF"/>
        </w:rPr>
        <w:t xml:space="preserve"> </w:t>
      </w:r>
      <w:r>
        <w:rPr>
          <w:rFonts w:ascii="Arial" w:cs="Arial" w:eastAsia="Arial" w:hAnsi="Arial"/>
          <w:sz w:val="18"/>
          <w:szCs w:val="18"/>
          <w:color w:val="000000"/>
        </w:rPr>
        <w:t>governing our Credit and Guaranty Agreement) could result in a default or event of default under our Credit and Guaranty Agreement. If an event of default occurred, the applicable lenders or agents could elect to terminate borrowing commitments and declare all borrowings and loans outstanding thereunder, together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accrued and unpaid interest and any fees and other obligations, to be immediately due and payable. In addition, or in the alternative, the applicable lenders or agents could exercise their rights under the security documents entered into in connection with our Credit and Guaranty Agreement. Any acceleration of amounts due under the Credit and Guaranty Agreement would likely have a material adverse effect on us.</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intend to retain future earnings, if any, for future operations, expansion, and debt repayment and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is limited by covenants of our existing and outstanding indebtedness and may be limited by covenants of any future indebtedness we or our subsidiaries incur. As a result, you may not receive any return on an investment in our common stock unless you sell our common stock for a price greater than that which you paid for it.</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Mr. Thomas Priore, our President, Chief Executive Officer and Chairman, controls the Company, and his interests may conflict with ours or yours in the future.</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Thomas Priore and his affiliates have the ability to elect all of the members of our Board of Directors and thereby control our policies and operations, including the appointment of management, future issuances of our common stock or other securities, the payment of dividends, if any, on our common stock, the incurrence or modification of debt by us, amendments to our Amended and Restated Certificate of Incorporation and our Amended and Restated Bylaws, and the entering into of extraordinary transactions, and their interests may not in all cases be aligned with your interests. In addition, Thomas Priore may have an interest in pursuing acquisitions, divestitures, and other transactions that, in his judgment, could enhance his investment, even though such transactions might involve risks to you. For example, he could cause us to make acquisitions that increase our indebtedness or cause us to sell revenue-generating assets. Additionally, in certain circumstances, acquisitions of debt at a discount by purchasers that are related to a debtor can give rise to cancellation of indebtedness income to such debtor for U.S. federal income tax purposes.</w:t>
      </w:r>
    </w:p>
    <w:p>
      <w:pPr>
        <w:spacing w:after="0" w:line="178"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Our Amended and Restated Certificate of Incorporation provides that neither he nor any of his affiliates, or any director who is not employed by us (including any non-employee director who serves as one of our officers in both his director and officer capacities) will have any duty to refrain from engaging, directly or indirectly, in the same business activities or similar business activities or lines of business in which we operate. So long as Thomas Priore continues to own a significant amount of our combined voting power, even if such amount is less than 50%, he will continue to be able to strongly influence or effectively control our decisions. Furthermore, so long as Thomas Priore and his respective affiliates collectively own at least 50% of all outstanding shares of our common stock entitled to vote generally in the election of directors, they will be able to appoint individuals to our Board of Directors. In addition, given his level of control, Thomas Priore will be able to determine the outcome of all matters requiring stockholder approval and will be able to cause or prevent a change of control of the Company or a change in the composition of our Board of Directors and could preclude any unsolicited acquisition of the Company. The concentration of ownership could deprive you of an opportunity to receive a premium for your shares of common stock as part of a sale of the Company and ultimately might affect the market price of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redeem your unexpired warrants prior to their exercise at a time that is disadvantageous to you, thereby making your warrants worthless.</w:t>
      </w:r>
    </w:p>
    <w:p>
      <w:pPr>
        <w:spacing w:after="0" w:line="24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have the ability to redeem outstanding warrants (the "Warrants") at any time after they become exercisable and prior to their expiration, at $0.01 per warrant, if the last reported sales price (or the closing bid price of our common stock in the event the common stock is not traded on any specific trading day) of the common stock equals or exceeds $16.00 per share for any 20 trading days within a 30-trading day period ending on the third business day prior to the date we send proper notice of such redemption, provided that on the date we give notice of redemption and during the entire period thereafter until the time we redeem the Warrants, we have an effective registration statement under the Securities Act covering the common stock issuable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upon exercise of the Warrants and a current prospectus relating to them is available or cashless exercise is exempt from the registration requirements under the Securities Act. If and when the Warrants become redeemable by us, we may exercise our redemption right even if we are unable to register or qualify the underlying securities for sale under all applicable state securities laws. Redemption of the outstanding Warrants could force a warrant holder: (i) to exercise Warrants and pay the exercise price therefore at a time when it may be disadvantageous for you to do so; (ii) to sell Warrants at the then-current market price when you might otherwise wish to hold your Warrants; or (iii) to accept the nominal redemption price which, at the time the outstanding Warrants are called for redemption, may be substantially less than the market value of your Warrants.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liquidity of the Warrants may be limited.</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There is a limited trading market for our Warrants, which might adversely affect the liquidity, market price and price volatility of the Warrants. In addition, our publicly traded Warrants have been removed from quotation on The Nasdaq Global Market. As a result, investors in our Warrants may find it more difficult to dispose of or obtain accurate quotations as to the market value of our Warrants, and the ability of our stockholders to sell our Warrants in the secondary market has been materially limited.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Risks</w:t>
      </w:r>
    </w:p>
    <w:p>
      <w:pPr>
        <w:spacing w:after="0" w:line="22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212529"/>
        </w:rPr>
        <w:t>Changes in the method for determining the London Interbank Offered Rate ("LIBOR") and the potential replacement of the LIBOR benchmark interest rate could adversely affect our business, financial condition, results of operations and cash flows.</w:t>
      </w:r>
    </w:p>
    <w:p>
      <w:pPr>
        <w:spacing w:after="0" w:line="146" w:lineRule="exact"/>
        <w:rPr>
          <w:sz w:val="20"/>
          <w:szCs w:val="20"/>
          <w:color w:val="auto"/>
        </w:rPr>
      </w:pPr>
    </w:p>
    <w:p>
      <w:pPr>
        <w:spacing w:after="0" w:line="289" w:lineRule="auto"/>
        <w:rPr>
          <w:sz w:val="20"/>
          <w:szCs w:val="20"/>
          <w:color w:val="auto"/>
        </w:rPr>
      </w:pPr>
      <w:r>
        <w:rPr>
          <w:rFonts w:ascii="Arial" w:cs="Arial" w:eastAsia="Arial" w:hAnsi="Arial"/>
          <w:sz w:val="16"/>
          <w:szCs w:val="16"/>
          <w:color w:val="212529"/>
        </w:rPr>
        <w:t>The majority of our current indebtedness bears interest at a variable rate based on LIBOR, and we may incur additional indebtedness based on LIBOR. In July 2017, the United Kingdom's Financial Conduct Authority ("FCA"), a regulator of financial services firms and financial markets in the United Kingdom, stated that they will plan for a phase out of regulatory oversight of LIBOR interest rates indices. The FCA has indicated they will support the LIBOR indices through 2021, to allow for an orderly transition to an alternative reference rate. The ICE Benchmark Administration Limited recently announced that it will consult on its intention to extend the publication of most tenors LIBOR to June 30, 2023. The Alternative Reference Rates Committee has proposed the Secured Overnight Financing Rate ("SOFR") as its recommended alternative to LIBOR, and the Federal Reserve Bank of New York began publishing SOFR rates in April 2018. SOFR is intended to be a broad measure of the cost of borrowing cash overnight collateralized by U.S.</w:t>
      </w:r>
    </w:p>
    <w:p>
      <w:pPr>
        <w:spacing w:after="0" w:line="2" w:lineRule="exact"/>
        <w:rPr>
          <w:sz w:val="20"/>
          <w:szCs w:val="20"/>
          <w:color w:val="auto"/>
        </w:rPr>
      </w:pPr>
    </w:p>
    <w:p>
      <w:pPr>
        <w:ind w:right="20"/>
        <w:spacing w:after="0" w:line="308" w:lineRule="auto"/>
        <w:rPr>
          <w:sz w:val="20"/>
          <w:szCs w:val="20"/>
          <w:color w:val="auto"/>
        </w:rPr>
      </w:pPr>
      <w:r>
        <w:rPr>
          <w:rFonts w:ascii="Arial" w:cs="Arial" w:eastAsia="Arial" w:hAnsi="Arial"/>
          <w:sz w:val="16"/>
          <w:szCs w:val="16"/>
          <w:color w:val="212529"/>
        </w:rPr>
        <w:t>Treasury securities. At this time, it is not possible to predict when LIBOR will be replaced as the reference rate in the agreements governing the Company's indebtedness or the effect any discontinuance, modification or other reforms to LIBOR, or the establishment of alternative reference rates such as SOFR, or</w:t>
      </w:r>
    </w:p>
    <w:p>
      <w:pPr>
        <w:ind w:right="620"/>
        <w:spacing w:after="0" w:line="277" w:lineRule="auto"/>
        <w:rPr>
          <w:sz w:val="20"/>
          <w:szCs w:val="20"/>
          <w:color w:val="auto"/>
        </w:rPr>
      </w:pPr>
      <w:r>
        <w:rPr>
          <w:rFonts w:ascii="Arial" w:cs="Arial" w:eastAsia="Arial" w:hAnsi="Arial"/>
          <w:sz w:val="18"/>
          <w:szCs w:val="18"/>
          <w:color w:val="212529"/>
        </w:rPr>
        <w:t>any other reference rate, will have on the Company. If LIBOR ceases to exist or the methods of calculating LIBOR change from their current form, however, the Company's borrowing costs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operate from several offices throughout the U.S. and one office in India, all of which we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key office locations include:</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corporate headquarters in Alpharetta, GA;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administrative office in Hicksville, 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administrative office in New York, 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administrative office in San Jose, CA;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administrative office in Raleigh, NC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administrative office in Chandigarh, India.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lease several small facilities for sales and operations. Our current facilities meet the needs of our employee base and can accommodate our currently contemplated growth.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involved in certain other legal proceedings and claims, which arise in the ordinary course of business. In the opinion of the Company, based on consultations with inside and outside counsel, the results of any of these ordinary course matters, individually and in the aggregate, are not expected to have a material effect on our results of operations, financial condition, or cash flows. As more information becomes available and we determine that an unfavorable outcome is probable on a claim and that the amount of probable loss that we will incur on that claim is reasonably estimable, we will record an accrued expense for the claim in question. If and when we record such an accrual, it could be material and could adversely impact our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95" w:lineRule="exact"/>
        <w:rPr>
          <w:sz w:val="20"/>
          <w:szCs w:val="20"/>
          <w:color w:val="auto"/>
        </w:rPr>
      </w:pPr>
    </w:p>
    <w:p>
      <w:pPr>
        <w:ind w:right="1980"/>
        <w:spacing w:after="0" w:line="50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right="100"/>
        <w:spacing w:after="0" w:line="311" w:lineRule="auto"/>
        <w:rPr>
          <w:sz w:val="20"/>
          <w:szCs w:val="20"/>
          <w:color w:val="auto"/>
        </w:rPr>
      </w:pPr>
      <w:r>
        <w:rPr>
          <w:rFonts w:ascii="Arial" w:cs="Arial" w:eastAsia="Arial" w:hAnsi="Arial"/>
          <w:sz w:val="16"/>
          <w:szCs w:val="16"/>
          <w:color w:val="auto"/>
        </w:rPr>
        <w:t>On July 25, 2018, our common stock began trading on The Nasdaq Global Market under the symbol "PRTH". As of March 10, 2022, we had 64 holders of record of our common stock. This figure does not include the number of persons whose securities are held in nominee or "street" name accounts through brokers. We have never declared or paid, and do not anticipate declaring or paying in the foreseeable future, any cash dividends on our common stock.</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Equity Compensation Plan Information</w:t>
            </w:r>
          </w:p>
        </w:tc>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Number of securities to be</w:t>
            </w:r>
          </w:p>
        </w:tc>
        <w:tc>
          <w:tcPr>
            <w:tcW w:w="140" w:type="dxa"/>
            <w:vAlign w:val="bottom"/>
          </w:tcPr>
          <w:p>
            <w:pPr>
              <w:spacing w:after="0"/>
              <w:rPr>
                <w:sz w:val="24"/>
                <w:szCs w:val="24"/>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Weighted-average</w:t>
            </w:r>
          </w:p>
        </w:tc>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 remaining</w:t>
            </w: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5"/>
              </w:rPr>
              <w:t>issued upon exercise of</w:t>
            </w:r>
          </w:p>
        </w:tc>
        <w:tc>
          <w:tcPr>
            <w:tcW w:w="140" w:type="dxa"/>
            <w:vAlign w:val="bottom"/>
          </w:tcPr>
          <w:p>
            <w:pPr>
              <w:spacing w:after="0"/>
              <w:rPr>
                <w:sz w:val="15"/>
                <w:szCs w:val="15"/>
                <w:color w:val="auto"/>
              </w:rPr>
            </w:pPr>
          </w:p>
        </w:tc>
        <w:tc>
          <w:tcPr>
            <w:tcW w:w="188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7"/>
              </w:rPr>
              <w:t>exercise price of</w:t>
            </w:r>
          </w:p>
        </w:tc>
        <w:tc>
          <w:tcPr>
            <w:tcW w:w="31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available for future issuance under</w:t>
            </w:r>
          </w:p>
        </w:tc>
        <w:tc>
          <w:tcPr>
            <w:tcW w:w="0" w:type="dxa"/>
            <w:vAlign w:val="bottom"/>
          </w:tcPr>
          <w:p>
            <w:pPr>
              <w:spacing w:after="0"/>
              <w:rPr>
                <w:sz w:val="1"/>
                <w:szCs w:val="1"/>
                <w:color w:val="auto"/>
              </w:rPr>
            </w:pPr>
          </w:p>
        </w:tc>
      </w:tr>
      <w:tr>
        <w:trPr>
          <w:trHeight w:val="175"/>
        </w:trPr>
        <w:tc>
          <w:tcPr>
            <w:tcW w:w="3760" w:type="dxa"/>
            <w:vAlign w:val="bottom"/>
            <w:gridSpan w:val="2"/>
            <w:vMerge w:val="restart"/>
          </w:tcPr>
          <w:p>
            <w:pPr>
              <w:ind w:left="1560"/>
              <w:spacing w:after="0"/>
              <w:rPr>
                <w:sz w:val="20"/>
                <w:szCs w:val="20"/>
                <w:color w:val="auto"/>
              </w:rPr>
            </w:pPr>
            <w:r>
              <w:rPr>
                <w:rFonts w:ascii="Arial" w:cs="Arial" w:eastAsia="Arial" w:hAnsi="Arial"/>
                <w:sz w:val="18"/>
                <w:szCs w:val="18"/>
                <w:b w:val="1"/>
                <w:bCs w:val="1"/>
                <w:color w:val="auto"/>
              </w:rPr>
              <w:t>Period</w:t>
            </w:r>
          </w:p>
        </w:tc>
        <w:tc>
          <w:tcPr>
            <w:tcW w:w="23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7"/>
              </w:rPr>
              <w:t>outstanding options,</w:t>
            </w:r>
          </w:p>
        </w:tc>
        <w:tc>
          <w:tcPr>
            <w:tcW w:w="140" w:type="dxa"/>
            <w:vAlign w:val="bottom"/>
          </w:tcPr>
          <w:p>
            <w:pPr>
              <w:spacing w:after="0"/>
              <w:rPr>
                <w:sz w:val="15"/>
                <w:szCs w:val="15"/>
                <w:color w:val="auto"/>
              </w:rPr>
            </w:pPr>
          </w:p>
        </w:tc>
        <w:tc>
          <w:tcPr>
            <w:tcW w:w="188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7"/>
              </w:rPr>
              <w:t>outstanding options,</w:t>
            </w:r>
          </w:p>
        </w:tc>
        <w:tc>
          <w:tcPr>
            <w:tcW w:w="31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equity compensation plans (excluding</w:t>
            </w:r>
          </w:p>
        </w:tc>
        <w:tc>
          <w:tcPr>
            <w:tcW w:w="0" w:type="dxa"/>
            <w:vAlign w:val="bottom"/>
          </w:tcPr>
          <w:p>
            <w:pPr>
              <w:spacing w:after="0"/>
              <w:rPr>
                <w:sz w:val="1"/>
                <w:szCs w:val="1"/>
                <w:color w:val="auto"/>
              </w:rPr>
            </w:pPr>
          </w:p>
        </w:tc>
      </w:tr>
      <w:tr>
        <w:trPr>
          <w:trHeight w:val="230"/>
        </w:trPr>
        <w:tc>
          <w:tcPr>
            <w:tcW w:w="3760" w:type="dxa"/>
            <w:vAlign w:val="bottom"/>
            <w:gridSpan w:val="2"/>
            <w:vMerge w:val="continue"/>
          </w:tcPr>
          <w:p>
            <w:pPr>
              <w:spacing w:after="0"/>
              <w:rPr>
                <w:sz w:val="19"/>
                <w:szCs w:val="19"/>
                <w:color w:val="auto"/>
              </w:rPr>
            </w:pPr>
          </w:p>
        </w:tc>
        <w:tc>
          <w:tcPr>
            <w:tcW w:w="2360" w:type="dxa"/>
            <w:vAlign w:val="bottom"/>
            <w:gridSpan w:val="2"/>
          </w:tcPr>
          <w:p>
            <w:pPr>
              <w:jc w:val="center"/>
              <w:ind w:right="140"/>
              <w:spacing w:after="0" w:line="230" w:lineRule="exact"/>
              <w:rPr>
                <w:sz w:val="20"/>
                <w:szCs w:val="20"/>
                <w:color w:val="auto"/>
              </w:rPr>
            </w:pPr>
            <w:r>
              <w:rPr>
                <w:rFonts w:ascii="Arial" w:cs="Arial" w:eastAsia="Arial" w:hAnsi="Arial"/>
                <w:sz w:val="18"/>
                <w:szCs w:val="18"/>
                <w:b w:val="1"/>
                <w:bCs w:val="1"/>
                <w:color w:val="auto"/>
                <w:w w:val="89"/>
              </w:rPr>
              <w:t>warrants and rights</w:t>
            </w:r>
            <w:r>
              <w:rPr>
                <w:rFonts w:ascii="Arial" w:cs="Arial" w:eastAsia="Arial" w:hAnsi="Arial"/>
                <w:sz w:val="23"/>
                <w:szCs w:val="23"/>
                <w:b w:val="1"/>
                <w:bCs w:val="1"/>
                <w:color w:val="auto"/>
                <w:w w:val="89"/>
                <w:vertAlign w:val="superscript"/>
              </w:rPr>
              <w:t>(1)</w:t>
            </w:r>
          </w:p>
        </w:tc>
        <w:tc>
          <w:tcPr>
            <w:tcW w:w="2020" w:type="dxa"/>
            <w:vAlign w:val="bottom"/>
            <w:gridSpan w:val="3"/>
          </w:tcPr>
          <w:p>
            <w:pPr>
              <w:jc w:val="center"/>
              <w:ind w:right="140"/>
              <w:spacing w:after="0" w:line="230" w:lineRule="exact"/>
              <w:rPr>
                <w:sz w:val="20"/>
                <w:szCs w:val="20"/>
                <w:color w:val="auto"/>
              </w:rPr>
            </w:pPr>
            <w:r>
              <w:rPr>
                <w:rFonts w:ascii="Arial" w:cs="Arial" w:eastAsia="Arial" w:hAnsi="Arial"/>
                <w:sz w:val="18"/>
                <w:szCs w:val="18"/>
                <w:b w:val="1"/>
                <w:bCs w:val="1"/>
                <w:color w:val="auto"/>
                <w:w w:val="90"/>
              </w:rPr>
              <w:t>warrants and rights</w:t>
            </w:r>
            <w:r>
              <w:rPr>
                <w:rFonts w:ascii="Arial" w:cs="Arial" w:eastAsia="Arial" w:hAnsi="Arial"/>
                <w:sz w:val="23"/>
                <w:szCs w:val="23"/>
                <w:b w:val="1"/>
                <w:bCs w:val="1"/>
                <w:color w:val="auto"/>
                <w:w w:val="90"/>
                <w:vertAlign w:val="superscript"/>
              </w:rPr>
              <w:t>(2)</w:t>
            </w:r>
          </w:p>
        </w:tc>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 reflected in the first column)</w:t>
            </w:r>
          </w:p>
        </w:tc>
        <w:tc>
          <w:tcPr>
            <w:tcW w:w="0" w:type="dxa"/>
            <w:vAlign w:val="bottom"/>
          </w:tcPr>
          <w:p>
            <w:pPr>
              <w:spacing w:after="0"/>
              <w:rPr>
                <w:sz w:val="1"/>
                <w:szCs w:val="1"/>
                <w:color w:val="auto"/>
              </w:rPr>
            </w:pPr>
          </w:p>
        </w:tc>
      </w:tr>
      <w:tr>
        <w:trPr>
          <w:trHeight w:val="169"/>
        </w:trPr>
        <w:tc>
          <w:tcPr>
            <w:tcW w:w="362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w w:val="91"/>
              </w:rPr>
              <w:t>Equity Compensation Plans approved by security</w:t>
            </w:r>
          </w:p>
        </w:tc>
        <w:tc>
          <w:tcPr>
            <w:tcW w:w="140" w:type="dxa"/>
            <w:vAlign w:val="bottom"/>
            <w:tcBorders>
              <w:top w:val="single" w:sz="8" w:color="CCEEFF"/>
            </w:tcBorders>
            <w:shd w:val="clear" w:color="auto" w:fill="CCEEFF"/>
          </w:tcPr>
          <w:p>
            <w:pPr>
              <w:spacing w:after="0"/>
              <w:rPr>
                <w:sz w:val="14"/>
                <w:szCs w:val="14"/>
                <w:color w:val="auto"/>
              </w:rPr>
            </w:pPr>
          </w:p>
        </w:tc>
        <w:tc>
          <w:tcPr>
            <w:tcW w:w="2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2,206,328</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40" w:type="dxa"/>
            <w:vAlign w:val="bottom"/>
            <w:tcBorders>
              <w:top w:val="single" w:sz="8" w:color="CCEEFF"/>
            </w:tcBorders>
            <w:shd w:val="clear" w:color="auto" w:fill="CCEEFF"/>
          </w:tcPr>
          <w:p>
            <w:pPr>
              <w:spacing w:after="0"/>
              <w:rPr>
                <w:sz w:val="14"/>
                <w:szCs w:val="14"/>
                <w:color w:val="auto"/>
              </w:rPr>
            </w:pPr>
          </w:p>
        </w:tc>
        <w:tc>
          <w:tcPr>
            <w:tcW w:w="3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3,363,040</w:t>
            </w: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holders</w:t>
            </w:r>
          </w:p>
        </w:tc>
        <w:tc>
          <w:tcPr>
            <w:tcW w:w="22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7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Equity Compensation Plans not approved by</w:t>
            </w:r>
          </w:p>
        </w:tc>
        <w:tc>
          <w:tcPr>
            <w:tcW w:w="23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security holders</w:t>
            </w:r>
          </w:p>
        </w:tc>
        <w:tc>
          <w:tcPr>
            <w:tcW w:w="2360" w:type="dxa"/>
            <w:vAlign w:val="bottom"/>
            <w:gridSpan w:val="2"/>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880" w:type="dxa"/>
            <w:vAlign w:val="bottom"/>
            <w:gridSpan w:val="2"/>
            <w:vMerge w:val="continue"/>
          </w:tcPr>
          <w:p>
            <w:pPr>
              <w:spacing w:after="0"/>
              <w:rPr>
                <w:sz w:val="20"/>
                <w:szCs w:val="20"/>
                <w:color w:val="auto"/>
              </w:rPr>
            </w:pPr>
          </w:p>
        </w:tc>
        <w:tc>
          <w:tcPr>
            <w:tcW w:w="3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Represents stock options and Restricted Stock Units ("RSU") outstanding under the Company's 2018 Equity Incentive Plan.</w:t>
      </w:r>
    </w:p>
    <w:p>
      <w:pPr>
        <w:spacing w:after="0" w:line="1" w:lineRule="exact"/>
        <w:rPr>
          <w:rFonts w:ascii="Arial" w:cs="Arial" w:eastAsia="Arial" w:hAnsi="Arial"/>
          <w:sz w:val="23"/>
          <w:szCs w:val="23"/>
          <w:color w:val="auto"/>
          <w:vertAlign w:val="superscript"/>
        </w:rPr>
      </w:pPr>
    </w:p>
    <w:p>
      <w:pPr>
        <w:ind w:left="660" w:hanging="328"/>
        <w:spacing w:after="0" w:line="219" w:lineRule="auto"/>
        <w:tabs>
          <w:tab w:leader="none" w:pos="64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The weighted-average exercise price set forth in this column is calculated for stock options outstanding and excludes outstanding RSU awards, since recipients are not required to pay an exercise price to receive the shares related to these awards.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presents information with respect to purchases made by the Company of its common stock during the three months ended December 31, 2021 (shares are in whole units):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14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2"/>
              </w:rPr>
              <w:t>Maximum Number of Shares</w:t>
            </w: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Total Number of</w:t>
            </w:r>
          </w:p>
        </w:tc>
        <w:tc>
          <w:tcPr>
            <w:tcW w:w="140" w:type="dxa"/>
            <w:vAlign w:val="bottom"/>
          </w:tcPr>
          <w:p>
            <w:pPr>
              <w:spacing w:after="0"/>
              <w:rPr>
                <w:sz w:val="15"/>
                <w:szCs w:val="15"/>
                <w:color w:val="auto"/>
              </w:rPr>
            </w:pPr>
          </w:p>
        </w:tc>
        <w:tc>
          <w:tcPr>
            <w:tcW w:w="1760" w:type="dxa"/>
            <w:vAlign w:val="bottom"/>
            <w:gridSpan w:val="3"/>
            <w:vMerge w:val="restart"/>
          </w:tcPr>
          <w:p>
            <w:pPr>
              <w:jc w:val="right"/>
              <w:ind w:right="220"/>
              <w:spacing w:after="0"/>
              <w:rPr>
                <w:sz w:val="20"/>
                <w:szCs w:val="20"/>
                <w:color w:val="auto"/>
              </w:rPr>
            </w:pPr>
            <w:r>
              <w:rPr>
                <w:rFonts w:ascii="Arial" w:cs="Arial" w:eastAsia="Arial" w:hAnsi="Arial"/>
                <w:sz w:val="18"/>
                <w:szCs w:val="18"/>
                <w:b w:val="1"/>
                <w:bCs w:val="1"/>
                <w:color w:val="auto"/>
                <w:w w:val="93"/>
              </w:rPr>
              <w:t>Average Price Paid</w:t>
            </w:r>
          </w:p>
        </w:tc>
        <w:tc>
          <w:tcPr>
            <w:tcW w:w="23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as Part of Publicly</w:t>
            </w:r>
          </w:p>
        </w:tc>
        <w:tc>
          <w:tcPr>
            <w:tcW w:w="140" w:type="dxa"/>
            <w:vAlign w:val="bottom"/>
          </w:tcPr>
          <w:p>
            <w:pPr>
              <w:spacing w:after="0"/>
              <w:rPr>
                <w:sz w:val="15"/>
                <w:szCs w:val="15"/>
                <w:color w:val="auto"/>
              </w:rPr>
            </w:pPr>
          </w:p>
        </w:tc>
        <w:tc>
          <w:tcPr>
            <w:tcW w:w="24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that May Yet Be Purchased</w:t>
            </w:r>
          </w:p>
        </w:tc>
        <w:tc>
          <w:tcPr>
            <w:tcW w:w="0" w:type="dxa"/>
            <w:vAlign w:val="bottom"/>
          </w:tcPr>
          <w:p>
            <w:pPr>
              <w:spacing w:after="0"/>
              <w:rPr>
                <w:sz w:val="1"/>
                <w:szCs w:val="1"/>
                <w:color w:val="auto"/>
              </w:rPr>
            </w:pPr>
          </w:p>
        </w:tc>
      </w:tr>
      <w:tr>
        <w:trPr>
          <w:trHeight w:val="175"/>
        </w:trPr>
        <w:tc>
          <w:tcPr>
            <w:tcW w:w="2820" w:type="dxa"/>
            <w:vAlign w:val="bottom"/>
            <w:gridSpan w:val="2"/>
            <w:vMerge w:val="restart"/>
          </w:tcPr>
          <w:p>
            <w:pPr>
              <w:ind w:left="1100"/>
              <w:spacing w:after="0"/>
              <w:rPr>
                <w:sz w:val="20"/>
                <w:szCs w:val="20"/>
                <w:color w:val="auto"/>
              </w:rPr>
            </w:pPr>
            <w:r>
              <w:rPr>
                <w:rFonts w:ascii="Arial" w:cs="Arial" w:eastAsia="Arial" w:hAnsi="Arial"/>
                <w:sz w:val="18"/>
                <w:szCs w:val="18"/>
                <w:b w:val="1"/>
                <w:bCs w:val="1"/>
                <w:color w:val="auto"/>
              </w:rPr>
              <w:t>Period</w:t>
            </w:r>
          </w:p>
        </w:tc>
        <w:tc>
          <w:tcPr>
            <w:tcW w:w="1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23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Announced Plans or</w:t>
            </w:r>
          </w:p>
        </w:tc>
        <w:tc>
          <w:tcPr>
            <w:tcW w:w="140" w:type="dxa"/>
            <w:vAlign w:val="bottom"/>
          </w:tcPr>
          <w:p>
            <w:pPr>
              <w:spacing w:after="0"/>
              <w:rPr>
                <w:sz w:val="15"/>
                <w:szCs w:val="15"/>
                <w:color w:val="auto"/>
              </w:rPr>
            </w:pPr>
          </w:p>
        </w:tc>
        <w:tc>
          <w:tcPr>
            <w:tcW w:w="24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Under the Plans or</w:t>
            </w:r>
          </w:p>
        </w:tc>
        <w:tc>
          <w:tcPr>
            <w:tcW w:w="0" w:type="dxa"/>
            <w:vAlign w:val="bottom"/>
          </w:tcPr>
          <w:p>
            <w:pPr>
              <w:spacing w:after="0"/>
              <w:rPr>
                <w:sz w:val="1"/>
                <w:szCs w:val="1"/>
                <w:color w:val="auto"/>
              </w:rPr>
            </w:pPr>
          </w:p>
        </w:tc>
      </w:tr>
      <w:tr>
        <w:trPr>
          <w:trHeight w:val="230"/>
        </w:trPr>
        <w:tc>
          <w:tcPr>
            <w:tcW w:w="2820" w:type="dxa"/>
            <w:vAlign w:val="bottom"/>
            <w:gridSpan w:val="2"/>
            <w:vMerge w:val="continue"/>
          </w:tcPr>
          <w:p>
            <w:pPr>
              <w:spacing w:after="0"/>
              <w:rPr>
                <w:sz w:val="19"/>
                <w:szCs w:val="19"/>
                <w:color w:val="auto"/>
              </w:rPr>
            </w:pPr>
          </w:p>
        </w:tc>
        <w:tc>
          <w:tcPr>
            <w:tcW w:w="1600" w:type="dxa"/>
            <w:vAlign w:val="bottom"/>
          </w:tcPr>
          <w:p>
            <w:pPr>
              <w:jc w:val="right"/>
              <w:spacing w:after="0" w:line="230" w:lineRule="exact"/>
              <w:rPr>
                <w:sz w:val="20"/>
                <w:szCs w:val="20"/>
                <w:color w:val="auto"/>
              </w:rPr>
            </w:pPr>
            <w:r>
              <w:rPr>
                <w:rFonts w:ascii="Arial" w:cs="Arial" w:eastAsia="Arial" w:hAnsi="Arial"/>
                <w:sz w:val="18"/>
                <w:szCs w:val="18"/>
                <w:b w:val="1"/>
                <w:bCs w:val="1"/>
                <w:color w:val="auto"/>
                <w:w w:val="87"/>
              </w:rPr>
              <w:t>Shares Purchased</w:t>
            </w:r>
            <w:r>
              <w:rPr>
                <w:rFonts w:ascii="Arial" w:cs="Arial" w:eastAsia="Arial" w:hAnsi="Arial"/>
                <w:sz w:val="23"/>
                <w:szCs w:val="23"/>
                <w:b w:val="1"/>
                <w:bCs w:val="1"/>
                <w:color w:val="auto"/>
                <w:w w:val="87"/>
                <w:vertAlign w:val="superscript"/>
              </w:rPr>
              <w:t>(1)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per Share</w:t>
            </w:r>
          </w:p>
        </w:tc>
        <w:tc>
          <w:tcPr>
            <w:tcW w:w="2380" w:type="dxa"/>
            <w:vAlign w:val="bottom"/>
          </w:tcPr>
          <w:p>
            <w:pPr>
              <w:jc w:val="center"/>
              <w:spacing w:after="0" w:line="230" w:lineRule="exact"/>
              <w:rPr>
                <w:sz w:val="20"/>
                <w:szCs w:val="20"/>
                <w:color w:val="auto"/>
              </w:rPr>
            </w:pPr>
            <w:r>
              <w:rPr>
                <w:rFonts w:ascii="Arial" w:cs="Arial" w:eastAsia="Arial" w:hAnsi="Arial"/>
                <w:sz w:val="18"/>
                <w:szCs w:val="18"/>
                <w:b w:val="1"/>
                <w:bCs w:val="1"/>
                <w:color w:val="auto"/>
                <w:w w:val="87"/>
              </w:rPr>
              <w:t>Programs</w:t>
            </w:r>
            <w:r>
              <w:rPr>
                <w:rFonts w:ascii="Arial" w:cs="Arial" w:eastAsia="Arial" w:hAnsi="Arial"/>
                <w:sz w:val="23"/>
                <w:szCs w:val="23"/>
                <w:b w:val="1"/>
                <w:bCs w:val="1"/>
                <w:color w:val="auto"/>
                <w:w w:val="87"/>
                <w:vertAlign w:val="superscript"/>
              </w:rPr>
              <w:t>(2)</w:t>
            </w:r>
          </w:p>
        </w:tc>
        <w:tc>
          <w:tcPr>
            <w:tcW w:w="140" w:type="dxa"/>
            <w:vAlign w:val="bottom"/>
          </w:tcPr>
          <w:p>
            <w:pPr>
              <w:spacing w:after="0"/>
              <w:rPr>
                <w:sz w:val="19"/>
                <w:szCs w:val="19"/>
                <w:color w:val="auto"/>
              </w:rPr>
            </w:pPr>
          </w:p>
        </w:tc>
        <w:tc>
          <w:tcPr>
            <w:tcW w:w="2400" w:type="dxa"/>
            <w:vAlign w:val="bottom"/>
          </w:tcPr>
          <w:p>
            <w:pPr>
              <w:jc w:val="center"/>
              <w:spacing w:after="0" w:line="230" w:lineRule="exact"/>
              <w:rPr>
                <w:sz w:val="20"/>
                <w:szCs w:val="20"/>
                <w:color w:val="auto"/>
              </w:rPr>
            </w:pPr>
            <w:r>
              <w:rPr>
                <w:rFonts w:ascii="Arial" w:cs="Arial" w:eastAsia="Arial" w:hAnsi="Arial"/>
                <w:sz w:val="18"/>
                <w:szCs w:val="18"/>
                <w:b w:val="1"/>
                <w:bCs w:val="1"/>
                <w:color w:val="auto"/>
                <w:w w:val="85"/>
              </w:rPr>
              <w:t>Programs</w:t>
            </w:r>
            <w:r>
              <w:rPr>
                <w:rFonts w:ascii="Arial" w:cs="Arial" w:eastAsia="Arial" w:hAnsi="Arial"/>
                <w:sz w:val="23"/>
                <w:szCs w:val="23"/>
                <w:b w:val="1"/>
                <w:bCs w:val="1"/>
                <w:color w:val="auto"/>
                <w:w w:val="85"/>
                <w:vertAlign w:val="superscript"/>
              </w:rPr>
              <w:t>(2)</w:t>
            </w:r>
          </w:p>
        </w:tc>
        <w:tc>
          <w:tcPr>
            <w:tcW w:w="0" w:type="dxa"/>
            <w:vAlign w:val="bottom"/>
          </w:tcPr>
          <w:p>
            <w:pPr>
              <w:spacing w:after="0"/>
              <w:rPr>
                <w:sz w:val="1"/>
                <w:szCs w:val="1"/>
                <w:color w:val="auto"/>
              </w:rPr>
            </w:pPr>
          </w:p>
        </w:tc>
      </w:tr>
      <w:tr>
        <w:trPr>
          <w:trHeight w:val="223"/>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1-31, 2021</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18,939</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4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ind w:left="218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ind w:left="2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November 1-30, 2021</w:t>
            </w:r>
          </w:p>
        </w:tc>
        <w:tc>
          <w:tcPr>
            <w:tcW w:w="1600" w:type="dxa"/>
            <w:vAlign w:val="bottom"/>
          </w:tcPr>
          <w:p>
            <w:pPr>
              <w:jc w:val="right"/>
              <w:spacing w:after="0"/>
              <w:rPr>
                <w:sz w:val="20"/>
                <w:szCs w:val="20"/>
                <w:color w:val="auto"/>
              </w:rPr>
            </w:pPr>
            <w:r>
              <w:rPr>
                <w:rFonts w:ascii="Arial" w:cs="Arial" w:eastAsia="Arial" w:hAnsi="Arial"/>
                <w:sz w:val="18"/>
                <w:szCs w:val="18"/>
                <w:color w:val="auto"/>
              </w:rPr>
              <w:t>31,279</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6.57</w:t>
            </w:r>
          </w:p>
        </w:tc>
        <w:tc>
          <w:tcPr>
            <w:tcW w:w="140" w:type="dxa"/>
            <w:vAlign w:val="bottom"/>
          </w:tcPr>
          <w:p>
            <w:pPr>
              <w:spacing w:after="0"/>
              <w:rPr>
                <w:sz w:val="19"/>
                <w:szCs w:val="19"/>
                <w:color w:val="auto"/>
              </w:rPr>
            </w:pPr>
          </w:p>
        </w:tc>
        <w:tc>
          <w:tcPr>
            <w:tcW w:w="2380" w:type="dxa"/>
            <w:vAlign w:val="bottom"/>
          </w:tcPr>
          <w:p>
            <w:pPr>
              <w:ind w:left="21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2400" w:type="dxa"/>
            <w:vAlign w:val="bottom"/>
          </w:tcPr>
          <w:p>
            <w:pPr>
              <w:ind w:left="2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1-31, 2021</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55,891</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40" w:type="dxa"/>
            <w:vAlign w:val="bottom"/>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ind w:left="21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2400" w:type="dxa"/>
            <w:vAlign w:val="bottom"/>
            <w:shd w:val="clear" w:color="auto" w:fill="CCEEFF"/>
          </w:tcPr>
          <w:p>
            <w:pPr>
              <w:ind w:left="2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106,109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right="180" w:hanging="328"/>
        <w:spacing w:after="0" w:line="227" w:lineRule="auto"/>
        <w:tabs>
          <w:tab w:leader="none" w:pos="64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Includes shares withheld to satisfy employees' tax withholding obligations in connection with the vesting of restricted stock awards. The number of shares withheld was determined based on the fair market value on the vesting date.</w:t>
      </w:r>
    </w:p>
    <w:p>
      <w:pPr>
        <w:ind w:left="640" w:hanging="308"/>
        <w:spacing w:after="0" w:line="196" w:lineRule="auto"/>
        <w:tabs>
          <w:tab w:leader="none" w:pos="640" w:val="left"/>
        </w:tabs>
        <w:numPr>
          <w:ilvl w:val="0"/>
          <w:numId w:val="12"/>
        </w:numPr>
        <w:rPr>
          <w:rFonts w:ascii="Arial" w:cs="Arial" w:eastAsia="Arial" w:hAnsi="Arial"/>
          <w:sz w:val="23"/>
          <w:szCs w:val="23"/>
          <w:color w:val="222222"/>
          <w:vertAlign w:val="superscript"/>
        </w:rPr>
      </w:pPr>
      <w:r>
        <w:rPr>
          <w:rFonts w:ascii="Arial" w:cs="Arial" w:eastAsia="Arial" w:hAnsi="Arial"/>
          <w:sz w:val="18"/>
          <w:szCs w:val="18"/>
          <w:color w:val="auto"/>
        </w:rPr>
        <w:t>The Company terminated the 2021 Share Repurchase Program in September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16"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should be read together with our audited financial statements and the related notes included elsewhere in this Annual Report on Form 10-K. This section of this Form 10-K generally discusses 2021 and 2020 items and year-over-year comparisons between 2021 and 2020. Discussions of 2019 items and year-over-year comparisons between 2020 and 2019 are not included in this Form 10-K, and can be found in "Management's Discussion and Analysis of Financial Condition and Results of Operations" in Part II, Item 7 of the Company's Annual Report on Form 10-K for the year ended December 31, 2020.</w:t>
      </w:r>
    </w:p>
    <w:p>
      <w:pPr>
        <w:spacing w:after="0" w:line="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Certain amounts in this section may not add mathematically due to rounding. The abbreviation "nm" used the the following sections indicates the metric is not meaningful.</w:t>
      </w:r>
    </w:p>
    <w:p>
      <w:pPr>
        <w:spacing w:after="0" w:line="187" w:lineRule="exact"/>
        <w:rPr>
          <w:sz w:val="20"/>
          <w:szCs w:val="20"/>
          <w:color w:val="auto"/>
        </w:rPr>
      </w:pPr>
    </w:p>
    <w:p>
      <w:pPr>
        <w:spacing w:after="0"/>
        <w:rPr>
          <w:rFonts w:ascii="Arial" w:cs="Arial" w:eastAsia="Arial" w:hAnsi="Arial"/>
          <w:sz w:val="17"/>
          <w:szCs w:val="17"/>
          <w:color w:val="auto"/>
        </w:rPr>
      </w:pPr>
      <w:hyperlink w:anchor="page39">
        <w:r>
          <w:rPr>
            <w:rFonts w:ascii="Arial" w:cs="Arial" w:eastAsia="Arial" w:hAnsi="Arial"/>
            <w:sz w:val="17"/>
            <w:szCs w:val="17"/>
            <w:color w:val="auto"/>
          </w:rPr>
          <w:t xml:space="preserve">For a description and additional information about our three reportable segments, see </w:t>
        </w:r>
        <w:r>
          <w:rPr>
            <w:rFonts w:ascii="Arial" w:cs="Arial" w:eastAsia="Arial" w:hAnsi="Arial"/>
            <w:sz w:val="17"/>
            <w:szCs w:val="17"/>
            <w:u w:val="single" w:color="auto"/>
            <w:color w:val="0000FF"/>
          </w:rPr>
          <w:t>Note 20, Segment Information</w:t>
        </w:r>
        <w:r>
          <w:rPr>
            <w:rFonts w:ascii="Arial" w:cs="Arial" w:eastAsia="Arial" w:hAnsi="Arial"/>
            <w:sz w:val="17"/>
            <w:szCs w:val="17"/>
            <w:color w:val="auto"/>
          </w:rPr>
          <w:t>, contained in "</w:t>
        </w:r>
        <w:r>
          <w:rPr>
            <w:rFonts w:ascii="Arial" w:cs="Arial" w:eastAsia="Arial" w:hAnsi="Arial"/>
            <w:sz w:val="17"/>
            <w:szCs w:val="17"/>
            <w:u w:val="single" w:color="auto"/>
            <w:color w:val="0000FF"/>
          </w:rPr>
          <w:t>Item 8 - Financial</w:t>
        </w:r>
      </w:hyperlink>
    </w:p>
    <w:p>
      <w:pPr>
        <w:spacing w:after="0" w:line="35" w:lineRule="exact"/>
        <w:rPr>
          <w:sz w:val="20"/>
          <w:szCs w:val="20"/>
          <w:color w:val="auto"/>
        </w:rPr>
      </w:pPr>
    </w:p>
    <w:p>
      <w:pPr>
        <w:spacing w:after="0"/>
        <w:rPr>
          <w:rFonts w:ascii="Arial" w:cs="Arial" w:eastAsia="Arial" w:hAnsi="Arial"/>
          <w:sz w:val="18"/>
          <w:szCs w:val="18"/>
          <w:color w:val="0000FF"/>
        </w:rPr>
      </w:pPr>
      <w:hyperlink w:anchor="page39">
        <w:r>
          <w:rPr>
            <w:rFonts w:ascii="Arial" w:cs="Arial" w:eastAsia="Arial" w:hAnsi="Arial"/>
            <w:sz w:val="18"/>
            <w:szCs w:val="18"/>
            <w:u w:val="single" w:color="auto"/>
            <w:color w:val="0000FF"/>
          </w:rPr>
          <w:t>Statements and Supplementary Data</w:t>
        </w:r>
        <w:r>
          <w:rPr>
            <w:rFonts w:ascii="Arial" w:cs="Arial" w:eastAsia="Arial" w:hAnsi="Arial"/>
            <w:sz w:val="18"/>
            <w:szCs w:val="18"/>
            <w:color w:val="000000"/>
          </w:rPr>
          <w:t>" of this Annual Report on Form 10-K.</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Results and Trends</w:t>
      </w:r>
    </w:p>
    <w:p>
      <w:pPr>
        <w:spacing w:after="0" w:line="225"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The outbreak of COVID-19 in the U.S., which was declared a pandemic by the World Health Organization on March 11, 2020, adversely affected commercial activity and contributed to a significant decline in economic activity in 2020, particularly in the second quarter of 2020.</w:t>
      </w:r>
    </w:p>
    <w:p>
      <w:pPr>
        <w:spacing w:after="0" w:line="14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Starting in mid-March 2020 through April 2020, COVID-19 had a significant negative effect on our results. This impact was evident in a decline in merchant bankcard volume and our revenues particularly during the period of restrictive shelter-in-place requirements instituted across the U.S. toward the end of March 2020 through April 2020. In May 2020, as shelter-in-place restrictions began to be lifted and regional economies started to reopen, our processing volumes began to return, and revenue growth was supplemented by the acceleration of certain specialized product offerings and e-commerce payment transactions. This recovery momentum continued through the second half of 2020 and the year 2021.</w:t>
      </w:r>
    </w:p>
    <w:p>
      <w:pPr>
        <w:spacing w:after="0" w:line="176"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While there continues to be uncertainty regarding the future economic impacts of COVID-19 variants, our operating results reflect a significant recovery from the pandemic's negative effects during the first half of 2020. The pandemic's impact on the overall economy and on our comparative historical and future results are beyond our ability to predict or control.</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This section includes certain components of our results of operations for the years ended December 31, 2021 (or "2021"), December 31, 2020 (or "2020") and December 31, 2019 (or "2019"). We have derived this data, except key indicators for merchant bankcard processing dollar values and transaction volumes, from our audited Consolidated Financial Statements included elsewhere in this Annual Report on Form 10-K.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the year ended December 31, 2021, our consolidated revenue of $514.9 million increased by $110.6 million, or 27.4%, from $404.3 million for the year ended December 31, 2020. This overall increase was driven by an increase in bankcard volumes fueled by: 1) increased consumer spending resulting from post-pandemic recovery in the economy; and 2) acquisitions made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revenues by type for 2021, 2020 and 2019:</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27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gridSpan w:val="4"/>
          </w:tcPr>
          <w:p>
            <w:pPr>
              <w:ind w:left="440"/>
              <w:spacing w:after="0"/>
              <w:rPr>
                <w:sz w:val="20"/>
                <w:szCs w:val="20"/>
                <w:color w:val="auto"/>
              </w:rPr>
            </w:pPr>
            <w:r>
              <w:rPr>
                <w:rFonts w:ascii="Arial" w:cs="Arial" w:eastAsia="Arial" w:hAnsi="Arial"/>
                <w:sz w:val="18"/>
                <w:szCs w:val="18"/>
                <w:b w:val="1"/>
                <w:bCs w:val="1"/>
                <w:color w:val="auto"/>
              </w:rPr>
              <w:t>2021 vs 2020</w:t>
            </w:r>
          </w:p>
        </w:tc>
        <w:tc>
          <w:tcPr>
            <w:tcW w:w="120" w:type="dxa"/>
            <w:vAlign w:val="bottom"/>
          </w:tcPr>
          <w:p>
            <w:pPr>
              <w:spacing w:after="0"/>
              <w:rPr>
                <w:sz w:val="20"/>
                <w:szCs w:val="20"/>
                <w:color w:val="auto"/>
              </w:rPr>
            </w:pPr>
          </w:p>
        </w:tc>
        <w:tc>
          <w:tcPr>
            <w:tcW w:w="222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2020 vs 2019</w:t>
            </w:r>
          </w:p>
        </w:tc>
        <w:tc>
          <w:tcPr>
            <w:tcW w:w="0" w:type="dxa"/>
            <w:vAlign w:val="bottom"/>
          </w:tcPr>
          <w:p>
            <w:pPr>
              <w:spacing w:after="0"/>
              <w:rPr>
                <w:sz w:val="1"/>
                <w:szCs w:val="1"/>
                <w:color w:val="auto"/>
              </w:rPr>
            </w:pPr>
          </w:p>
        </w:tc>
      </w:tr>
      <w:tr>
        <w:trPr>
          <w:trHeight w:val="223"/>
        </w:trPr>
        <w:tc>
          <w:tcPr>
            <w:tcW w:w="25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242424"/>
              </w:rPr>
              <w:t>2021</w:t>
            </w:r>
          </w:p>
        </w:tc>
        <w:tc>
          <w:tcPr>
            <w:tcW w:w="1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242424"/>
              </w:rPr>
              <w:t>2020</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242424"/>
                <w:w w:val="94"/>
              </w:rPr>
              <w:t>2019</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Change</w:t>
            </w:r>
          </w:p>
        </w:tc>
        <w:tc>
          <w:tcPr>
            <w:tcW w:w="12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 Change</w:t>
            </w:r>
          </w:p>
        </w:tc>
        <w:tc>
          <w:tcPr>
            <w:tcW w:w="12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Type: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220"/>
              <w:spacing w:after="0"/>
              <w:rPr>
                <w:sz w:val="20"/>
                <w:szCs w:val="20"/>
                <w:color w:val="auto"/>
              </w:rPr>
            </w:pPr>
            <w:r>
              <w:rPr>
                <w:rFonts w:ascii="Arial" w:cs="Arial" w:eastAsia="Arial" w:hAnsi="Arial"/>
                <w:sz w:val="18"/>
                <w:szCs w:val="18"/>
                <w:color w:val="auto"/>
              </w:rPr>
              <w:t>Merchant card fees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468,764</w:t>
            </w: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377,346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w w:val="98"/>
              </w:rPr>
              <w:t>339,450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91,418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24.2 %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37,896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Outsourced services and other</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21,033</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23,103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28,712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(2,070)</w:t>
            </w:r>
          </w:p>
        </w:tc>
        <w:tc>
          <w:tcPr>
            <w:tcW w:w="1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(5,609)</w:t>
            </w:r>
          </w:p>
        </w:tc>
        <w:tc>
          <w:tcPr>
            <w:tcW w:w="1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135"/>
        </w:trPr>
        <w:tc>
          <w:tcPr>
            <w:tcW w:w="256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services</w:t>
            </w:r>
          </w:p>
        </w:tc>
        <w:tc>
          <w:tcPr>
            <w:tcW w:w="26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34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3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6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560" w:type="dxa"/>
            <w:vAlign w:val="bottom"/>
          </w:tcPr>
          <w:p>
            <w:pPr>
              <w:ind w:left="220"/>
              <w:spacing w:after="0" w:line="176" w:lineRule="exact"/>
              <w:rPr>
                <w:sz w:val="20"/>
                <w:szCs w:val="20"/>
                <w:color w:val="auto"/>
              </w:rPr>
            </w:pPr>
            <w:r>
              <w:rPr>
                <w:rFonts w:ascii="Arial" w:cs="Arial" w:eastAsia="Arial" w:hAnsi="Arial"/>
                <w:sz w:val="18"/>
                <w:szCs w:val="18"/>
                <w:color w:val="auto"/>
              </w:rPr>
              <w:t>Money transmission services</w:t>
            </w:r>
          </w:p>
        </w:tc>
        <w:tc>
          <w:tcPr>
            <w:tcW w:w="260" w:type="dxa"/>
            <w:vAlign w:val="bottom"/>
          </w:tcPr>
          <w:p>
            <w:pPr>
              <w:spacing w:after="0"/>
              <w:rPr>
                <w:sz w:val="15"/>
                <w:szCs w:val="15"/>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19,415</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8"/>
                <w:szCs w:val="18"/>
                <w:color w:val="auto"/>
              </w:rPr>
              <w:t>19,415</w:t>
            </w:r>
          </w:p>
        </w:tc>
        <w:tc>
          <w:tcPr>
            <w:tcW w:w="120" w:type="dxa"/>
            <w:vAlign w:val="bottom"/>
          </w:tcPr>
          <w:p>
            <w:pPr>
              <w:spacing w:after="0"/>
              <w:rPr>
                <w:sz w:val="15"/>
                <w:szCs w:val="15"/>
                <w:color w:val="auto"/>
              </w:rPr>
            </w:pPr>
          </w:p>
        </w:tc>
        <w:tc>
          <w:tcPr>
            <w:tcW w:w="1340" w:type="dxa"/>
            <w:vAlign w:val="bottom"/>
            <w:gridSpan w:val="2"/>
            <w:vMerge w:val="restart"/>
          </w:tcPr>
          <w:p>
            <w:pPr>
              <w:ind w:left="98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5"/>
                <w:szCs w:val="15"/>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35"/>
        </w:trPr>
        <w:tc>
          <w:tcPr>
            <w:tcW w:w="2560" w:type="dxa"/>
            <w:vAlign w:val="bottom"/>
            <w:vMerge w:val="restart"/>
          </w:tcPr>
          <w:p>
            <w:pPr>
              <w:ind w:left="220"/>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5,689</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3,893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1,796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46.1 %</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23"/>
        </w:trPr>
        <w:tc>
          <w:tcPr>
            <w:tcW w:w="2560" w:type="dxa"/>
            <w:vAlign w:val="bottom"/>
          </w:tcPr>
          <w:p>
            <w:pPr>
              <w:ind w:left="2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514,901</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404,342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371,854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2"/>
              </w:rPr>
              <w:t>110,559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27.3 %</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32,488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year ended December 31, 2021, our merchant card fees revenue of $468.8 million increased by $91.5 million, or 24.3%, from $377.3 million for the year ended December 31, 2020. This increase was driven by an increase in the merchant bankcard volume processed by the Company.</w:t>
      </w:r>
    </w:p>
    <w:p>
      <w:pPr>
        <w:spacing w:after="0" w:line="14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Outsourced services and other services revenue of $21.0 million for the year ended December 31, 2021 decreased by $2.1 million, or 9.1%, from $23.1 million for the year ended December 31, 2020, primarily due to the wind down of certain customer programs due to the impact of the COVID-19 pandemic.</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Money transmission services revenue of $19.4 million for the year ended December 31, 2021 is related to the acquisition of Finxera Holdings,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("Finxera") in September 2021.</w:t>
      </w:r>
    </w:p>
    <w:p>
      <w:pPr>
        <w:spacing w:after="0" w:line="21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Equipment revenue of $5.7 million for the year ended December 31, 2021 increased by $1.8 million, or 46.2%, from $3.9 million for the year ended December 31, 2020. The increase was primarily due to the sale of equipment to new merchants added during the year.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2021, 2020 and 2019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27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4"/>
          </w:tcPr>
          <w:p>
            <w:pPr>
              <w:ind w:left="420"/>
              <w:spacing w:after="0"/>
              <w:rPr>
                <w:sz w:val="20"/>
                <w:szCs w:val="20"/>
                <w:color w:val="auto"/>
              </w:rPr>
            </w:pPr>
            <w:r>
              <w:rPr>
                <w:rFonts w:ascii="Arial" w:cs="Arial" w:eastAsia="Arial" w:hAnsi="Arial"/>
                <w:sz w:val="18"/>
                <w:szCs w:val="18"/>
                <w:b w:val="1"/>
                <w:bCs w:val="1"/>
                <w:color w:val="auto"/>
              </w:rPr>
              <w:t>2021 vs 2020</w:t>
            </w:r>
          </w:p>
        </w:tc>
        <w:tc>
          <w:tcPr>
            <w:tcW w:w="120" w:type="dxa"/>
            <w:vAlign w:val="bottom"/>
          </w:tcPr>
          <w:p>
            <w:pPr>
              <w:spacing w:after="0"/>
              <w:rPr>
                <w:sz w:val="20"/>
                <w:szCs w:val="20"/>
                <w:color w:val="auto"/>
              </w:rPr>
            </w:pPr>
          </w:p>
        </w:tc>
        <w:tc>
          <w:tcPr>
            <w:tcW w:w="222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2020 vs 2019</w:t>
            </w:r>
          </w:p>
        </w:tc>
        <w:tc>
          <w:tcPr>
            <w:tcW w:w="0" w:type="dxa"/>
            <w:vAlign w:val="bottom"/>
          </w:tcPr>
          <w:p>
            <w:pPr>
              <w:spacing w:after="0"/>
              <w:rPr>
                <w:sz w:val="1"/>
                <w:szCs w:val="1"/>
                <w:color w:val="auto"/>
              </w:rPr>
            </w:pPr>
          </w:p>
        </w:tc>
      </w:tr>
      <w:tr>
        <w:trPr>
          <w:trHeight w:val="223"/>
        </w:trPr>
        <w:tc>
          <w:tcPr>
            <w:tcW w:w="25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242424"/>
              </w:rPr>
              <w:t>2021</w:t>
            </w:r>
          </w:p>
        </w:tc>
        <w:tc>
          <w:tcPr>
            <w:tcW w:w="1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242424"/>
              </w:rPr>
              <w:t>2020</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242424"/>
                <w:w w:val="94"/>
              </w:rPr>
              <w:t>2019</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7"/>
              </w:rPr>
              <w:t>Change</w:t>
            </w:r>
          </w:p>
        </w:tc>
        <w:tc>
          <w:tcPr>
            <w:tcW w:w="12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 Change</w:t>
            </w:r>
          </w:p>
        </w:tc>
        <w:tc>
          <w:tcPr>
            <w:tcW w:w="12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220"/>
              <w:spacing w:after="0"/>
              <w:rPr>
                <w:sz w:val="20"/>
                <w:szCs w:val="20"/>
                <w:color w:val="auto"/>
              </w:rPr>
            </w:pPr>
            <w:r>
              <w:rPr>
                <w:rFonts w:ascii="Arial" w:cs="Arial" w:eastAsia="Arial" w:hAnsi="Arial"/>
                <w:sz w:val="18"/>
                <w:szCs w:val="18"/>
                <w:color w:val="auto"/>
              </w:rPr>
              <w:t>Costs of services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359,885</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277,374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w w:val="98"/>
              </w:rPr>
              <w:t>252,569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82,511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29.7 %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24,805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Salary and employee benefits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43,818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39,507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42,214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4,311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(2,707)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2580" w:type="dxa"/>
            <w:vAlign w:val="bottom"/>
          </w:tcPr>
          <w:p>
            <w:pPr>
              <w:ind w:left="220"/>
              <w:spacing w:after="0"/>
              <w:rPr>
                <w:sz w:val="20"/>
                <w:szCs w:val="20"/>
                <w:color w:val="auto"/>
              </w:rPr>
            </w:pPr>
            <w:r>
              <w:rPr>
                <w:rFonts w:ascii="Arial" w:cs="Arial" w:eastAsia="Arial" w:hAnsi="Arial"/>
                <w:sz w:val="18"/>
                <w:szCs w:val="18"/>
                <w:color w:val="auto"/>
                <w:w w:val="97"/>
              </w:rPr>
              <w:t>Depreciation and amortization</w:t>
            </w:r>
          </w:p>
        </w:tc>
        <w:tc>
          <w:tcPr>
            <w:tcW w:w="2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49,697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40,775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39,092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8,922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21.9 %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1,683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175"/>
        </w:trPr>
        <w:tc>
          <w:tcPr>
            <w:tcW w:w="25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28,408</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25,825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30,795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2,583</w:t>
            </w:r>
          </w:p>
        </w:tc>
        <w:tc>
          <w:tcPr>
            <w:tcW w:w="1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(4,970)</w:t>
            </w:r>
          </w:p>
        </w:tc>
        <w:tc>
          <w:tcPr>
            <w:tcW w:w="1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35"/>
        </w:trPr>
        <w:tc>
          <w:tcPr>
            <w:tcW w:w="258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24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134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3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80" w:type="dxa"/>
            <w:vAlign w:val="bottom"/>
            <w:vMerge w:val="continue"/>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spacing w:after="0"/>
              <w:rPr>
                <w:sz w:val="8"/>
                <w:szCs w:val="8"/>
                <w:color w:val="auto"/>
              </w:rPr>
            </w:pPr>
          </w:p>
        </w:tc>
        <w:tc>
          <w:tcPr>
            <w:tcW w:w="920" w:type="dxa"/>
            <w:vAlign w:val="bottom"/>
            <w:tcBorders>
              <w:bottom w:val="single" w:sz="8" w:color="auto"/>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9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spacing w:after="0"/>
              <w:rPr>
                <w:sz w:val="8"/>
                <w:szCs w:val="8"/>
                <w:color w:val="auto"/>
              </w:rPr>
            </w:pPr>
          </w:p>
        </w:tc>
        <w:tc>
          <w:tcPr>
            <w:tcW w:w="80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481,808</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383,481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364,670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98,327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25.6 %</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18,811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Costs of Services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Costs of services of $359.9 million for the year ended December 31, 2021 increased by $82.5 million, or 29.7%, from $277.4 million for the year ended December 31, 2020, primarily due to the corresponding increase in revenues. For the year ended December 31, 2021, costs of services as a percentage of total revenues increased to 69.9% as compared to 68.6% for the year ended December 31, 2020. This increase was primarily due to bankcard volume growth from larger partners with higher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Salary and Employee Benefits</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Salary and employee benefits expense of $43.8 million for the year ended December 31, 2021 increased by $4.3 million, or 10.9%, from $39.5 million for the year ended December 31, 2020, primarily due to an increase in headcount related to our acquisition of Finxera in September 2021. The Company's employee headcount increased to 790 in 2021 from 479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 Expense</w:t>
      </w:r>
    </w:p>
    <w:p>
      <w:pPr>
        <w:spacing w:after="0" w:line="22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 xml:space="preserve">Depreciation and amortization expense of $49.7 million for the year ended December 31, 2021 increased by $8.9 million, or 21.8%, from $40.8 million for the year ended December 31, 2020, primarily due to the recognition of finite lived intangible assets from the business combinations completed during the year, offset by a decrease related to the sale of certain assets from </w:t>
      </w:r>
      <w:r>
        <w:rPr>
          <w:rFonts w:ascii="Arial" w:cs="Arial" w:eastAsia="Arial" w:hAnsi="Arial"/>
          <w:sz w:val="16"/>
          <w:szCs w:val="16"/>
          <w:color w:val="212529"/>
        </w:rPr>
        <w:t>Priority Real Estate Technology, LLC's ("</w:t>
      </w:r>
      <w:r>
        <w:rPr>
          <w:rFonts w:ascii="Arial" w:cs="Arial" w:eastAsia="Arial" w:hAnsi="Arial"/>
          <w:sz w:val="16"/>
          <w:szCs w:val="16"/>
          <w:color w:val="auto"/>
        </w:rPr>
        <w:t>PRET") real estate services business in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w:t>
      </w:r>
    </w:p>
    <w:p>
      <w:pPr>
        <w:spacing w:after="0" w:line="22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Selling, general and administrative expenses of $28.4 million for the year ended December 31, 2021 increased by $2.6 million, or 10.1%, from $25.8 million for the year ended December 31, 2020, primarily due to expenses from acquired businesses as well as one-time transaction expenses.</w:t>
      </w:r>
    </w:p>
    <w:p>
      <w:pPr>
        <w:sectPr>
          <w:pgSz w:w="11900" w:h="16838" w:orient="portrait"/>
          <w:cols w:equalWidth="0" w:num="1">
            <w:col w:w="11240"/>
          </w:cols>
          <w:pgMar w:left="320" w:top="125" w:right="33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(Expenses) Income, net</w:t>
      </w:r>
    </w:p>
    <w:p>
      <w:pPr>
        <w:spacing w:after="0" w:line="30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62" w:lineRule="exact"/>
        <w:rPr>
          <w:sz w:val="20"/>
          <w:szCs w:val="20"/>
          <w:color w:val="auto"/>
        </w:rPr>
      </w:pPr>
    </w:p>
    <w:p>
      <w:pPr>
        <w:ind w:left="140" w:right="520" w:hanging="120"/>
        <w:spacing w:after="0" w:line="322" w:lineRule="auto"/>
        <w:rPr>
          <w:sz w:val="20"/>
          <w:szCs w:val="20"/>
          <w:color w:val="auto"/>
        </w:rPr>
      </w:pPr>
      <w:r>
        <w:rPr>
          <w:rFonts w:ascii="Arial" w:cs="Arial" w:eastAsia="Arial" w:hAnsi="Arial"/>
          <w:sz w:val="15"/>
          <w:szCs w:val="15"/>
          <w:b w:val="1"/>
          <w:bCs w:val="1"/>
          <w:color w:val="auto"/>
        </w:rPr>
        <w:t xml:space="preserve">Other (expenses) income </w:t>
      </w:r>
      <w:r>
        <w:rPr>
          <w:rFonts w:ascii="Arial" w:cs="Arial" w:eastAsia="Arial" w:hAnsi="Arial"/>
          <w:sz w:val="15"/>
          <w:szCs w:val="15"/>
          <w:color w:val="auto"/>
        </w:rPr>
        <w:t>Interest expense</w:t>
      </w:r>
    </w:p>
    <w:p>
      <w:pPr>
        <w:spacing w:after="0" w:line="1" w:lineRule="exact"/>
        <w:rPr>
          <w:sz w:val="20"/>
          <w:szCs w:val="20"/>
          <w:color w:val="auto"/>
        </w:rPr>
      </w:pPr>
    </w:p>
    <w:p>
      <w:pPr>
        <w:ind w:left="140" w:right="500"/>
        <w:spacing w:after="0" w:line="234" w:lineRule="auto"/>
        <w:rPr>
          <w:sz w:val="20"/>
          <w:szCs w:val="20"/>
          <w:color w:val="auto"/>
        </w:rPr>
      </w:pPr>
      <w:r>
        <w:rPr>
          <w:rFonts w:ascii="Arial" w:cs="Arial" w:eastAsia="Arial" w:hAnsi="Arial"/>
          <w:sz w:val="18"/>
          <w:szCs w:val="18"/>
          <w:color w:val="auto"/>
        </w:rPr>
        <w:t>Debt extinguishment and modification costs</w:t>
      </w:r>
    </w:p>
    <w:p>
      <w:pPr>
        <w:spacing w:after="0" w:line="1" w:lineRule="exact"/>
        <w:rPr>
          <w:sz w:val="20"/>
          <w:szCs w:val="20"/>
          <w:color w:val="auto"/>
        </w:rPr>
      </w:pPr>
    </w:p>
    <w:p>
      <w:pPr>
        <w:ind w:left="140" w:right="240"/>
        <w:spacing w:after="0" w:line="234" w:lineRule="auto"/>
        <w:rPr>
          <w:sz w:val="20"/>
          <w:szCs w:val="20"/>
          <w:color w:val="auto"/>
        </w:rPr>
      </w:pPr>
      <w:r>
        <w:rPr>
          <w:rFonts w:ascii="Arial" w:cs="Arial" w:eastAsia="Arial" w:hAnsi="Arial"/>
          <w:sz w:val="18"/>
          <w:szCs w:val="18"/>
          <w:color w:val="auto"/>
        </w:rPr>
        <w:t>Gain on sale of business and investment</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income, net</w:t>
      </w:r>
    </w:p>
    <w:p>
      <w:pPr>
        <w:spacing w:after="0" w:line="23" w:lineRule="exact"/>
        <w:rPr>
          <w:sz w:val="20"/>
          <w:szCs w:val="20"/>
          <w:color w:val="auto"/>
        </w:rPr>
      </w:pPr>
    </w:p>
    <w:p>
      <w:pPr>
        <w:ind w:left="220"/>
        <w:spacing w:after="0" w:line="234" w:lineRule="auto"/>
        <w:rPr>
          <w:sz w:val="20"/>
          <w:szCs w:val="20"/>
          <w:color w:val="auto"/>
        </w:rPr>
      </w:pPr>
      <w:r>
        <w:rPr>
          <w:rFonts w:ascii="Arial" w:cs="Arial" w:eastAsia="Arial" w:hAnsi="Arial"/>
          <w:sz w:val="18"/>
          <w:szCs w:val="18"/>
          <w:color w:val="auto"/>
        </w:rPr>
        <w:t>Total other (expenses) income, net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27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4"/>
          </w:tcPr>
          <w:p>
            <w:pPr>
              <w:ind w:left="440"/>
              <w:spacing w:after="0"/>
              <w:rPr>
                <w:sz w:val="20"/>
                <w:szCs w:val="20"/>
                <w:color w:val="auto"/>
              </w:rPr>
            </w:pPr>
            <w:r>
              <w:rPr>
                <w:rFonts w:ascii="Arial" w:cs="Arial" w:eastAsia="Arial" w:hAnsi="Arial"/>
                <w:sz w:val="18"/>
                <w:szCs w:val="18"/>
                <w:b w:val="1"/>
                <w:bCs w:val="1"/>
                <w:color w:val="auto"/>
              </w:rPr>
              <w:t>2021 vs 2020</w:t>
            </w:r>
          </w:p>
        </w:tc>
        <w:tc>
          <w:tcPr>
            <w:tcW w:w="120" w:type="dxa"/>
            <w:vAlign w:val="bottom"/>
          </w:tcPr>
          <w:p>
            <w:pPr>
              <w:spacing w:after="0"/>
              <w:rPr>
                <w:sz w:val="20"/>
                <w:szCs w:val="20"/>
                <w:color w:val="auto"/>
              </w:rPr>
            </w:pPr>
          </w:p>
        </w:tc>
        <w:tc>
          <w:tcPr>
            <w:tcW w:w="22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2020 vs 2019</w:t>
            </w:r>
          </w:p>
        </w:tc>
      </w:tr>
      <w:tr>
        <w:trPr>
          <w:trHeight w:val="223"/>
        </w:trPr>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242424"/>
              </w:rPr>
              <w:t>2021</w:t>
            </w:r>
          </w:p>
        </w:tc>
        <w:tc>
          <w:tcPr>
            <w:tcW w:w="1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242424"/>
              </w:rPr>
              <w:t>2020</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242424"/>
                <w:w w:val="94"/>
              </w:rPr>
              <w:t>2019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Change</w:t>
            </w: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 Change</w:t>
            </w: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Change</w:t>
            </w:r>
          </w:p>
        </w:tc>
      </w:tr>
      <w:tr>
        <w:trPr>
          <w:trHeight w:val="439"/>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(36,485)</w:t>
            </w:r>
          </w:p>
        </w:tc>
        <w:tc>
          <w:tcPr>
            <w:tcW w:w="16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(44,839)</w:t>
            </w:r>
          </w:p>
        </w:tc>
        <w:tc>
          <w:tcPr>
            <w:tcW w:w="12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w w:val="95"/>
              </w:rPr>
              <w:t>(40,653)</w:t>
            </w:r>
          </w:p>
        </w:tc>
        <w:tc>
          <w:tcPr>
            <w:tcW w:w="1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8,354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(4,186)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10.3 %</w:t>
            </w:r>
          </w:p>
        </w:tc>
      </w:tr>
      <w:tr>
        <w:trPr>
          <w:trHeight w:val="310"/>
        </w:trPr>
        <w:tc>
          <w:tcPr>
            <w:tcW w:w="26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(8,322)</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(1,899)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(6,423)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338.2 %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(1,899)</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405"/>
        </w:trPr>
        <w:tc>
          <w:tcPr>
            <w:tcW w:w="26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7,643</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107,239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w w:val="89"/>
              </w:rPr>
              <w:t>(99,596)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107,239</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324"/>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(16.1)%</w:t>
            </w:r>
          </w:p>
        </w:tc>
      </w:tr>
      <w:tr>
        <w:trPr>
          <w:trHeight w:val="290"/>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(36,962)</w:t>
            </w:r>
          </w:p>
        </w:tc>
        <w:tc>
          <w:tcPr>
            <w:tcW w:w="16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61,097</w:t>
            </w:r>
          </w:p>
        </w:tc>
        <w:tc>
          <w:tcPr>
            <w:tcW w:w="12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w w:val="95"/>
              </w:rPr>
              <w:t>(39,943)</w:t>
            </w:r>
          </w:p>
        </w:tc>
        <w:tc>
          <w:tcPr>
            <w:tcW w:w="1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w w:val="89"/>
              </w:rPr>
              <w:t>(98,059)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(160.5)%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101,040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(253.0)%</w:t>
            </w:r>
          </w:p>
        </w:tc>
      </w:tr>
      <w:tr>
        <w:trPr>
          <w:trHeight w:val="68"/>
        </w:trPr>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-1224915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-934085</wp:posOffset>
            </wp:positionV>
            <wp:extent cx="7132320" cy="257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-419100</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30" w:lineRule="exact"/>
        <w:rPr>
          <w:sz w:val="20"/>
          <w:szCs w:val="20"/>
          <w:color w:val="auto"/>
        </w:rPr>
      </w:pPr>
    </w:p>
    <w:p>
      <w:pPr>
        <w:sectPr>
          <w:pgSz w:w="11900" w:h="16838" w:orient="portrait"/>
          <w:cols w:equalWidth="0" w:num="2">
            <w:col w:w="2440" w:space="120"/>
            <w:col w:w="8680"/>
          </w:cols>
          <w:pgMar w:left="320" w:top="125" w:right="339" w:bottom="1440" w:gutter="0" w:footer="0" w:header="0"/>
          <w:type w:val="continuous"/>
        </w:sectPr>
      </w:pPr>
    </w:p>
    <w:p>
      <w:pPr>
        <w:spacing w:after="0" w:line="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Interest expense of $36.5 million for the year ended December 31, 2021 decreased by $8.3 million, or 18.5%, from $44.8 million for the year ended December 31, 2020, primarily due to the lower rate of interest on the new loans secured by the Company in connection with the refinancing of its credit facilities in April 2021. The new term facility and revolving credit facility carry interest rates of 6.75% and 5.75% at December 31, 2021, respectively, as compared to the old term facility and subordinated term loan facility, which carried interest rates of 7.50% and 12.50% at December 31, 2020, respectively. The decrease in interest expense in 2021 was also driven by the timing of additional borrowings. The Company borrowed $320.0 million to fund the acquisition of Finxera in September 2021, which was only outstanding during part of the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Extinguishment and Modification Costs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Debt extinguishment and modification costs for the year ended December 31, 2021 were $8.3 million, an increase of $6.4 million, or 336.8%, from $1.9 million for the year ended December 31, 2020. The Company refinanced its credit facilities in April 2021. As a result the Company expensed unamortized deferred costs and discounts of $3.0 million associated with the retirement of its subordinated debt facility and expensed $5.3 million of third-party costs incurred in connection with the refinancing. During 2020, the Company expensed unamortized deferred costs and discounts of $1.5 million associated with the $106.5 million principal prepayment for the term facility under our Senior Credit Facility and expensed $0.4 million of third-party costs incurred in connection with the amendment of its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on Sale of Business and Investment</w:t>
      </w:r>
    </w:p>
    <w:p>
      <w:pPr>
        <w:spacing w:after="0" w:line="225" w:lineRule="exact"/>
        <w:rPr>
          <w:sz w:val="20"/>
          <w:szCs w:val="20"/>
          <w:color w:val="auto"/>
        </w:rPr>
      </w:pPr>
    </w:p>
    <w:p>
      <w:pPr>
        <w:ind w:right="22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Gain on sale of business and investment for the year ended December 31, 2021 was $7.6 million, which resulted from consideration received by the Company in connection with the termination of certain warrants held in the common stock of an entity that was sold during the year. </w:t>
      </w:r>
      <w:r>
        <w:rPr>
          <w:rFonts w:ascii="Arial" w:cs="Arial" w:eastAsia="Arial" w:hAnsi="Arial"/>
          <w:sz w:val="18"/>
          <w:szCs w:val="18"/>
          <w:color w:val="212529"/>
        </w:rPr>
        <w:t>Th</w:t>
      </w:r>
      <w:r>
        <w:rPr>
          <w:rFonts w:ascii="Arial" w:cs="Arial" w:eastAsia="Arial" w:hAnsi="Arial"/>
          <w:sz w:val="18"/>
          <w:szCs w:val="18"/>
          <w:color w:val="auto"/>
        </w:rPr>
        <w:t xml:space="preserve">e amount of consideration received may be subject to certain adjustments in the future related to a potential earn out that is contingent on 2022 performance. Any remaining payments made or received by the Company will be recorded in the period in which such amounts are finalized. For the year ended December 31, 2020, gain on sale of business and investment was $107.2 million, which was related to the sale of PRET's real estate services business in September 2020, as discussed in </w:t>
      </w:r>
      <w:hyperlink w:anchor="page70">
        <w:r>
          <w:rPr>
            <w:rFonts w:ascii="Arial" w:cs="Arial" w:eastAsia="Arial" w:hAnsi="Arial"/>
            <w:sz w:val="18"/>
            <w:szCs w:val="18"/>
            <w:u w:val="single" w:color="auto"/>
            <w:color w:val="0000FF"/>
          </w:rPr>
          <w:t>Note 6, Disposal of Business</w:t>
        </w:r>
      </w:hyperlink>
      <w:r>
        <w:rPr>
          <w:rFonts w:ascii="Arial" w:cs="Arial" w:eastAsia="Arial" w:hAnsi="Arial"/>
          <w:sz w:val="18"/>
          <w:szCs w:val="18"/>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Income Tax Expense</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24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4"/>
                <w:szCs w:val="24"/>
                <w:color w:val="auto"/>
              </w:rPr>
            </w:pPr>
          </w:p>
        </w:tc>
        <w:tc>
          <w:tcPr>
            <w:tcW w:w="286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4"/>
          </w:tcPr>
          <w:p>
            <w:pPr>
              <w:ind w:left="420"/>
              <w:spacing w:after="0"/>
              <w:rPr>
                <w:sz w:val="20"/>
                <w:szCs w:val="20"/>
                <w:color w:val="auto"/>
              </w:rPr>
            </w:pPr>
            <w:r>
              <w:rPr>
                <w:rFonts w:ascii="Arial" w:cs="Arial" w:eastAsia="Arial" w:hAnsi="Arial"/>
                <w:sz w:val="18"/>
                <w:szCs w:val="18"/>
                <w:b w:val="1"/>
                <w:bCs w:val="1"/>
                <w:color w:val="auto"/>
              </w:rPr>
              <w:t>2021 vs 2020</w:t>
            </w:r>
          </w:p>
        </w:tc>
        <w:tc>
          <w:tcPr>
            <w:tcW w:w="120" w:type="dxa"/>
            <w:vAlign w:val="bottom"/>
          </w:tcPr>
          <w:p>
            <w:pPr>
              <w:spacing w:after="0"/>
              <w:rPr>
                <w:sz w:val="24"/>
                <w:szCs w:val="24"/>
                <w:color w:val="auto"/>
              </w:rPr>
            </w:pPr>
          </w:p>
        </w:tc>
        <w:tc>
          <w:tcPr>
            <w:tcW w:w="218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2020 vs 2019</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242424"/>
              </w:rPr>
              <w:t>2021</w:t>
            </w:r>
          </w:p>
        </w:tc>
        <w:tc>
          <w:tcPr>
            <w:tcW w:w="1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242424"/>
              </w:rPr>
              <w:t>2020</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242424"/>
              </w:rPr>
              <w:t>2019</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Change</w:t>
            </w: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 Change</w:t>
            </w:r>
          </w:p>
        </w:tc>
        <w:tc>
          <w:tcPr>
            <w:tcW w:w="12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55"/>
        </w:trPr>
        <w:tc>
          <w:tcPr>
            <w:tcW w:w="242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rPr>
              <w:t>(Loss) income before income</w:t>
            </w: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(3,869)</w:t>
            </w: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81,958</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(32,759)</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(85,827)</w:t>
            </w:r>
          </w:p>
        </w:tc>
        <w:tc>
          <w:tcPr>
            <w:tcW w:w="12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114,717</w:t>
            </w: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149"/>
        </w:trPr>
        <w:tc>
          <w:tcPr>
            <w:tcW w:w="24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260" w:type="dxa"/>
            <w:vAlign w:val="bottom"/>
            <w:vMerge w:val="continue"/>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420" w:type="dxa"/>
            <w:vAlign w:val="bottom"/>
            <w:gridSpan w:val="2"/>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(5,258)</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10,899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(16,157)</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10,069</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1,213.1 %</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135.9 %</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The effective tax rate for 2021 increased primarily due to: 1) </w:t>
      </w:r>
      <w:r>
        <w:rPr>
          <w:rFonts w:ascii="Arial" w:cs="Arial" w:eastAsia="Arial" w:hAnsi="Arial"/>
          <w:sz w:val="18"/>
          <w:szCs w:val="18"/>
          <w:color w:val="222222"/>
        </w:rPr>
        <w:t>an increase in the valuation allowance against certain business interest carryover deferred tax</w:t>
      </w:r>
      <w:r>
        <w:rPr>
          <w:rFonts w:ascii="Arial" w:cs="Arial" w:eastAsia="Arial" w:hAnsi="Arial"/>
          <w:sz w:val="18"/>
          <w:szCs w:val="18"/>
          <w:color w:val="auto"/>
        </w:rPr>
        <w:t xml:space="preserve"> </w:t>
      </w:r>
      <w:r>
        <w:rPr>
          <w:rFonts w:ascii="Arial" w:cs="Arial" w:eastAsia="Arial" w:hAnsi="Arial"/>
          <w:sz w:val="18"/>
          <w:szCs w:val="18"/>
          <w:color w:val="222222"/>
        </w:rPr>
        <w:t xml:space="preserve">assets; 2) non-deductible transaction costs incurred in the acquisition of Finxera; 3) the finalization of prior estimates on the sale of </w:t>
      </w:r>
      <w:r>
        <w:rPr>
          <w:rFonts w:ascii="Arial" w:cs="Arial" w:eastAsia="Arial" w:hAnsi="Arial"/>
          <w:sz w:val="18"/>
          <w:szCs w:val="18"/>
          <w:color w:val="000000"/>
        </w:rPr>
        <w:t>PRET's real estate</w:t>
      </w:r>
      <w:r>
        <w:rPr>
          <w:rFonts w:ascii="Arial" w:cs="Arial" w:eastAsia="Arial" w:hAnsi="Arial"/>
          <w:sz w:val="18"/>
          <w:szCs w:val="18"/>
          <w:color w:val="222222"/>
        </w:rPr>
        <w:t xml:space="preserve"> </w:t>
      </w:r>
      <w:r>
        <w:rPr>
          <w:rFonts w:ascii="Arial" w:cs="Arial" w:eastAsia="Arial" w:hAnsi="Arial"/>
          <w:sz w:val="18"/>
          <w:szCs w:val="18"/>
          <w:color w:val="000000"/>
        </w:rPr>
        <w:t xml:space="preserve">services business </w:t>
      </w:r>
      <w:r>
        <w:rPr>
          <w:rFonts w:ascii="Arial" w:cs="Arial" w:eastAsia="Arial" w:hAnsi="Arial"/>
          <w:sz w:val="18"/>
          <w:szCs w:val="18"/>
          <w:color w:val="222222"/>
        </w:rPr>
        <w:t>impacting amounts attributable to noncontrolling partners; and 4) an increase in the tax basis of certain intangible assets resulting from a</w:t>
      </w:r>
      <w:r>
        <w:rPr>
          <w:rFonts w:ascii="Arial" w:cs="Arial" w:eastAsia="Arial" w:hAnsi="Arial"/>
          <w:sz w:val="18"/>
          <w:szCs w:val="18"/>
          <w:color w:val="000000"/>
        </w:rPr>
        <w:t xml:space="preserve"> </w:t>
      </w:r>
      <w:r>
        <w:rPr>
          <w:rFonts w:ascii="Arial" w:cs="Arial" w:eastAsia="Arial" w:hAnsi="Arial"/>
          <w:sz w:val="18"/>
          <w:szCs w:val="18"/>
          <w:color w:val="222222"/>
        </w:rPr>
        <w:t>change in a subsidiary's entity status.</w:t>
      </w:r>
    </w:p>
    <w:p>
      <w:pPr>
        <w:spacing w:after="0" w:line="18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consolidated effective income tax rates differ from the statutory rate due to timing and permanent differences between amounts calculated under accounting principles GAAP and the U.S. tax code. The consolidated effective income tax rate for 2021 may not be indicative of our effective tax rate for future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Attributable to Common Shareholders</w:t>
      </w:r>
    </w:p>
    <w:p>
      <w:pPr>
        <w:sectPr>
          <w:pgSz w:w="11900" w:h="16838" w:orient="portrait"/>
          <w:cols w:equalWidth="0" w:num="1">
            <w:col w:w="11240"/>
          </w:cols>
          <w:pgMar w:left="320" w:top="125" w:right="339" w:bottom="1440" w:gutter="0" w:footer="0" w:header="0"/>
        </w:sect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62" w:lineRule="exact"/>
        <w:rPr>
          <w:sz w:val="20"/>
          <w:szCs w:val="20"/>
          <w:color w:val="auto"/>
        </w:rPr>
      </w:pPr>
    </w:p>
    <w:p>
      <w:pPr>
        <w:ind w:left="20"/>
        <w:spacing w:after="0"/>
        <w:tabs>
          <w:tab w:leader="none" w:pos="2540" w:val="left"/>
        </w:tabs>
        <w:rPr>
          <w:sz w:val="20"/>
          <w:szCs w:val="20"/>
          <w:color w:val="auto"/>
        </w:rPr>
      </w:pPr>
      <w:r>
        <w:rPr>
          <w:rFonts w:ascii="Arial" w:cs="Arial" w:eastAsia="Arial" w:hAnsi="Arial"/>
          <w:sz w:val="18"/>
          <w:szCs w:val="18"/>
          <w:b w:val="1"/>
          <w:bCs w:val="1"/>
          <w:color w:val="auto"/>
        </w:rPr>
        <w:t>Net income (loss)</w:t>
      </w:r>
      <w:r>
        <w:rPr>
          <w:sz w:val="20"/>
          <w:szCs w:val="20"/>
          <w:color w:val="auto"/>
        </w:rPr>
        <w:tab/>
      </w:r>
      <w:r>
        <w:rPr>
          <w:rFonts w:ascii="Arial" w:cs="Arial" w:eastAsia="Arial" w:hAnsi="Arial"/>
          <w:sz w:val="17"/>
          <w:szCs w:val="17"/>
          <w:color w:val="auto"/>
        </w:rPr>
        <w:t>$</w:t>
      </w:r>
    </w:p>
    <w:p>
      <w:pPr>
        <w:spacing w:after="0" w:line="41" w:lineRule="exact"/>
        <w:rPr>
          <w:sz w:val="20"/>
          <w:szCs w:val="20"/>
          <w:color w:val="auto"/>
        </w:rPr>
      </w:pPr>
    </w:p>
    <w:p>
      <w:pPr>
        <w:ind w:left="140" w:right="160"/>
        <w:spacing w:after="0" w:line="237" w:lineRule="auto"/>
        <w:rPr>
          <w:sz w:val="20"/>
          <w:szCs w:val="20"/>
          <w:color w:val="auto"/>
        </w:rPr>
      </w:pPr>
      <w:r>
        <w:rPr>
          <w:rFonts w:ascii="Arial" w:cs="Arial" w:eastAsia="Arial" w:hAnsi="Arial"/>
          <w:sz w:val="17"/>
          <w:szCs w:val="17"/>
          <w:color w:val="auto"/>
        </w:rPr>
        <w:t>Less: Dividends and accretion attributable to redeemable senior preferred stockholders</w:t>
      </w:r>
    </w:p>
    <w:p>
      <w:pPr>
        <w:spacing w:after="0" w:line="1" w:lineRule="exact"/>
        <w:rPr>
          <w:sz w:val="20"/>
          <w:szCs w:val="20"/>
          <w:color w:val="auto"/>
        </w:rPr>
      </w:pPr>
    </w:p>
    <w:p>
      <w:pPr>
        <w:ind w:left="140" w:right="220"/>
        <w:spacing w:after="0" w:line="219" w:lineRule="auto"/>
        <w:rPr>
          <w:sz w:val="20"/>
          <w:szCs w:val="20"/>
          <w:color w:val="auto"/>
        </w:rPr>
      </w:pPr>
      <w:r>
        <w:rPr>
          <w:rFonts w:ascii="Arial" w:cs="Arial" w:eastAsia="Arial" w:hAnsi="Arial"/>
          <w:sz w:val="18"/>
          <w:szCs w:val="18"/>
          <w:color w:val="auto"/>
        </w:rPr>
        <w:t>Less: Non-controlling interests ("NCI") preferred unit redemptions, net of deferred tax benefit</w:t>
      </w:r>
    </w:p>
    <w:p>
      <w:pPr>
        <w:spacing w:after="0" w:line="1" w:lineRule="exact"/>
        <w:rPr>
          <w:sz w:val="20"/>
          <w:szCs w:val="20"/>
          <w:color w:val="auto"/>
        </w:rPr>
      </w:pPr>
    </w:p>
    <w:p>
      <w:pPr>
        <w:ind w:left="140" w:right="220"/>
        <w:spacing w:after="0" w:line="281" w:lineRule="auto"/>
        <w:rPr>
          <w:sz w:val="20"/>
          <w:szCs w:val="20"/>
          <w:color w:val="auto"/>
        </w:rPr>
      </w:pPr>
      <w:r>
        <w:rPr>
          <w:rFonts w:ascii="Arial" w:cs="Arial" w:eastAsia="Arial" w:hAnsi="Arial"/>
          <w:sz w:val="15"/>
          <w:szCs w:val="15"/>
          <w:color w:val="auto"/>
        </w:rPr>
        <w:t>Less: Net income attributable to redeemable and redeemed NCIs</w:t>
      </w:r>
    </w:p>
    <w:p>
      <w:pPr>
        <w:spacing w:after="0" w:line="1" w:lineRule="exact"/>
        <w:rPr>
          <w:sz w:val="20"/>
          <w:szCs w:val="20"/>
          <w:color w:val="auto"/>
        </w:rPr>
      </w:pPr>
    </w:p>
    <w:p>
      <w:pPr>
        <w:ind w:left="20"/>
        <w:spacing w:after="0" w:line="234" w:lineRule="auto"/>
        <w:rPr>
          <w:sz w:val="20"/>
          <w:szCs w:val="20"/>
          <w:color w:val="auto"/>
        </w:rPr>
      </w:pPr>
      <w:r>
        <w:rPr>
          <w:rFonts w:ascii="Arial" w:cs="Arial" w:eastAsia="Arial" w:hAnsi="Arial"/>
          <w:sz w:val="18"/>
          <w:szCs w:val="18"/>
          <w:b w:val="1"/>
          <w:bCs w:val="1"/>
          <w:color w:val="auto"/>
        </w:rPr>
        <w:t xml:space="preserve">Net (loss) income attributable to </w:t>
      </w:r>
      <w:r>
        <w:rPr>
          <w:rFonts w:ascii="Arial" w:cs="Arial" w:eastAsia="Arial" w:hAnsi="Arial"/>
          <w:sz w:val="18"/>
          <w:szCs w:val="18"/>
          <w:color w:val="auto"/>
        </w:rPr>
        <w:t>$</w:t>
      </w:r>
      <w:r>
        <w:rPr>
          <w:rFonts w:ascii="Arial" w:cs="Arial" w:eastAsia="Arial" w:hAnsi="Arial"/>
          <w:sz w:val="18"/>
          <w:szCs w:val="18"/>
          <w:b w:val="1"/>
          <w:bCs w:val="1"/>
          <w:color w:val="auto"/>
        </w:rPr>
        <w:t xml:space="preserve"> common stockholders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560" w:type="dxa"/>
            <w:vAlign w:val="bottom"/>
            <w:gridSpan w:val="5"/>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gridSpan w:val="4"/>
          </w:tcPr>
          <w:p>
            <w:pPr>
              <w:ind w:left="440"/>
              <w:spacing w:after="0"/>
              <w:rPr>
                <w:sz w:val="20"/>
                <w:szCs w:val="20"/>
                <w:color w:val="auto"/>
              </w:rPr>
            </w:pPr>
            <w:r>
              <w:rPr>
                <w:rFonts w:ascii="Arial" w:cs="Arial" w:eastAsia="Arial" w:hAnsi="Arial"/>
                <w:sz w:val="18"/>
                <w:szCs w:val="18"/>
                <w:b w:val="1"/>
                <w:bCs w:val="1"/>
                <w:color w:val="auto"/>
              </w:rPr>
              <w:t>2021 vs 2020</w:t>
            </w:r>
          </w:p>
        </w:tc>
        <w:tc>
          <w:tcPr>
            <w:tcW w:w="120" w:type="dxa"/>
            <w:vAlign w:val="bottom"/>
          </w:tcPr>
          <w:p>
            <w:pPr>
              <w:spacing w:after="0"/>
              <w:rPr>
                <w:sz w:val="20"/>
                <w:szCs w:val="20"/>
                <w:color w:val="auto"/>
              </w:rPr>
            </w:pPr>
          </w:p>
        </w:tc>
        <w:tc>
          <w:tcPr>
            <w:tcW w:w="22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2020 vs 2019</w:t>
            </w:r>
          </w:p>
        </w:tc>
      </w:tr>
      <w:tr>
        <w:trPr>
          <w:trHeight w:val="223"/>
        </w:trPr>
        <w:tc>
          <w:tcPr>
            <w:tcW w:w="920" w:type="dxa"/>
            <w:vAlign w:val="bottom"/>
          </w:tcPr>
          <w:p>
            <w:pPr>
              <w:jc w:val="right"/>
              <w:ind w:right="470"/>
              <w:spacing w:after="0"/>
              <w:rPr>
                <w:sz w:val="20"/>
                <w:szCs w:val="20"/>
                <w:color w:val="auto"/>
              </w:rPr>
            </w:pPr>
            <w:r>
              <w:rPr>
                <w:rFonts w:ascii="Arial" w:cs="Arial" w:eastAsia="Arial" w:hAnsi="Arial"/>
                <w:sz w:val="18"/>
                <w:szCs w:val="18"/>
                <w:b w:val="1"/>
                <w:bCs w:val="1"/>
                <w:color w:val="242424"/>
                <w:w w:val="84"/>
              </w:rPr>
              <w:t>2021</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242424"/>
              </w:rPr>
              <w:t>2020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242424"/>
                <w:w w:val="94"/>
              </w:rPr>
              <w:t>2019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242424"/>
              </w:rPr>
              <w:t>$</w:t>
            </w: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242424"/>
                <w:w w:val="90"/>
              </w:rPr>
              <w:t>Change</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242424"/>
              </w:rPr>
              <w:t>% Change</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242424"/>
                <w:w w:val="91"/>
              </w:rPr>
              <w:t>$ Change</w:t>
            </w: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242424"/>
              </w:rPr>
              <w:t>% Change</w:t>
            </w:r>
          </w:p>
        </w:tc>
      </w:tr>
      <w:tr>
        <w:trPr>
          <w:trHeight w:val="224"/>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1,389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71,059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w w:val="95"/>
              </w:rPr>
              <w:t>(33,589)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w w:val="92"/>
              </w:rPr>
              <w:t>(69,670)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104,648</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(311.6)%</w:t>
            </w:r>
          </w:p>
        </w:tc>
      </w:tr>
      <w:tr>
        <w:trPr>
          <w:trHeight w:val="404"/>
        </w:trPr>
        <w:tc>
          <w:tcPr>
            <w:tcW w:w="920" w:type="dxa"/>
            <w:vAlign w:val="bottom"/>
          </w:tcPr>
          <w:p>
            <w:pPr>
              <w:jc w:val="right"/>
              <w:ind w:right="210"/>
              <w:spacing w:after="0"/>
              <w:rPr>
                <w:sz w:val="20"/>
                <w:szCs w:val="20"/>
                <w:color w:val="auto"/>
              </w:rPr>
            </w:pPr>
            <w:r>
              <w:rPr>
                <w:rFonts w:ascii="Arial" w:cs="Arial" w:eastAsia="Arial" w:hAnsi="Arial"/>
                <w:sz w:val="18"/>
                <w:szCs w:val="18"/>
                <w:color w:val="auto"/>
                <w:w w:val="89"/>
              </w:rPr>
              <w:t>(18,009)</w:t>
            </w:r>
          </w:p>
        </w:tc>
        <w:tc>
          <w:tcPr>
            <w:tcW w:w="26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w w:val="92"/>
              </w:rPr>
              <w:t>(18,009)</w:t>
            </w:r>
          </w:p>
        </w:tc>
        <w:tc>
          <w:tcPr>
            <w:tcW w:w="100" w:type="dxa"/>
            <w:vAlign w:val="bottom"/>
          </w:tcPr>
          <w:p>
            <w:pPr>
              <w:spacing w:after="0"/>
              <w:rPr>
                <w:sz w:val="24"/>
                <w:szCs w:val="24"/>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661"/>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(8,021)</w:t>
            </w:r>
          </w:p>
        </w:tc>
        <w:tc>
          <w:tcPr>
            <w:tcW w:w="26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(8,021)</w:t>
            </w:r>
          </w:p>
        </w:tc>
        <w:tc>
          <w:tcPr>
            <w:tcW w:w="100" w:type="dxa"/>
            <w:vAlign w:val="bottom"/>
          </w:tcPr>
          <w:p>
            <w:pPr>
              <w:spacing w:after="0"/>
              <w:rPr>
                <w:sz w:val="24"/>
                <w:szCs w:val="24"/>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580"/>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(45,398)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45,398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(45,398)</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95"/>
        </w:trPr>
        <w:tc>
          <w:tcPr>
            <w:tcW w:w="9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90"/>
        </w:trPr>
        <w:tc>
          <w:tcPr>
            <w:tcW w:w="920" w:type="dxa"/>
            <w:vAlign w:val="bottom"/>
          </w:tcPr>
          <w:p>
            <w:pPr>
              <w:jc w:val="right"/>
              <w:ind w:right="210"/>
              <w:spacing w:after="0"/>
              <w:rPr>
                <w:sz w:val="20"/>
                <w:szCs w:val="20"/>
                <w:color w:val="auto"/>
              </w:rPr>
            </w:pPr>
            <w:r>
              <w:rPr>
                <w:rFonts w:ascii="Arial" w:cs="Arial" w:eastAsia="Arial" w:hAnsi="Arial"/>
                <w:sz w:val="18"/>
                <w:szCs w:val="18"/>
                <w:color w:val="auto"/>
                <w:w w:val="89"/>
              </w:rPr>
              <w:t>(24,641)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25,661</w:t>
            </w:r>
          </w:p>
        </w:tc>
        <w:tc>
          <w:tcPr>
            <w:tcW w:w="12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w w:val="95"/>
              </w:rPr>
              <w:t>(33,589)</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w w:val="92"/>
              </w:rPr>
              <w:t>(50,302)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(196.0)%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59,250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(176.4)%</w:t>
            </w:r>
          </w:p>
        </w:tc>
      </w:tr>
      <w:tr>
        <w:trPr>
          <w:trHeight w:val="68"/>
        </w:trPr>
        <w:tc>
          <w:tcPr>
            <w:tcW w:w="9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-1010920</wp:posOffset>
            </wp:positionV>
            <wp:extent cx="7132320" cy="4800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8006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-273685</wp:posOffset>
            </wp:positionV>
            <wp:extent cx="7132320"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-1533525</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-249555</wp:posOffset>
            </wp:positionH>
            <wp:positionV relativeFrom="paragraph">
              <wp:posOffset>-1687830</wp:posOffset>
            </wp:positionV>
            <wp:extent cx="23831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280"/>
            <w:col w:w="8300"/>
          </w:cols>
          <w:pgMar w:left="320" w:top="125" w:right="339" w:bottom="1440" w:gutter="0" w:footer="0" w:header="0"/>
          <w:type w:val="continuous"/>
        </w:sectPr>
      </w:pPr>
    </w:p>
    <w:p>
      <w:pPr>
        <w:spacing w:after="0" w:line="83" w:lineRule="exact"/>
        <w:rPr>
          <w:sz w:val="20"/>
          <w:szCs w:val="20"/>
          <w:color w:val="auto"/>
        </w:rPr>
      </w:pPr>
    </w:p>
    <w:p>
      <w:pPr>
        <w:ind w:right="600"/>
        <w:spacing w:after="0" w:line="311" w:lineRule="auto"/>
        <w:rPr>
          <w:sz w:val="20"/>
          <w:szCs w:val="20"/>
          <w:color w:val="auto"/>
        </w:rPr>
      </w:pPr>
      <w:r>
        <w:rPr>
          <w:rFonts w:ascii="Arial" w:cs="Arial" w:eastAsia="Arial" w:hAnsi="Arial"/>
          <w:sz w:val="16"/>
          <w:szCs w:val="16"/>
          <w:color w:val="auto"/>
        </w:rPr>
        <w:t>Dividends and accretion attributable to redeemable senior preferred stockholders was $18.0 million for the year ended December 31, 2021, and was comprised of $8.7 million of accumulated dividends accrued as part of the carrying value of the redeemable senior preferred stock, $7.5 million of dividends that were paid in cash and $1.8 million related to the accretion of discounts and issuance cost for the redeemable senior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NCI preferred unit redemptions was $(8.0) million for the year ended December 31, 2021, and was related to the redemption of the PHOT preferred units, as discussed in </w:t>
      </w:r>
      <w:hyperlink w:anchor="page85">
        <w:r>
          <w:rPr>
            <w:rFonts w:ascii="Arial" w:cs="Arial" w:eastAsia="Arial" w:hAnsi="Arial"/>
            <w:sz w:val="18"/>
            <w:szCs w:val="18"/>
            <w:u w:val="single" w:color="auto"/>
            <w:color w:val="0000FF"/>
          </w:rPr>
          <w:t>Note 15, Related Party Transactions</w:t>
        </w:r>
      </w:hyperlink>
      <w:r>
        <w:rPr>
          <w:rFonts w:ascii="Arial" w:cs="Arial" w:eastAsia="Arial" w:hAnsi="Arial"/>
          <w:sz w:val="18"/>
          <w:szCs w:val="18"/>
          <w:color w:val="auto"/>
        </w:rPr>
        <w:t>.</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income attributable to redeemable and redeemed NCIs for the year ended December 31, 2020 was $(45.4) million, which was related to the portion of the gain on the sale of PRET's real estate services business in 2020 that was due to the NCIs.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Company reorganized its business segments as of December 31, 2021, resulting in three segments: Small and medium-sized businesses ("SMB") Payments, business-to-business ("B2B") Payments and Enterprise Payments. Segment results included in the discussion below were restated in accordance with the new segment structure for comparison purposes. The impact of the restatement of the prior period results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80" w:type="dxa"/>
            <w:vAlign w:val="bottom"/>
            <w:gridSpan w:val="5"/>
          </w:tcPr>
          <w:p>
            <w:pPr>
              <w:ind w:left="320"/>
              <w:spacing w:after="0"/>
              <w:rPr>
                <w:sz w:val="20"/>
                <w:szCs w:val="20"/>
                <w:color w:val="auto"/>
              </w:rPr>
            </w:pPr>
            <w:r>
              <w:rPr>
                <w:rFonts w:ascii="Arial" w:cs="Arial" w:eastAsia="Arial" w:hAnsi="Arial"/>
                <w:sz w:val="18"/>
                <w:szCs w:val="18"/>
                <w:b w:val="1"/>
                <w:bCs w:val="1"/>
                <w:color w:val="auto"/>
              </w:rPr>
              <w:t>SMB Payments</w:t>
            </w:r>
            <w:r>
              <w:rPr>
                <w:rFonts w:ascii="Arial" w:cs="Arial" w:eastAsia="Arial" w:hAnsi="Arial"/>
                <w:sz w:val="23"/>
                <w:szCs w:val="23"/>
                <w:b w:val="1"/>
                <w:bCs w:val="1"/>
                <w:color w:val="auto"/>
                <w:vertAlign w:val="superscript"/>
              </w:rPr>
              <w:t>(1)</w:t>
            </w:r>
          </w:p>
        </w:tc>
        <w:tc>
          <w:tcPr>
            <w:tcW w:w="260" w:type="dxa"/>
            <w:vAlign w:val="bottom"/>
          </w:tcPr>
          <w:p>
            <w:pPr>
              <w:spacing w:after="0"/>
              <w:rPr>
                <w:sz w:val="22"/>
                <w:szCs w:val="22"/>
                <w:color w:val="auto"/>
              </w:rPr>
            </w:pPr>
          </w:p>
        </w:tc>
        <w:tc>
          <w:tcPr>
            <w:tcW w:w="2360" w:type="dxa"/>
            <w:vAlign w:val="bottom"/>
            <w:gridSpan w:val="5"/>
          </w:tcPr>
          <w:p>
            <w:pPr>
              <w:ind w:left="340"/>
              <w:spacing w:after="0"/>
              <w:rPr>
                <w:sz w:val="20"/>
                <w:szCs w:val="20"/>
                <w:color w:val="auto"/>
              </w:rPr>
            </w:pPr>
            <w:r>
              <w:rPr>
                <w:rFonts w:ascii="Arial" w:cs="Arial" w:eastAsia="Arial" w:hAnsi="Arial"/>
                <w:sz w:val="18"/>
                <w:szCs w:val="18"/>
                <w:b w:val="1"/>
                <w:bCs w:val="1"/>
                <w:color w:val="auto"/>
              </w:rPr>
              <w:t>B2B Payments</w:t>
            </w:r>
            <w:r>
              <w:rPr>
                <w:rFonts w:ascii="Arial" w:cs="Arial" w:eastAsia="Arial" w:hAnsi="Arial"/>
                <w:sz w:val="23"/>
                <w:szCs w:val="23"/>
                <w:b w:val="1"/>
                <w:bCs w:val="1"/>
                <w:color w:val="auto"/>
                <w:vertAlign w:val="superscript"/>
              </w:rPr>
              <w:t>(2)</w:t>
            </w:r>
          </w:p>
        </w:tc>
        <w:tc>
          <w:tcPr>
            <w:tcW w:w="240" w:type="dxa"/>
            <w:vAlign w:val="bottom"/>
          </w:tcPr>
          <w:p>
            <w:pPr>
              <w:spacing w:after="0"/>
              <w:rPr>
                <w:sz w:val="22"/>
                <w:szCs w:val="22"/>
                <w:color w:val="auto"/>
              </w:rPr>
            </w:pPr>
          </w:p>
        </w:tc>
        <w:tc>
          <w:tcPr>
            <w:tcW w:w="226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4"/>
              </w:rPr>
              <w:t>Enterprise Payments</w:t>
            </w:r>
            <w:r>
              <w:rPr>
                <w:rFonts w:ascii="Arial" w:cs="Arial" w:eastAsia="Arial" w:hAnsi="Arial"/>
                <w:sz w:val="23"/>
                <w:szCs w:val="23"/>
                <w:b w:val="1"/>
                <w:bCs w:val="1"/>
                <w:color w:val="auto"/>
                <w:w w:val="94"/>
                <w:vertAlign w:val="superscript"/>
              </w:rPr>
              <w:t>(3)</w:t>
            </w:r>
          </w:p>
        </w:tc>
      </w:tr>
      <w:tr>
        <w:trPr>
          <w:trHeight w:val="223"/>
        </w:trPr>
        <w:tc>
          <w:tcPr>
            <w:tcW w:w="34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r>
      <w:tr>
        <w:trPr>
          <w:trHeight w:val="20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3480" w:type="dxa"/>
            <w:vAlign w:val="bottom"/>
          </w:tcPr>
          <w:p>
            <w:pPr>
              <w:ind w:left="140"/>
              <w:spacing w:after="0"/>
              <w:rPr>
                <w:sz w:val="20"/>
                <w:szCs w:val="20"/>
                <w:color w:val="auto"/>
              </w:rPr>
            </w:pPr>
            <w:r>
              <w:rPr>
                <w:rFonts w:ascii="Arial" w:cs="Arial" w:eastAsia="Arial" w:hAnsi="Arial"/>
                <w:sz w:val="18"/>
                <w:szCs w:val="18"/>
                <w:color w:val="auto"/>
              </w:rPr>
              <w:t>Restated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370,521</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334,180</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20,922</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25,980</w:t>
            </w:r>
          </w:p>
        </w:tc>
        <w:tc>
          <w:tcPr>
            <w:tcW w:w="1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12,899</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11,694</w:t>
            </w:r>
          </w:p>
        </w:tc>
      </w:tr>
      <w:tr>
        <w:trPr>
          <w:trHeight w:val="230"/>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Historically reported</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367,816</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330,599</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20,922</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25,980</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15,604</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15,275</w:t>
            </w:r>
          </w:p>
        </w:tc>
      </w:tr>
      <w:tr>
        <w:trPr>
          <w:trHeight w:val="223"/>
        </w:trPr>
        <w:tc>
          <w:tcPr>
            <w:tcW w:w="3480" w:type="dxa"/>
            <w:vAlign w:val="bottom"/>
          </w:tcPr>
          <w:p>
            <w:pPr>
              <w:ind w:left="240"/>
              <w:spacing w:after="0"/>
              <w:rPr>
                <w:sz w:val="20"/>
                <w:szCs w:val="20"/>
                <w:color w:val="auto"/>
              </w:rPr>
            </w:pPr>
            <w:r>
              <w:rPr>
                <w:rFonts w:ascii="Arial" w:cs="Arial" w:eastAsia="Arial" w:hAnsi="Arial"/>
                <w:sz w:val="18"/>
                <w:szCs w:val="18"/>
                <w:color w:val="auto"/>
              </w:rPr>
              <w:t>Difference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2,705</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3,581</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(2,705)</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(3,581)</w:t>
            </w: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7"/>
        </w:trPr>
        <w:tc>
          <w:tcPr>
            <w:tcW w:w="3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Income:</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3480" w:type="dxa"/>
            <w:vAlign w:val="bottom"/>
          </w:tcPr>
          <w:p>
            <w:pPr>
              <w:ind w:left="140"/>
              <w:spacing w:after="0"/>
              <w:rPr>
                <w:sz w:val="20"/>
                <w:szCs w:val="20"/>
                <w:color w:val="auto"/>
              </w:rPr>
            </w:pPr>
            <w:r>
              <w:rPr>
                <w:rFonts w:ascii="Arial" w:cs="Arial" w:eastAsia="Arial" w:hAnsi="Arial"/>
                <w:sz w:val="18"/>
                <w:szCs w:val="18"/>
                <w:color w:val="auto"/>
              </w:rPr>
              <w:t>Restated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37,897</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30,936</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923</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(891)</w:t>
            </w:r>
          </w:p>
        </w:tc>
        <w:tc>
          <w:tcPr>
            <w:tcW w:w="1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1,899</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2,027</w:t>
            </w:r>
          </w:p>
        </w:tc>
      </w:tr>
      <w:tr>
        <w:trPr>
          <w:trHeight w:val="229"/>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Historically reported</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38,392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32,237</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923</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(891)</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1,404</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725</w:t>
            </w:r>
          </w:p>
        </w:tc>
      </w:tr>
      <w:tr>
        <w:trPr>
          <w:trHeight w:val="223"/>
        </w:trPr>
        <w:tc>
          <w:tcPr>
            <w:tcW w:w="3480" w:type="dxa"/>
            <w:vAlign w:val="bottom"/>
          </w:tcPr>
          <w:p>
            <w:pPr>
              <w:ind w:left="240"/>
              <w:spacing w:after="0"/>
              <w:rPr>
                <w:sz w:val="20"/>
                <w:szCs w:val="20"/>
                <w:color w:val="auto"/>
              </w:rPr>
            </w:pPr>
            <w:r>
              <w:rPr>
                <w:rFonts w:ascii="Arial" w:cs="Arial" w:eastAsia="Arial" w:hAnsi="Arial"/>
                <w:sz w:val="18"/>
                <w:szCs w:val="18"/>
                <w:color w:val="auto"/>
              </w:rPr>
              <w:t>Difference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(495)</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(1,301)</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495</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1,302</w:t>
            </w: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6"/>
        </w:trPr>
        <w:tc>
          <w:tcPr>
            <w:tcW w:w="3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Depreciation and Amortization:</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9"/>
        </w:trPr>
        <w:tc>
          <w:tcPr>
            <w:tcW w:w="3480" w:type="dxa"/>
            <w:vAlign w:val="bottom"/>
          </w:tcPr>
          <w:p>
            <w:pPr>
              <w:ind w:left="140"/>
              <w:spacing w:after="0"/>
              <w:rPr>
                <w:sz w:val="20"/>
                <w:szCs w:val="20"/>
                <w:color w:val="auto"/>
              </w:rPr>
            </w:pPr>
            <w:r>
              <w:rPr>
                <w:rFonts w:ascii="Arial" w:cs="Arial" w:eastAsia="Arial" w:hAnsi="Arial"/>
                <w:sz w:val="18"/>
                <w:szCs w:val="18"/>
                <w:color w:val="auto"/>
              </w:rPr>
              <w:t>Restated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35,627</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33,194</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3,674</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4,046</w:t>
            </w:r>
          </w:p>
        </w:tc>
      </w:tr>
      <w:tr>
        <w:trPr>
          <w:trHeight w:val="230"/>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Historically reported</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35,002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32,842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306</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323</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4,299</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4,398</w:t>
            </w:r>
          </w:p>
        </w:tc>
      </w:tr>
      <w:tr>
        <w:trPr>
          <w:trHeight w:val="223"/>
        </w:trPr>
        <w:tc>
          <w:tcPr>
            <w:tcW w:w="3480" w:type="dxa"/>
            <w:vAlign w:val="bottom"/>
          </w:tcPr>
          <w:p>
            <w:pPr>
              <w:ind w:left="240"/>
              <w:spacing w:after="0"/>
              <w:rPr>
                <w:sz w:val="20"/>
                <w:szCs w:val="20"/>
                <w:color w:val="auto"/>
              </w:rPr>
            </w:pPr>
            <w:r>
              <w:rPr>
                <w:rFonts w:ascii="Arial" w:cs="Arial" w:eastAsia="Arial" w:hAnsi="Arial"/>
                <w:sz w:val="18"/>
                <w:szCs w:val="18"/>
                <w:color w:val="auto"/>
              </w:rPr>
              <w:t>Difference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352</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(352)</w:t>
            </w:r>
          </w:p>
        </w:tc>
      </w:tr>
      <w:tr>
        <w:trPr>
          <w:trHeight w:val="21"/>
        </w:trPr>
        <w:tc>
          <w:tcPr>
            <w:tcW w:w="3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Compared to the Company's legacy Consumer Payments segment.</w:t>
      </w:r>
    </w:p>
    <w:p>
      <w:pPr>
        <w:spacing w:after="0" w:line="1"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Compared to the Company's legacy Commercial Payments segment.</w:t>
      </w:r>
    </w:p>
    <w:p>
      <w:pPr>
        <w:spacing w:after="0" w:line="2"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Compared to the Company's legacy Integrated Partners segment.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r>
              <w:rPr>
                <w:rFonts w:ascii="Arial" w:cs="Arial" w:eastAsia="Arial" w:hAnsi="Arial"/>
                <w:sz w:val="18"/>
                <w:szCs w:val="18"/>
                <w:b w:val="1"/>
                <w:bCs w:val="1"/>
                <w:i w:val="1"/>
                <w:iCs w:val="1"/>
                <w:color w:val="auto"/>
              </w:rPr>
              <w:t>SMB Payments</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4"/>
                <w:szCs w:val="24"/>
                <w:color w:val="auto"/>
              </w:rPr>
            </w:pPr>
          </w:p>
        </w:tc>
        <w:tc>
          <w:tcPr>
            <w:tcW w:w="29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4"/>
          </w:tcPr>
          <w:p>
            <w:pPr>
              <w:ind w:left="580"/>
              <w:spacing w:after="0"/>
              <w:rPr>
                <w:sz w:val="20"/>
                <w:szCs w:val="20"/>
                <w:color w:val="auto"/>
              </w:rPr>
            </w:pPr>
            <w:r>
              <w:rPr>
                <w:rFonts w:ascii="Arial" w:cs="Arial" w:eastAsia="Arial" w:hAnsi="Arial"/>
                <w:sz w:val="18"/>
                <w:szCs w:val="18"/>
                <w:b w:val="1"/>
                <w:bCs w:val="1"/>
                <w:color w:val="auto"/>
              </w:rPr>
              <w:t>2021 vs 2020</w:t>
            </w:r>
          </w:p>
        </w:tc>
        <w:tc>
          <w:tcPr>
            <w:tcW w:w="120" w:type="dxa"/>
            <w:vAlign w:val="bottom"/>
          </w:tcPr>
          <w:p>
            <w:pPr>
              <w:spacing w:after="0"/>
              <w:rPr>
                <w:sz w:val="24"/>
                <w:szCs w:val="24"/>
                <w:color w:val="auto"/>
              </w:rPr>
            </w:pPr>
          </w:p>
        </w:tc>
        <w:tc>
          <w:tcPr>
            <w:tcW w:w="21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2020 vs 2019</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242424"/>
              </w:rPr>
              <w:t>2021</w:t>
            </w:r>
          </w:p>
        </w:tc>
        <w:tc>
          <w:tcPr>
            <w:tcW w:w="1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242424"/>
              </w:rPr>
              <w:t>2020</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242424"/>
              </w:rPr>
              <w:t>2019</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 Change</w:t>
            </w:r>
          </w:p>
        </w:tc>
        <w:tc>
          <w:tcPr>
            <w:tcW w:w="12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 Change</w:t>
            </w:r>
          </w:p>
        </w:tc>
        <w:tc>
          <w:tcPr>
            <w:tcW w:w="120" w:type="dxa"/>
            <w:vAlign w:val="bottom"/>
            <w:tcBorders>
              <w:top w:val="single" w:sz="8" w:color="auto"/>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475,630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370,521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334,180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105,109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36,341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30"/>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422,746</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332,624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303,244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90,122</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27.1 %</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29,380</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48"/>
        </w:trPr>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52,884</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37,897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30,936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14,987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39.5 %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6,961</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22.5 %</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11.1 %</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10.2 %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9.3 %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0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Depreciation and</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41,144</w:t>
            </w:r>
          </w:p>
        </w:tc>
        <w:tc>
          <w:tcPr>
            <w:tcW w:w="16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35,627</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33,194</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5,517</w:t>
            </w: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2,433</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135"/>
        </w:trPr>
        <w:tc>
          <w:tcPr>
            <w:tcW w:w="20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60" w:type="dxa"/>
            <w:vAlign w:val="bottom"/>
            <w:vMerge w:val="continue"/>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124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2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0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Key Indicators: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Merchant bankcard</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53,411,622</w:t>
            </w:r>
          </w:p>
        </w:tc>
        <w:tc>
          <w:tcPr>
            <w:tcW w:w="16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42,020,429</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7"/>
              </w:rPr>
              <w:t>42,303,880</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5"/>
              </w:rPr>
              <w:t>11,391,193</w:t>
            </w: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27.1 %</w:t>
            </w:r>
          </w:p>
        </w:tc>
        <w:tc>
          <w:tcPr>
            <w:tcW w:w="1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3"/>
              </w:rPr>
              <w:t>$ (283,451)</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35"/>
        </w:trPr>
        <w:tc>
          <w:tcPr>
            <w:tcW w:w="200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processing dollar value</w:t>
            </w:r>
          </w:p>
        </w:tc>
        <w:tc>
          <w:tcPr>
            <w:tcW w:w="260" w:type="dxa"/>
            <w:vAlign w:val="bottom"/>
            <w:vMerge w:val="continue"/>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124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12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0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00" w:type="dxa"/>
            <w:vAlign w:val="bottom"/>
          </w:tcPr>
          <w:p>
            <w:pPr>
              <w:ind w:left="120"/>
              <w:spacing w:after="0" w:line="176" w:lineRule="exact"/>
              <w:rPr>
                <w:sz w:val="20"/>
                <w:szCs w:val="20"/>
                <w:color w:val="auto"/>
              </w:rPr>
            </w:pPr>
            <w:r>
              <w:rPr>
                <w:rFonts w:ascii="Arial" w:cs="Arial" w:eastAsia="Arial" w:hAnsi="Arial"/>
                <w:sz w:val="18"/>
                <w:szCs w:val="18"/>
                <w:color w:val="auto"/>
              </w:rPr>
              <w:t>Merchant bankcard</w:t>
            </w:r>
          </w:p>
        </w:tc>
        <w:tc>
          <w:tcPr>
            <w:tcW w:w="260" w:type="dxa"/>
            <w:vAlign w:val="bottom"/>
          </w:tcPr>
          <w:p>
            <w:pPr>
              <w:spacing w:after="0"/>
              <w:rPr>
                <w:sz w:val="15"/>
                <w:szCs w:val="15"/>
                <w:color w:val="auto"/>
              </w:rPr>
            </w:pPr>
          </w:p>
        </w:tc>
        <w:tc>
          <w:tcPr>
            <w:tcW w:w="1080" w:type="dxa"/>
            <w:vAlign w:val="bottom"/>
            <w:vMerge w:val="restart"/>
          </w:tcPr>
          <w:p>
            <w:pPr>
              <w:jc w:val="right"/>
              <w:ind w:right="50"/>
              <w:spacing w:after="0"/>
              <w:rPr>
                <w:sz w:val="20"/>
                <w:szCs w:val="20"/>
                <w:color w:val="auto"/>
              </w:rPr>
            </w:pPr>
            <w:r>
              <w:rPr>
                <w:rFonts w:ascii="Arial" w:cs="Arial" w:eastAsia="Arial" w:hAnsi="Arial"/>
                <w:sz w:val="18"/>
                <w:szCs w:val="18"/>
                <w:color w:val="auto"/>
              </w:rPr>
              <w:t>578,102</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vMerge w:val="restart"/>
          </w:tcPr>
          <w:p>
            <w:pPr>
              <w:jc w:val="right"/>
              <w:ind w:right="50"/>
              <w:spacing w:after="0"/>
              <w:rPr>
                <w:sz w:val="20"/>
                <w:szCs w:val="20"/>
                <w:color w:val="auto"/>
              </w:rPr>
            </w:pPr>
            <w:r>
              <w:rPr>
                <w:rFonts w:ascii="Arial" w:cs="Arial" w:eastAsia="Arial" w:hAnsi="Arial"/>
                <w:sz w:val="18"/>
                <w:szCs w:val="18"/>
                <w:color w:val="auto"/>
              </w:rPr>
              <w:t>456,066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color w:val="auto"/>
              </w:rPr>
              <w:t>511,852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color w:val="auto"/>
              </w:rPr>
              <w:t>122,036</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26.8 %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(55,786)</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35"/>
        </w:trPr>
        <w:tc>
          <w:tcPr>
            <w:tcW w:w="2000" w:type="dxa"/>
            <w:vAlign w:val="bottom"/>
            <w:vMerge w:val="restart"/>
          </w:tcPr>
          <w:p>
            <w:pPr>
              <w:ind w:left="120"/>
              <w:spacing w:after="0"/>
              <w:rPr>
                <w:sz w:val="20"/>
                <w:szCs w:val="20"/>
                <w:color w:val="auto"/>
              </w:rPr>
            </w:pPr>
            <w:r>
              <w:rPr>
                <w:rFonts w:ascii="Arial" w:cs="Arial" w:eastAsia="Arial" w:hAnsi="Arial"/>
                <w:sz w:val="18"/>
                <w:szCs w:val="18"/>
                <w:color w:val="auto"/>
              </w:rPr>
              <w:t>transaction volume</w:t>
            </w:r>
          </w:p>
        </w:tc>
        <w:tc>
          <w:tcPr>
            <w:tcW w:w="2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ind w:right="400"/>
        <w:spacing w:after="0" w:line="311" w:lineRule="auto"/>
        <w:rPr>
          <w:sz w:val="20"/>
          <w:szCs w:val="20"/>
          <w:color w:val="auto"/>
        </w:rPr>
      </w:pPr>
      <w:r>
        <w:rPr>
          <w:rFonts w:ascii="Arial" w:cs="Arial" w:eastAsia="Arial" w:hAnsi="Arial"/>
          <w:sz w:val="16"/>
          <w:szCs w:val="16"/>
          <w:color w:val="auto"/>
        </w:rPr>
        <w:t>Revenue from our SMB Payments segment was $475.6 million for the year ended December 31, 2021, compared to $370.5 million for the year ended December 31, 2020. The increase of $105.1 million, or 28.4%, was primarily driven by increased merchant bankcard volume. The Company's revenue from the SMB Payments segment as a percentage of merchant bankcard processing dollar value during 2021 remained consistent with 2020 at 0.9%.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Income</w:t>
      </w:r>
    </w:p>
    <w:p>
      <w:pPr>
        <w:spacing w:after="0" w:line="22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Operating income from our SMB Payments segment was $52.9 million for the year ended December 31, 2021, compared to $37.9 million for the year ended December 31, 2020. The increase of $15.0 million, or 39.6%, was primarily driven by the increase in sales and the cost benefit tied to purchased residuals from an acquired portfolio.</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b w:val="1"/>
                <w:bCs w:val="1"/>
                <w:i w:val="1"/>
                <w:iCs w:val="1"/>
                <w:color w:val="auto"/>
              </w:rPr>
              <w:t>B2B Payments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4"/>
                <w:szCs w:val="24"/>
                <w:color w:val="auto"/>
              </w:rPr>
            </w:pPr>
          </w:p>
        </w:tc>
        <w:tc>
          <w:tcPr>
            <w:tcW w:w="290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4"/>
          </w:tcPr>
          <w:p>
            <w:pPr>
              <w:ind w:left="400"/>
              <w:spacing w:after="0"/>
              <w:rPr>
                <w:sz w:val="20"/>
                <w:szCs w:val="20"/>
                <w:color w:val="auto"/>
              </w:rPr>
            </w:pPr>
            <w:r>
              <w:rPr>
                <w:rFonts w:ascii="Arial" w:cs="Arial" w:eastAsia="Arial" w:hAnsi="Arial"/>
                <w:sz w:val="18"/>
                <w:szCs w:val="18"/>
                <w:b w:val="1"/>
                <w:bCs w:val="1"/>
                <w:color w:val="auto"/>
              </w:rPr>
              <w:t>2021 vs 2020</w:t>
            </w:r>
          </w:p>
        </w:tc>
        <w:tc>
          <w:tcPr>
            <w:tcW w:w="120" w:type="dxa"/>
            <w:vAlign w:val="bottom"/>
          </w:tcPr>
          <w:p>
            <w:pPr>
              <w:spacing w:after="0"/>
              <w:rPr>
                <w:sz w:val="24"/>
                <w:szCs w:val="24"/>
                <w:color w:val="auto"/>
              </w:rPr>
            </w:pPr>
          </w:p>
        </w:tc>
        <w:tc>
          <w:tcPr>
            <w:tcW w:w="218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2020 vs 2019</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242424"/>
              </w:rPr>
              <w:t>2021</w:t>
            </w:r>
          </w:p>
        </w:tc>
        <w:tc>
          <w:tcPr>
            <w:tcW w:w="1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242424"/>
              </w:rPr>
              <w:t>2020</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242424"/>
              </w:rPr>
              <w:t>2019</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Change</w:t>
            </w:r>
          </w:p>
        </w:tc>
        <w:tc>
          <w:tcPr>
            <w:tcW w:w="120" w:type="dxa"/>
            <w:vAlign w:val="bottom"/>
            <w:tcBorders>
              <w:top w:val="single" w:sz="8" w:color="auto"/>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 Change</w:t>
            </w:r>
          </w:p>
        </w:tc>
        <w:tc>
          <w:tcPr>
            <w:tcW w:w="120" w:type="dxa"/>
            <w:vAlign w:val="bottom"/>
            <w:tcBorders>
              <w:top w:val="single" w:sz="8" w:color="auto"/>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17,138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20,922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25,980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(3,784)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(5,058)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9"/>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17,003</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19,999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26,871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(2,996)</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(6,872)</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8"/>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135</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(788)</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1,814</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0.8 %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4.4 %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(3.4)%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Depreciation and amortization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rPr>
              <w:t>Key Indicators: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Merchant bankcard processing</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323,502</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249,779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312,342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73,723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29.5 %</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(62,563)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ind w:left="120"/>
              <w:spacing w:after="0" w:line="149" w:lineRule="exact"/>
              <w:rPr>
                <w:sz w:val="20"/>
                <w:szCs w:val="20"/>
                <w:color w:val="auto"/>
              </w:rPr>
            </w:pPr>
            <w:r>
              <w:rPr>
                <w:rFonts w:ascii="Arial" w:cs="Arial" w:eastAsia="Arial" w:hAnsi="Arial"/>
                <w:sz w:val="17"/>
                <w:szCs w:val="17"/>
                <w:color w:val="auto"/>
              </w:rPr>
              <w:t>dollar value</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120"/>
              <w:spacing w:after="0" w:line="176" w:lineRule="exact"/>
              <w:rPr>
                <w:sz w:val="20"/>
                <w:szCs w:val="20"/>
                <w:color w:val="auto"/>
              </w:rPr>
            </w:pPr>
            <w:r>
              <w:rPr>
                <w:rFonts w:ascii="Arial" w:cs="Arial" w:eastAsia="Arial" w:hAnsi="Arial"/>
                <w:sz w:val="18"/>
                <w:szCs w:val="18"/>
                <w:color w:val="auto"/>
                <w:w w:val="90"/>
              </w:rPr>
              <w:t>Merchant bankcard transaction</w:t>
            </w:r>
          </w:p>
        </w:tc>
        <w:tc>
          <w:tcPr>
            <w:tcW w:w="280" w:type="dxa"/>
            <w:vAlign w:val="bottom"/>
          </w:tcPr>
          <w:p>
            <w:pPr>
              <w:spacing w:after="0"/>
              <w:rPr>
                <w:sz w:val="15"/>
                <w:szCs w:val="15"/>
                <w:color w:val="auto"/>
              </w:rPr>
            </w:pPr>
          </w:p>
        </w:tc>
        <w:tc>
          <w:tcPr>
            <w:tcW w:w="1000" w:type="dxa"/>
            <w:vAlign w:val="bottom"/>
            <w:vMerge w:val="restart"/>
          </w:tcPr>
          <w:p>
            <w:pPr>
              <w:jc w:val="right"/>
              <w:ind w:right="50"/>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restart"/>
          </w:tcPr>
          <w:p>
            <w:pPr>
              <w:jc w:val="right"/>
              <w:ind w:right="50"/>
              <w:spacing w:after="0"/>
              <w:rPr>
                <w:sz w:val="20"/>
                <w:szCs w:val="20"/>
                <w:color w:val="auto"/>
              </w:rPr>
            </w:pPr>
            <w:r>
              <w:rPr>
                <w:rFonts w:ascii="Arial" w:cs="Arial" w:eastAsia="Arial" w:hAnsi="Arial"/>
                <w:sz w:val="18"/>
                <w:szCs w:val="18"/>
                <w:color w:val="auto"/>
              </w:rPr>
              <w:t>118</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115.7 %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color w:val="auto"/>
              </w:rPr>
              <w:t>(7)</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35"/>
        </w:trPr>
        <w:tc>
          <w:tcPr>
            <w:tcW w:w="2380" w:type="dxa"/>
            <w:vAlign w:val="bottom"/>
            <w:vMerge w:val="restart"/>
          </w:tcPr>
          <w:p>
            <w:pPr>
              <w:ind w:left="120"/>
              <w:spacing w:after="0"/>
              <w:rPr>
                <w:sz w:val="20"/>
                <w:szCs w:val="20"/>
                <w:color w:val="auto"/>
              </w:rPr>
            </w:pPr>
            <w:r>
              <w:rPr>
                <w:rFonts w:ascii="Arial" w:cs="Arial" w:eastAsia="Arial" w:hAnsi="Arial"/>
                <w:sz w:val="18"/>
                <w:szCs w:val="18"/>
                <w:color w:val="auto"/>
              </w:rPr>
              <w:t>volume</w:t>
            </w:r>
          </w:p>
        </w:tc>
        <w:tc>
          <w:tcPr>
            <w:tcW w:w="2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3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Revenue from our B2B Payments segment was $17.1 million for the year ended December 31, 2021, compared to $20.9 million for the year ended December 31, 2020. The decrease of $3.8 million, or 18.2%, was primarily driven by the wind down of certain programs in the Managed Services business due to scaled back operations as a result of the COVID-19 pandemic.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Income</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Operating income from our B2B Payments segment was $0.1 million for the year ended December 31, 2021, compared to $0.9 million for the year ended December 31, 2020. The decrease of $0.8 million, or 88.9%, was primarily attributable to the decrease in revenue from the Managed Services business due to scaled back operations as a result of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r>
              <w:rPr>
                <w:rFonts w:ascii="Arial" w:cs="Arial" w:eastAsia="Arial" w:hAnsi="Arial"/>
                <w:sz w:val="18"/>
                <w:szCs w:val="18"/>
                <w:b w:val="1"/>
                <w:bCs w:val="1"/>
                <w:i w:val="1"/>
                <w:iCs w:val="1"/>
                <w:color w:val="auto"/>
              </w:rPr>
              <w:t>Enterprise Payments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24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4"/>
                <w:szCs w:val="24"/>
                <w:color w:val="auto"/>
              </w:rPr>
            </w:pPr>
          </w:p>
        </w:tc>
        <w:tc>
          <w:tcPr>
            <w:tcW w:w="288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4"/>
          </w:tcPr>
          <w:p>
            <w:pPr>
              <w:ind w:left="400"/>
              <w:spacing w:after="0"/>
              <w:rPr>
                <w:sz w:val="20"/>
                <w:szCs w:val="20"/>
                <w:color w:val="auto"/>
              </w:rPr>
            </w:pPr>
            <w:r>
              <w:rPr>
                <w:rFonts w:ascii="Arial" w:cs="Arial" w:eastAsia="Arial" w:hAnsi="Arial"/>
                <w:sz w:val="18"/>
                <w:szCs w:val="18"/>
                <w:b w:val="1"/>
                <w:bCs w:val="1"/>
                <w:color w:val="auto"/>
              </w:rPr>
              <w:t>2021 vs 2020</w:t>
            </w:r>
          </w:p>
        </w:tc>
        <w:tc>
          <w:tcPr>
            <w:tcW w:w="140" w:type="dxa"/>
            <w:vAlign w:val="bottom"/>
          </w:tcPr>
          <w:p>
            <w:pPr>
              <w:spacing w:after="0"/>
              <w:rPr>
                <w:sz w:val="24"/>
                <w:szCs w:val="24"/>
                <w:color w:val="auto"/>
              </w:rPr>
            </w:pPr>
          </w:p>
        </w:tc>
        <w:tc>
          <w:tcPr>
            <w:tcW w:w="22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2020 vs 2019</w:t>
            </w:r>
          </w:p>
        </w:tc>
        <w:tc>
          <w:tcPr>
            <w:tcW w:w="0" w:type="dxa"/>
            <w:vAlign w:val="bottom"/>
          </w:tcPr>
          <w:p>
            <w:pPr>
              <w:spacing w:after="0"/>
              <w:rPr>
                <w:sz w:val="1"/>
                <w:szCs w:val="1"/>
                <w:color w:val="auto"/>
              </w:rPr>
            </w:pPr>
          </w:p>
        </w:tc>
      </w:tr>
      <w:tr>
        <w:trPr>
          <w:trHeight w:val="223"/>
        </w:trPr>
        <w:tc>
          <w:tcPr>
            <w:tcW w:w="24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242424"/>
              </w:rPr>
              <w:t>2021</w:t>
            </w:r>
          </w:p>
        </w:tc>
        <w:tc>
          <w:tcPr>
            <w:tcW w:w="1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242424"/>
              </w:rPr>
              <w:t>2020</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242424"/>
              </w:rPr>
              <w:t>2019</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Borders>
              <w:top w:val="single" w:sz="8" w:color="auto"/>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 Change</w:t>
            </w:r>
          </w:p>
        </w:tc>
        <w:tc>
          <w:tcPr>
            <w:tcW w:w="100" w:type="dxa"/>
            <w:vAlign w:val="bottom"/>
            <w:tcBorders>
              <w:top w:val="single" w:sz="8" w:color="auto"/>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22,133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12,899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11,694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9,234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29"/>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15,370</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11,000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9,667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4,370</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39.7 %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1,333</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48"/>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6,763</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4,864</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256.1 %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30.6 %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14.7 %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17.3 %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Depreciation and amortization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7,158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3,484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Key Indicators: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Merchant bankcard processing</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52,376</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46,542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386,101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5,834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5"/>
              </w:rPr>
              <w:t>$ (339,559)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148"/>
        </w:trPr>
        <w:tc>
          <w:tcPr>
            <w:tcW w:w="2400" w:type="dxa"/>
            <w:vAlign w:val="bottom"/>
            <w:shd w:val="clear" w:color="auto" w:fill="CCEEFF"/>
          </w:tcPr>
          <w:p>
            <w:pPr>
              <w:ind w:left="120"/>
              <w:spacing w:after="0" w:line="149" w:lineRule="exact"/>
              <w:rPr>
                <w:sz w:val="20"/>
                <w:szCs w:val="20"/>
                <w:color w:val="auto"/>
              </w:rPr>
            </w:pPr>
            <w:r>
              <w:rPr>
                <w:rFonts w:ascii="Arial" w:cs="Arial" w:eastAsia="Arial" w:hAnsi="Arial"/>
                <w:sz w:val="17"/>
                <w:szCs w:val="17"/>
                <w:color w:val="auto"/>
              </w:rPr>
              <w:t>dollar value</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400" w:type="dxa"/>
            <w:vAlign w:val="bottom"/>
          </w:tcPr>
          <w:p>
            <w:pPr>
              <w:ind w:left="120"/>
              <w:spacing w:after="0" w:line="176" w:lineRule="exact"/>
              <w:rPr>
                <w:sz w:val="20"/>
                <w:szCs w:val="20"/>
                <w:color w:val="auto"/>
              </w:rPr>
            </w:pPr>
            <w:r>
              <w:rPr>
                <w:rFonts w:ascii="Arial" w:cs="Arial" w:eastAsia="Arial" w:hAnsi="Arial"/>
                <w:sz w:val="18"/>
                <w:szCs w:val="18"/>
                <w:color w:val="auto"/>
                <w:w w:val="91"/>
              </w:rPr>
              <w:t>Merchant bankcard transaction</w:t>
            </w:r>
          </w:p>
        </w:tc>
        <w:tc>
          <w:tcPr>
            <w:tcW w:w="280" w:type="dxa"/>
            <w:vAlign w:val="bottom"/>
          </w:tcPr>
          <w:p>
            <w:pPr>
              <w:spacing w:after="0"/>
              <w:rPr>
                <w:sz w:val="15"/>
                <w:szCs w:val="15"/>
                <w:color w:val="auto"/>
              </w:rPr>
            </w:pP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549</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restart"/>
          </w:tcPr>
          <w:p>
            <w:pPr>
              <w:jc w:val="right"/>
              <w:ind w:right="50"/>
              <w:spacing w:after="0"/>
              <w:rPr>
                <w:sz w:val="20"/>
                <w:szCs w:val="20"/>
                <w:color w:val="auto"/>
              </w:rPr>
            </w:pPr>
            <w:r>
              <w:rPr>
                <w:rFonts w:ascii="Arial" w:cs="Arial" w:eastAsia="Arial" w:hAnsi="Arial"/>
                <w:sz w:val="18"/>
                <w:szCs w:val="18"/>
                <w:color w:val="auto"/>
              </w:rPr>
              <w:t>62</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12.7 %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(893)</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135"/>
        </w:trPr>
        <w:tc>
          <w:tcPr>
            <w:tcW w:w="2400" w:type="dxa"/>
            <w:vAlign w:val="bottom"/>
            <w:vMerge w:val="restart"/>
          </w:tcPr>
          <w:p>
            <w:pPr>
              <w:ind w:left="120"/>
              <w:spacing w:after="0"/>
              <w:rPr>
                <w:sz w:val="20"/>
                <w:szCs w:val="20"/>
                <w:color w:val="auto"/>
              </w:rPr>
            </w:pPr>
            <w:r>
              <w:rPr>
                <w:rFonts w:ascii="Arial" w:cs="Arial" w:eastAsia="Arial" w:hAnsi="Arial"/>
                <w:sz w:val="18"/>
                <w:szCs w:val="18"/>
                <w:color w:val="auto"/>
              </w:rPr>
              <w:t>volume</w:t>
            </w:r>
          </w:p>
        </w:tc>
        <w:tc>
          <w:tcPr>
            <w:tcW w:w="2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4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Revenue from our Enterprise Payments segment was $22.1 million for the year ended December 31, 2021, compared to $12.9 million for the year ended December 31, 2020. The increase of $9.2 million, or 71.3%, was primarily driven by revenues contributed by the Finxera business since its acquisition in September 2021, offset by decreases due to the sale of PRET's real estate services business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Income</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Operating income from our Enterprise Payments segment was $6.8 million for the year ended December 31, 2021, compared to $1.9 million for the year ended December 31, 2020. The increase of $4.9 million, or 257.9%, was primarily driven by operating income contributed by the Finxera business since its acquisition in September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Depreciation and amortization expense from our Enterprise Payments segment was $7.2 million for the year ended December 31, 2021, compared to $3.7 million for the year ended December 31, 2020. The increase of $3.5 million, or 94.6%, was primarily driven by the amortization of intangibles resulting from the Finxera acquisition in September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Liquidity and capital resource management is a process focused on providing the funding we need to meet our short-term and long-term cash and working capital needs. We have used our funding sources to build our merchant portfolio, technology solutions, and to make acquisitions with the expectation that such investments will generate cash flows sufficient to cover our working capital needs and other anticipated needs, including for our acquisition strategy. We anticipate that cash on hand, funds generated from operations and available borrowings under our revolving credit agreement are sufficient to meet our working capital requirements for at least the next twelve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principal uses of cash are to fund business operations, administrative costs and debt service.</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working capital, defined as current assets less current liabilities, was $19.6 million at December 31, 2021 and $(13.0) million at December 31, 2020. As of December 31, 2021, we had cash totaling $20.3 million compared to $9.2 million at December 31, 2020. These cash balances do not include restricted cash of $28.9 million and $78.9 million at December 31, 2021 and December 31, 2020, respectively, which reflects cash accounts holding customer settlement funds and cash reserves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potential losses. The current portion of long-term debt included in current liabilities was $6.2 million at December 31, 2021 compared with $19.4 million at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we had availability of approximately $25.0 million under our revolving credit arrangement.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20"/>
                <w:szCs w:val="20"/>
                <w:color w:val="auto"/>
              </w:rPr>
            </w:pPr>
            <w:r>
              <w:rPr>
                <w:rFonts w:ascii="Arial" w:cs="Arial" w:eastAsia="Arial" w:hAnsi="Arial"/>
                <w:sz w:val="18"/>
                <w:szCs w:val="18"/>
                <w:color w:val="auto"/>
                <w:w w:val="95"/>
              </w:rPr>
              <w:t>The following tables and narrative reflect our changes in cash flows for the comparative annual periods.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72"/>
        </w:trPr>
        <w:tc>
          <w:tcPr>
            <w:tcW w:w="7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Years Ended December 31,</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9,377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12,202</w:t>
            </w: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166,396</w:t>
            </w:r>
          </w:p>
        </w:tc>
      </w:tr>
      <w:tr>
        <w:trPr>
          <w:trHeight w:val="230"/>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871,629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(140,943)</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and restricted cash</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37,655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2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Net cash provided by operating activities was $9.4 million and $12.2 million for the years ended December 31, 2021 and December 31, 2020, respectively. The $2.8 million, or 23.0% decrease in 2021 was primarily driven by the payment of payment-in-kind ("PIK") interest upon the refinancing of our credit facilities in April 2021 and changes in operating assets and liabilities offset by cash generated from the operations of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Investing Activities</w:t>
      </w:r>
    </w:p>
    <w:p>
      <w:pPr>
        <w:spacing w:after="0" w:line="22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Net cash used in investing activities was $451.0 million compared to cash provided by investing activities of $166.4 million for the years ended December 31, 2021 and 2020, respectively. For 2021, net cash used in investing activities included cash purchase consideration of $407.1 million for the acquisition of businesses, additions to property, equipment and software of $9.7 million, and acquisitions of intangible assets of $49.5 million, offset by proceeds from the sale of an investment of $15.3 million. For 2020, net cash provided by investing activities included proceeds from the sale of a business of $179.4 million, offset by additions to property, equipment and software of $7.5 million, and acquisitions of intangible assets of $5.6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Financing Activities</w:t>
      </w:r>
    </w:p>
    <w:p>
      <w:pPr>
        <w:spacing w:after="0" w:line="225"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Net cash provided by financing activities was $871.6 million for the year ended December 31, 2021, compared to $140.9 million of cash used in financing activities in the year ended December 31, 2020. The net cash provided by financing activities for 2021 included proceeds from the issuance of new debt of $598.2 million, net borrowings from the revolving credit facility of $15.0 million, proceeds from the issuance of the redeemable senior preferred stock of $211.0 million, proceeds from the exercise of stock options of $1.2 million and changes in the net obligations for funds held on the behalf of customers of $417.6 million. These cash inflows were offset by cash used for the repayment of debt of $361.4 million, cash used for the repurchase of common stock of</w:t>
      </w:r>
    </w:p>
    <w:p>
      <w:pPr>
        <w:spacing w:after="0" w:line="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$1.7 million, dividends paid to redeemable senior preferred stockholders of $7.5 million and distribution to NCIs in subsidiaries of $0.8 million. The net cash used in financing activities for 2020 included changes in the net obligations for funds held on the behalf of customers of $34.9 million. This cash inflow was offset by cash used for the repayment of debt of $113.3 million, net repayment under the revolving credit facility of $11.5 million, redemption of NCI interest in subsidiary of $5.7 million, and distribution to NCIs in subsidiaries of $45.4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April 27, 2021, the Company entered into a Credit and Guaranty Agreement with Truist Bank ("Truist") (the "Credit Agreement") which provides for:</w:t>
      </w:r>
    </w:p>
    <w:p>
      <w:pPr>
        <w:spacing w:after="0" w:line="46" w:lineRule="exact"/>
        <w:rPr>
          <w:sz w:val="20"/>
          <w:szCs w:val="20"/>
          <w:color w:val="auto"/>
        </w:rPr>
      </w:pPr>
    </w:p>
    <w:p>
      <w:pPr>
        <w:ind w:right="600" w:firstLine="8"/>
        <w:spacing w:after="0" w:line="255" w:lineRule="auto"/>
        <w:tabs>
          <w:tab w:leader="none" w:pos="1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$300.0 million senior secured term loan facility (the "initial term loan"); 2) a $290.0 million senior secured delayed draw term loan facility (the "delayed draw term loan") (together, the "term facility"); and 3) a $40.0 million senior secured revolving credit facility. The Credit Agreement was amended on September 17, 2021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increase the amount of the delayed draw term loan facility by $30.0 million to $320.0 million. The additional delayed draw term loan is part of the same class of term loans made pursuant to the original commitments under the Credit Agreement.</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Outstanding borrowings under the Credit Agreement accrue interest using either a base rate or a LIBOR rate plus an applicable margin per year, subject to a LIBOR rate floor of 1.00% per year. Accrued interest is payable on each interest payment date (as defined in the Credit Agreement). The revolving credit facility incurs an unused commitment fee on any undrawn amount in an amount equal to 0.50% per year of the unused portion. The future applicable interest rate margins may vary based on the Company's Total Net Leverage Ratio in addition to future changes in the underlying market rates for LIBOR and the rate used for base-rate borrowings.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 we had outstanding debt obligations, including the current portion and net of unamortized debt discount of $610.3 million,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compared to $377.3 million at December 31, 2020, resulting in an increase of $233.0 million. The debt balance at December 31, 2021 consisted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$616.9 million outstanding under the term facility and $15.0 million outstanding under the revolving credit facility, offset by $21.6 million of unamortized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debt discounts and issuance costs. Minimum amortization of the initial term loan are equal quarterly installments in aggregate annual amounts equal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1.0% of original principal, with the balance paid upon maturity. The term facility matures in April 2027 and the revolving credit facility expires in April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2026.</w:t>
      </w:r>
    </w:p>
    <w:p>
      <w:pPr>
        <w:spacing w:after="0" w:line="21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If the aggregate principal amount of outstanding revolving loans and letters of credit under the Credit Agreement exceeds 35% of the total revolving facility thereunder, the loan parties are required to comply with certain restrictions on its Total Net Leverage Ratio, which is defined in the Credit Agreement as the ratio of consolidated total debt to the Consolidated Adjusted EBITDA (as defined in the Credit Agreement). If applicable, the maximum permitted Total Net Leverage Ratio is: 1) 6.50:1.00 at each fiscal quarter ended September 30, 2021 through June 30, 2022; 2) 6.00:1.00 at each fiscal quarter ended September 30, 2022 through June 30, 2023; and 3) 5.50:1.00 at each fiscal quarter ended September 30, 2023 each fiscal quarter thereafter. As of December 31, 2021, the Company was in compliance with our financial covenants.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8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Our accounting policies are more fully described in </w:t>
      </w:r>
      <w:hyperlink w:anchor="page50">
        <w:r>
          <w:rPr>
            <w:rFonts w:ascii="Arial" w:cs="Arial" w:eastAsia="Arial" w:hAnsi="Arial"/>
            <w:sz w:val="18"/>
            <w:szCs w:val="18"/>
            <w:u w:val="single" w:color="auto"/>
            <w:color w:val="0000FF"/>
          </w:rPr>
          <w:t>Note 1, Nature of Business and Accounting Policies</w:t>
        </w:r>
      </w:hyperlink>
      <w:r>
        <w:rPr>
          <w:rFonts w:ascii="Arial" w:cs="Arial" w:eastAsia="Arial" w:hAnsi="Arial"/>
          <w:sz w:val="18"/>
          <w:szCs w:val="18"/>
          <w:color w:val="auto"/>
        </w:rPr>
        <w:t>. The preparation of financial statements in conformity with GAAP requires management to make estimates and assumptions about future events that affect the amounts reported in the financial statements and accompanying notes. Actual results could differ significantly from those estimates. We believe that the following discussion addresses our most critical accounting policies, which are those that are most important to the portrayal of our financial condition and results of operations and require management's most difficult, subjective, and complex judgments.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account for income taxes under the asset and liability method. Under this method, deferred tax assets and liabilities are determined based on differences between financial reporting and tax bases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88"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We recognize an uncertain tax position in our financial statements when we conclude that a tax position is more likely than not to be sustained upon examination based solely on its technical merits. Only after a tax position passes the first step of recognition will measurement be required. Under the measurement step, the tax benefit is measured as the largest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benefit that is more likely than not to be realized upon effective settlement. This is determined on a cumulative probability basis. The full impact of any change in recognition or measurement is reflected in the period in which such change occurs. Interest and penalties related to income taxes are recognized in the provision for income taxes.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Long-lived Assets</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test goodwill for impairment for each of our reporting units on an annual basis on annual assessment date of October 1 or when events occur, or circumstances indicate the fair value of a reporting unit may be below its carrying value. We may perform a quantitative assessment that uses market data and discounted cash flow analysis, which involve estimates of future revenues and operating cash flows. Where deemed appropriate, we may perform the annual assessment using the optional qualitative method. By using the October 1 annual assessment date, we believe that we will be able to utilize more readily available data from both internal and external sources and have additional time to evaluate the data prior to finalizing our year-end Consolidated Financial Statements and disclosures. This annual impairment assessment for goodwill does not change our requirements to assess goodwill on an interim date between scheduled annual testing dates if triggering events are present.</w:t>
      </w:r>
    </w:p>
    <w:p>
      <w:pPr>
        <w:spacing w:after="0" w:line="17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review our long-lived assets for impairment whenever events or changes in circumstances indicate the carrying value of an asset may not be recoverable. For long-lived assets, except goodwill, an impairment loss is indicated when the undiscounted future cash flows estimated to be generated by the asset group are not sufficient to recover the unamortized balance of the asset group.</w:t>
      </w:r>
    </w:p>
    <w:p>
      <w:pPr>
        <w:spacing w:after="0" w:line="18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amortize the cost of our acquired intangible assets over their estimated useful lives using either a straight-line or an accelerated method that most accurately reflects the estimated pattern in which the economic benefit of the respective asset is consumed.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allocate the purchase price of an acquired business to the assets acquired and liabilities assumed based on their estimated fair values. The excess of the purchase price over the fair value of the net assets acquired is recorded as goodwill. For acquisitions that include contingent consideration, we estimate the fair value of contingent consideration at the acquisition date. The estimated fair value of contingent consideration is updated in future periods based on information available at that time. Management uses all available information when estimating the fair values of the assets acquired, liabilities assumed and contingent consideration, and must apply judgement and make certain assumptions when making these estimates. The assumptions management uses when determining fair values include estimated future cash flows or income, market rate assumptions, actuarial assumptions and discount rate assumptions. We typically engage third-party valuation advisors to assist in estimating the fair values of acquired assets and assumed liabilities. Our estimates of fair value are based upon assumptions the Company believes to be reasonable, but that are inherently uncertain, and therefore, may not be realized. Accordingly, there can be no assurance that the estimates, assumptions and values reflected in the valuations will be realized, and actual results could differ materially.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Our debt facilities under our Credit and Guaranty Agreement bear interest at either a base rate or a LIBOR rate plus an applicable margin per year, subject to a LIBOR rate floor of 1.00% per year. As of December 31, 2021, we had $631.9 million in outstanding borrowings under our Credit and Guaranty Agreement. Ignoring the 1.00% LIBOR floor, a hypothetical 1.00% increase or decrease in the applicable LIBOR rate on our outstanding indebtedness under the Credit and Guaranty Agreement would increase or decrease cash interest expense on our indebtedness by approximately $6.4 million per year.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hedge against interest rate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80" w:type="dxa"/>
            <w:vAlign w:val="bottom"/>
            <w:gridSpan w:val="4"/>
          </w:tcPr>
          <w:p>
            <w:pPr>
              <w:jc w:val="center"/>
              <w:ind w:left="1499"/>
              <w:spacing w:after="0"/>
              <w:rPr>
                <w:sz w:val="20"/>
                <w:szCs w:val="20"/>
                <w:color w:val="auto"/>
              </w:rPr>
            </w:pPr>
            <w:r>
              <w:rPr>
                <w:rFonts w:ascii="Arial" w:cs="Arial" w:eastAsia="Arial" w:hAnsi="Arial"/>
                <w:sz w:val="16"/>
                <w:szCs w:val="16"/>
                <w:color w:val="auto"/>
                <w:w w:val="80"/>
              </w:rPr>
              <w:t>Page</w:t>
            </w:r>
          </w:p>
        </w:tc>
      </w:tr>
      <w:tr>
        <w:trPr>
          <w:trHeight w:val="196"/>
        </w:trPr>
        <w:tc>
          <w:tcPr>
            <w:tcW w:w="9160" w:type="dxa"/>
            <w:vAlign w:val="bottom"/>
            <w:gridSpan w:val="28"/>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Reports of Independent Registered Public Accounting Firms</w:t>
              </w:r>
            </w:hyperlink>
          </w:p>
        </w:tc>
        <w:tc>
          <w:tcPr>
            <w:tcW w:w="1580" w:type="dxa"/>
            <w:vAlign w:val="bottom"/>
          </w:tcPr>
          <w:p>
            <w:pPr>
              <w:spacing w:after="0"/>
              <w:rPr>
                <w:sz w:val="17"/>
                <w:szCs w:val="17"/>
                <w:color w:val="auto"/>
              </w:rPr>
            </w:pPr>
          </w:p>
        </w:tc>
        <w:tc>
          <w:tcPr>
            <w:tcW w:w="240" w:type="dxa"/>
            <w:vAlign w:val="bottom"/>
            <w:tcBorders>
              <w:top w:val="single" w:sz="8" w:color="auto"/>
            </w:tcBorders>
            <w:gridSpan w:val="2"/>
          </w:tcPr>
          <w:p>
            <w:pPr>
              <w:jc w:val="center"/>
              <w:spacing w:after="0"/>
              <w:rPr>
                <w:rFonts w:ascii="Arial" w:cs="Arial" w:eastAsia="Arial" w:hAnsi="Arial"/>
                <w:sz w:val="16"/>
                <w:szCs w:val="16"/>
                <w:color w:val="0000FF"/>
              </w:rPr>
            </w:pPr>
            <w:hyperlink w:anchor="page40">
              <w:r>
                <w:rPr>
                  <w:rFonts w:ascii="Arial" w:cs="Arial" w:eastAsia="Arial" w:hAnsi="Arial"/>
                  <w:sz w:val="16"/>
                  <w:szCs w:val="16"/>
                  <w:color w:val="0000FF"/>
                </w:rPr>
                <w:t>38</w:t>
              </w:r>
            </w:hyperlink>
          </w:p>
        </w:tc>
        <w:tc>
          <w:tcPr>
            <w:tcW w:w="60" w:type="dxa"/>
            <w:vAlign w:val="bottom"/>
            <w:tcBorders>
              <w:top w:val="single" w:sz="8" w:color="auto"/>
            </w:tcBorders>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140" w:type="dxa"/>
            <w:vAlign w:val="bottom"/>
            <w:tcBorders>
              <w:bottom w:val="single" w:sz="8" w:color="0000FF"/>
            </w:tcBorders>
            <w:gridSpan w:val="23"/>
          </w:tcPr>
          <w:p>
            <w:pPr>
              <w:spacing w:after="0"/>
              <w:rPr>
                <w:rFonts w:ascii="Arial" w:cs="Arial" w:eastAsia="Arial" w:hAnsi="Arial"/>
                <w:sz w:val="16"/>
                <w:szCs w:val="16"/>
                <w:color w:val="0000FF"/>
                <w:w w:val="89"/>
              </w:rPr>
            </w:pPr>
            <w:hyperlink w:anchor="page43">
              <w:r>
                <w:rPr>
                  <w:rFonts w:ascii="Arial" w:cs="Arial" w:eastAsia="Arial" w:hAnsi="Arial"/>
                  <w:sz w:val="16"/>
                  <w:szCs w:val="16"/>
                  <w:color w:val="0000FF"/>
                  <w:w w:val="89"/>
                </w:rPr>
                <w:t>Consolidated Balance Sheets as of December 31, 2021 and December 31, 2020</w:t>
              </w:r>
            </w:hyperlink>
          </w:p>
        </w:tc>
        <w:tc>
          <w:tcPr>
            <w:tcW w:w="4020" w:type="dxa"/>
            <w:vAlign w:val="bottom"/>
            <w:gridSpan w:val="5"/>
          </w:tcPr>
          <w:p>
            <w:pPr>
              <w:spacing w:after="0"/>
              <w:rPr>
                <w:sz w:val="17"/>
                <w:szCs w:val="17"/>
                <w:color w:val="auto"/>
              </w:rPr>
            </w:pPr>
          </w:p>
        </w:tc>
        <w:tc>
          <w:tcPr>
            <w:tcW w:w="164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rFonts w:ascii="Arial" w:cs="Arial" w:eastAsia="Arial" w:hAnsi="Arial"/>
                <w:sz w:val="16"/>
                <w:szCs w:val="16"/>
                <w:color w:val="0000FF"/>
              </w:rPr>
            </w:pPr>
            <w:hyperlink w:anchor="page43">
              <w:r>
                <w:rPr>
                  <w:rFonts w:ascii="Arial" w:cs="Arial" w:eastAsia="Arial" w:hAnsi="Arial"/>
                  <w:sz w:val="16"/>
                  <w:szCs w:val="16"/>
                  <w:color w:val="0000FF"/>
                </w:rPr>
                <w:t>41</w:t>
              </w:r>
            </w:hyperlink>
          </w:p>
        </w:tc>
        <w:tc>
          <w:tcPr>
            <w:tcW w:w="60" w:type="dxa"/>
            <w:vAlign w:val="bottom"/>
          </w:tcPr>
          <w:p>
            <w:pPr>
              <w:spacing w:after="0"/>
              <w:rPr>
                <w:sz w:val="17"/>
                <w:szCs w:val="17"/>
                <w:color w:val="auto"/>
              </w:rPr>
            </w:pPr>
          </w:p>
        </w:tc>
      </w:tr>
      <w:tr>
        <w:trPr>
          <w:trHeight w:val="196"/>
        </w:trPr>
        <w:tc>
          <w:tcPr>
            <w:tcW w:w="6180" w:type="dxa"/>
            <w:vAlign w:val="bottom"/>
            <w:tcBorders>
              <w:bottom w:val="single" w:sz="8" w:color="0000FF"/>
            </w:tcBorders>
            <w:gridSpan w:val="25"/>
          </w:tcPr>
          <w:p>
            <w:pPr>
              <w:spacing w:after="0"/>
              <w:rPr>
                <w:rFonts w:ascii="Arial" w:cs="Arial" w:eastAsia="Arial" w:hAnsi="Arial"/>
                <w:sz w:val="16"/>
                <w:szCs w:val="16"/>
                <w:color w:val="0000FF"/>
                <w:w w:val="90"/>
              </w:rPr>
            </w:pPr>
            <w:hyperlink w:anchor="page45">
              <w:r>
                <w:rPr>
                  <w:rFonts w:ascii="Arial" w:cs="Arial" w:eastAsia="Arial" w:hAnsi="Arial"/>
                  <w:sz w:val="16"/>
                  <w:szCs w:val="16"/>
                  <w:color w:val="0000FF"/>
                  <w:w w:val="90"/>
                </w:rPr>
                <w:t>Consolidated Statements of Operations for the years ended December 31, 2021, 2020 and 2019</w:t>
              </w:r>
            </w:hyperlink>
          </w:p>
        </w:tc>
        <w:tc>
          <w:tcPr>
            <w:tcW w:w="2980" w:type="dxa"/>
            <w:vAlign w:val="bottom"/>
            <w:gridSpan w:val="3"/>
          </w:tcPr>
          <w:p>
            <w:pPr>
              <w:spacing w:after="0"/>
              <w:rPr>
                <w:sz w:val="17"/>
                <w:szCs w:val="17"/>
                <w:color w:val="auto"/>
              </w:rPr>
            </w:pPr>
          </w:p>
        </w:tc>
        <w:tc>
          <w:tcPr>
            <w:tcW w:w="164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rFonts w:ascii="Arial" w:cs="Arial" w:eastAsia="Arial" w:hAnsi="Arial"/>
                <w:sz w:val="16"/>
                <w:szCs w:val="16"/>
                <w:color w:val="0000FF"/>
              </w:rPr>
            </w:pPr>
            <w:hyperlink w:anchor="page45">
              <w:r>
                <w:rPr>
                  <w:rFonts w:ascii="Arial" w:cs="Arial" w:eastAsia="Arial" w:hAnsi="Arial"/>
                  <w:sz w:val="16"/>
                  <w:szCs w:val="16"/>
                  <w:color w:val="0000FF"/>
                </w:rPr>
                <w:t>42</w:t>
              </w:r>
            </w:hyperlink>
          </w:p>
        </w:tc>
        <w:tc>
          <w:tcPr>
            <w:tcW w:w="60" w:type="dxa"/>
            <w:vAlign w:val="bottom"/>
          </w:tcPr>
          <w:p>
            <w:pPr>
              <w:spacing w:after="0"/>
              <w:rPr>
                <w:sz w:val="17"/>
                <w:szCs w:val="17"/>
                <w:color w:val="auto"/>
              </w:rPr>
            </w:pPr>
          </w:p>
        </w:tc>
      </w:tr>
      <w:tr>
        <w:trPr>
          <w:trHeight w:val="196"/>
        </w:trPr>
        <w:tc>
          <w:tcPr>
            <w:tcW w:w="7600" w:type="dxa"/>
            <w:vAlign w:val="bottom"/>
            <w:tcBorders>
              <w:bottom w:val="single" w:sz="8" w:color="0000FF"/>
            </w:tcBorders>
            <w:gridSpan w:val="27"/>
          </w:tcPr>
          <w:p>
            <w:pPr>
              <w:spacing w:after="0"/>
              <w:rPr>
                <w:rFonts w:ascii="Arial" w:cs="Arial" w:eastAsia="Arial" w:hAnsi="Arial"/>
                <w:sz w:val="16"/>
                <w:szCs w:val="16"/>
                <w:color w:val="0000FF"/>
                <w:w w:val="90"/>
              </w:rPr>
            </w:pPr>
            <w:hyperlink w:anchor="page45">
              <w:r>
                <w:rPr>
                  <w:rFonts w:ascii="Arial" w:cs="Arial" w:eastAsia="Arial" w:hAnsi="Arial"/>
                  <w:sz w:val="16"/>
                  <w:szCs w:val="16"/>
                  <w:color w:val="0000FF"/>
                  <w:w w:val="90"/>
                </w:rPr>
                <w:t>Consolidated Statements of Changes in Stockholders' Deficit for the years ended December 31, 2021, 2020 and 2019</w:t>
              </w:r>
            </w:hyperlink>
          </w:p>
        </w:tc>
        <w:tc>
          <w:tcPr>
            <w:tcW w:w="1560" w:type="dxa"/>
            <w:vAlign w:val="bottom"/>
          </w:tcPr>
          <w:p>
            <w:pPr>
              <w:spacing w:after="0"/>
              <w:rPr>
                <w:sz w:val="17"/>
                <w:szCs w:val="17"/>
                <w:color w:val="auto"/>
              </w:rPr>
            </w:pPr>
          </w:p>
        </w:tc>
        <w:tc>
          <w:tcPr>
            <w:tcW w:w="164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rFonts w:ascii="Arial" w:cs="Arial" w:eastAsia="Arial" w:hAnsi="Arial"/>
                <w:sz w:val="16"/>
                <w:szCs w:val="16"/>
                <w:color w:val="0000FF"/>
              </w:rPr>
            </w:pPr>
            <w:hyperlink w:anchor="page45">
              <w:r>
                <w:rPr>
                  <w:rFonts w:ascii="Arial" w:cs="Arial" w:eastAsia="Arial" w:hAnsi="Arial"/>
                  <w:sz w:val="16"/>
                  <w:szCs w:val="16"/>
                  <w:color w:val="0000FF"/>
                </w:rPr>
                <w:t>43</w:t>
              </w:r>
            </w:hyperlink>
          </w:p>
        </w:tc>
        <w:tc>
          <w:tcPr>
            <w:tcW w:w="60" w:type="dxa"/>
            <w:vAlign w:val="bottom"/>
          </w:tcPr>
          <w:p>
            <w:pPr>
              <w:spacing w:after="0"/>
              <w:rPr>
                <w:sz w:val="17"/>
                <w:szCs w:val="17"/>
                <w:color w:val="auto"/>
              </w:rPr>
            </w:pPr>
          </w:p>
        </w:tc>
      </w:tr>
      <w:tr>
        <w:trPr>
          <w:trHeight w:val="196"/>
        </w:trPr>
        <w:tc>
          <w:tcPr>
            <w:tcW w:w="9160" w:type="dxa"/>
            <w:vAlign w:val="bottom"/>
            <w:gridSpan w:val="28"/>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Consolidated Statements of Cash Flows for the years ended December 31, 2021, 2020 and 2019</w:t>
              </w:r>
            </w:hyperlink>
          </w:p>
        </w:tc>
        <w:tc>
          <w:tcPr>
            <w:tcW w:w="1820" w:type="dxa"/>
            <w:vAlign w:val="bottom"/>
            <w:gridSpan w:val="3"/>
          </w:tcPr>
          <w:p>
            <w:pPr>
              <w:jc w:val="center"/>
              <w:ind w:left="1559"/>
              <w:spacing w:after="0"/>
              <w:rPr>
                <w:rFonts w:ascii="Arial" w:cs="Arial" w:eastAsia="Arial" w:hAnsi="Arial"/>
                <w:sz w:val="16"/>
                <w:szCs w:val="16"/>
                <w:color w:val="0000FF"/>
              </w:rPr>
            </w:pPr>
            <w:hyperlink w:anchor="page47">
              <w:r>
                <w:rPr>
                  <w:rFonts w:ascii="Arial" w:cs="Arial" w:eastAsia="Arial" w:hAnsi="Arial"/>
                  <w:sz w:val="16"/>
                  <w:szCs w:val="16"/>
                  <w:color w:val="0000FF"/>
                </w:rPr>
                <w:t>45</w:t>
              </w:r>
            </w:hyperlink>
          </w:p>
        </w:tc>
        <w:tc>
          <w:tcPr>
            <w:tcW w:w="60" w:type="dxa"/>
            <w:vAlign w:val="bottom"/>
          </w:tcPr>
          <w:p>
            <w:pPr>
              <w:spacing w:after="0"/>
              <w:rPr>
                <w:sz w:val="17"/>
                <w:szCs w:val="17"/>
                <w:color w:val="auto"/>
              </w:rPr>
            </w:pPr>
          </w:p>
        </w:tc>
      </w:tr>
      <w:tr>
        <w:trPr>
          <w:trHeight w:val="196"/>
        </w:trPr>
        <w:tc>
          <w:tcPr>
            <w:tcW w:w="6220" w:type="dxa"/>
            <w:vAlign w:val="bottom"/>
            <w:tcBorders>
              <w:top w:val="single" w:sz="8" w:color="0000FF"/>
            </w:tcBorders>
            <w:gridSpan w:val="26"/>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Notes to Consolidated Financial Statements</w:t>
              </w:r>
            </w:hyperlink>
            <w:r>
              <w:rPr>
                <w:rFonts w:ascii="Arial" w:cs="Arial" w:eastAsia="Arial" w:hAnsi="Arial"/>
                <w:sz w:val="16"/>
                <w:szCs w:val="16"/>
                <w:color w:val="000000"/>
              </w:rPr>
              <w:t>:</w:t>
            </w:r>
          </w:p>
        </w:tc>
        <w:tc>
          <w:tcPr>
            <w:tcW w:w="2940" w:type="dxa"/>
            <w:vAlign w:val="bottom"/>
            <w:gridSpan w:val="2"/>
          </w:tcPr>
          <w:p>
            <w:pPr>
              <w:spacing w:after="0"/>
              <w:rPr>
                <w:sz w:val="17"/>
                <w:szCs w:val="17"/>
                <w:color w:val="auto"/>
              </w:rPr>
            </w:pPr>
          </w:p>
        </w:tc>
        <w:tc>
          <w:tcPr>
            <w:tcW w:w="1640" w:type="dxa"/>
            <w:vAlign w:val="bottom"/>
            <w:gridSpan w:val="2"/>
          </w:tcPr>
          <w:p>
            <w:pPr>
              <w:spacing w:after="0"/>
              <w:rPr>
                <w:sz w:val="17"/>
                <w:szCs w:val="17"/>
                <w:color w:val="auto"/>
              </w:rPr>
            </w:pPr>
          </w:p>
        </w:tc>
        <w:tc>
          <w:tcPr>
            <w:tcW w:w="180" w:type="dxa"/>
            <w:vAlign w:val="bottom"/>
            <w:tcBorders>
              <w:top w:val="single" w:sz="8" w:color="0000FF"/>
            </w:tcBorders>
          </w:tcPr>
          <w:p>
            <w:pPr>
              <w:jc w:val="center"/>
              <w:spacing w:after="0"/>
              <w:rPr>
                <w:rFonts w:ascii="Arial" w:cs="Arial" w:eastAsia="Arial" w:hAnsi="Arial"/>
                <w:sz w:val="16"/>
                <w:szCs w:val="16"/>
                <w:color w:val="0000FF"/>
              </w:rPr>
            </w:pPr>
            <w:hyperlink w:anchor="page49">
              <w:r>
                <w:rPr>
                  <w:rFonts w:ascii="Arial" w:cs="Arial" w:eastAsia="Arial" w:hAnsi="Arial"/>
                  <w:sz w:val="16"/>
                  <w:szCs w:val="16"/>
                  <w:color w:val="0000FF"/>
                </w:rPr>
                <w:t>47</w:t>
              </w:r>
            </w:hyperlink>
          </w:p>
        </w:tc>
        <w:tc>
          <w:tcPr>
            <w:tcW w:w="6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rFonts w:ascii="Arial" w:cs="Arial" w:eastAsia="Arial" w:hAnsi="Arial"/>
                <w:sz w:val="16"/>
                <w:szCs w:val="16"/>
                <w:color w:val="0000FF"/>
                <w:w w:val="89"/>
              </w:rPr>
            </w:pPr>
            <w:hyperlink w:anchor="page50">
              <w:r>
                <w:rPr>
                  <w:rFonts w:ascii="Arial" w:cs="Arial" w:eastAsia="Arial" w:hAnsi="Arial"/>
                  <w:sz w:val="16"/>
                  <w:szCs w:val="16"/>
                  <w:color w:val="0000FF"/>
                  <w:w w:val="89"/>
                </w:rPr>
                <w:t>1.</w:t>
              </w:r>
            </w:hyperlink>
          </w:p>
        </w:tc>
        <w:tc>
          <w:tcPr>
            <w:tcW w:w="8900" w:type="dxa"/>
            <w:vAlign w:val="bottom"/>
            <w:gridSpan w:val="26"/>
          </w:tcPr>
          <w:p>
            <w:pPr>
              <w:ind w:left="20"/>
              <w:spacing w:after="0"/>
              <w:rPr>
                <w:rFonts w:ascii="Arial" w:cs="Arial" w:eastAsia="Arial" w:hAnsi="Arial"/>
                <w:sz w:val="16"/>
                <w:szCs w:val="16"/>
                <w:color w:val="0000FF"/>
              </w:rPr>
            </w:pPr>
            <w:hyperlink w:anchor="page50">
              <w:r>
                <w:rPr>
                  <w:rFonts w:ascii="Arial" w:cs="Arial" w:eastAsia="Arial" w:hAnsi="Arial"/>
                  <w:sz w:val="16"/>
                  <w:szCs w:val="16"/>
                  <w:color w:val="0000FF"/>
                </w:rPr>
                <w:t>Nature of Business and Significant Accounting Policies</w:t>
              </w:r>
            </w:hyperlink>
          </w:p>
        </w:tc>
        <w:tc>
          <w:tcPr>
            <w:tcW w:w="1820" w:type="dxa"/>
            <w:vAlign w:val="bottom"/>
            <w:gridSpan w:val="3"/>
          </w:tcPr>
          <w:p>
            <w:pPr>
              <w:jc w:val="center"/>
              <w:ind w:left="1559"/>
              <w:spacing w:after="0"/>
              <w:rPr>
                <w:rFonts w:ascii="Arial" w:cs="Arial" w:eastAsia="Arial" w:hAnsi="Arial"/>
                <w:sz w:val="16"/>
                <w:szCs w:val="16"/>
                <w:color w:val="0000FF"/>
              </w:rPr>
            </w:pPr>
            <w:hyperlink w:anchor="page50">
              <w:r>
                <w:rPr>
                  <w:rFonts w:ascii="Arial" w:cs="Arial" w:eastAsia="Arial" w:hAnsi="Arial"/>
                  <w:sz w:val="16"/>
                  <w:szCs w:val="16"/>
                  <w:color w:val="0000FF"/>
                </w:rPr>
                <w:t>47</w:t>
              </w:r>
            </w:hyperlink>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rFonts w:ascii="Arial" w:cs="Arial" w:eastAsia="Arial" w:hAnsi="Arial"/>
                <w:sz w:val="16"/>
                <w:szCs w:val="16"/>
                <w:color w:val="0000FF"/>
                <w:w w:val="89"/>
              </w:rPr>
            </w:pPr>
            <w:hyperlink w:anchor="page62">
              <w:r>
                <w:rPr>
                  <w:rFonts w:ascii="Arial" w:cs="Arial" w:eastAsia="Arial" w:hAnsi="Arial"/>
                  <w:sz w:val="16"/>
                  <w:szCs w:val="16"/>
                  <w:color w:val="0000FF"/>
                  <w:w w:val="89"/>
                </w:rPr>
                <w:t>2.</w:t>
              </w:r>
            </w:hyperlink>
          </w:p>
        </w:tc>
        <w:tc>
          <w:tcPr>
            <w:tcW w:w="8900" w:type="dxa"/>
            <w:vAlign w:val="bottom"/>
            <w:gridSpan w:val="26"/>
          </w:tcPr>
          <w:p>
            <w:pPr>
              <w:ind w:left="20"/>
              <w:spacing w:after="0"/>
              <w:rPr>
                <w:rFonts w:ascii="Arial" w:cs="Arial" w:eastAsia="Arial" w:hAnsi="Arial"/>
                <w:sz w:val="16"/>
                <w:szCs w:val="16"/>
                <w:color w:val="0000FF"/>
              </w:rPr>
            </w:pPr>
            <w:hyperlink w:anchor="page62">
              <w:r>
                <w:rPr>
                  <w:rFonts w:ascii="Arial" w:cs="Arial" w:eastAsia="Arial" w:hAnsi="Arial"/>
                  <w:sz w:val="16"/>
                  <w:szCs w:val="16"/>
                  <w:color w:val="0000FF"/>
                </w:rPr>
                <w:t>Leases</w:t>
              </w:r>
            </w:hyperlink>
          </w:p>
        </w:tc>
        <w:tc>
          <w:tcPr>
            <w:tcW w:w="1820" w:type="dxa"/>
            <w:vAlign w:val="bottom"/>
            <w:gridSpan w:val="3"/>
          </w:tcPr>
          <w:p>
            <w:pPr>
              <w:jc w:val="center"/>
              <w:ind w:left="1559"/>
              <w:spacing w:after="0"/>
              <w:rPr>
                <w:rFonts w:ascii="Arial" w:cs="Arial" w:eastAsia="Arial" w:hAnsi="Arial"/>
                <w:sz w:val="16"/>
                <w:szCs w:val="16"/>
                <w:color w:val="0000FF"/>
              </w:rPr>
            </w:pPr>
            <w:hyperlink w:anchor="page62">
              <w:r>
                <w:rPr>
                  <w:rFonts w:ascii="Arial" w:cs="Arial" w:eastAsia="Arial" w:hAnsi="Arial"/>
                  <w:sz w:val="16"/>
                  <w:szCs w:val="16"/>
                  <w:color w:val="0000FF"/>
                </w:rPr>
                <w:t>59</w:t>
              </w:r>
            </w:hyperlink>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rFonts w:ascii="Arial" w:cs="Arial" w:eastAsia="Arial" w:hAnsi="Arial"/>
                <w:sz w:val="16"/>
                <w:szCs w:val="16"/>
                <w:color w:val="0000FF"/>
                <w:w w:val="89"/>
              </w:rPr>
            </w:pPr>
            <w:hyperlink w:anchor="page64">
              <w:r>
                <w:rPr>
                  <w:rFonts w:ascii="Arial" w:cs="Arial" w:eastAsia="Arial" w:hAnsi="Arial"/>
                  <w:sz w:val="16"/>
                  <w:szCs w:val="16"/>
                  <w:color w:val="0000FF"/>
                  <w:w w:val="89"/>
                </w:rPr>
                <w:t>3.</w:t>
              </w:r>
            </w:hyperlink>
          </w:p>
        </w:tc>
        <w:tc>
          <w:tcPr>
            <w:tcW w:w="8900" w:type="dxa"/>
            <w:vAlign w:val="bottom"/>
            <w:gridSpan w:val="26"/>
          </w:tcPr>
          <w:p>
            <w:pPr>
              <w:ind w:left="20"/>
              <w:spacing w:after="0"/>
              <w:rPr>
                <w:rFonts w:ascii="Arial" w:cs="Arial" w:eastAsia="Arial" w:hAnsi="Arial"/>
                <w:sz w:val="16"/>
                <w:szCs w:val="16"/>
                <w:color w:val="0000FF"/>
              </w:rPr>
            </w:pPr>
            <w:hyperlink w:anchor="page64">
              <w:r>
                <w:rPr>
                  <w:rFonts w:ascii="Arial" w:cs="Arial" w:eastAsia="Arial" w:hAnsi="Arial"/>
                  <w:sz w:val="16"/>
                  <w:szCs w:val="16"/>
                  <w:color w:val="0000FF"/>
                </w:rPr>
                <w:t>Acquisitions</w:t>
              </w:r>
            </w:hyperlink>
          </w:p>
        </w:tc>
        <w:tc>
          <w:tcPr>
            <w:tcW w:w="1820" w:type="dxa"/>
            <w:vAlign w:val="bottom"/>
            <w:gridSpan w:val="3"/>
          </w:tcPr>
          <w:p>
            <w:pPr>
              <w:jc w:val="center"/>
              <w:ind w:left="1559"/>
              <w:spacing w:after="0"/>
              <w:rPr>
                <w:rFonts w:ascii="Arial" w:cs="Arial" w:eastAsia="Arial" w:hAnsi="Arial"/>
                <w:sz w:val="16"/>
                <w:szCs w:val="16"/>
                <w:color w:val="0000FF"/>
              </w:rPr>
            </w:pPr>
            <w:hyperlink w:anchor="page64">
              <w:r>
                <w:rPr>
                  <w:rFonts w:ascii="Arial" w:cs="Arial" w:eastAsia="Arial" w:hAnsi="Arial"/>
                  <w:sz w:val="16"/>
                  <w:szCs w:val="16"/>
                  <w:color w:val="0000FF"/>
                </w:rPr>
                <w:t>61</w:t>
              </w:r>
            </w:hyperlink>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rFonts w:ascii="Arial" w:cs="Arial" w:eastAsia="Arial" w:hAnsi="Arial"/>
                <w:sz w:val="16"/>
                <w:szCs w:val="16"/>
                <w:color w:val="0000FF"/>
                <w:w w:val="89"/>
              </w:rPr>
            </w:pPr>
            <w:hyperlink w:anchor="page68">
              <w:r>
                <w:rPr>
                  <w:rFonts w:ascii="Arial" w:cs="Arial" w:eastAsia="Arial" w:hAnsi="Arial"/>
                  <w:sz w:val="16"/>
                  <w:szCs w:val="16"/>
                  <w:color w:val="0000FF"/>
                  <w:w w:val="89"/>
                </w:rPr>
                <w:t>4.</w:t>
              </w:r>
            </w:hyperlink>
          </w:p>
        </w:tc>
        <w:tc>
          <w:tcPr>
            <w:tcW w:w="8900" w:type="dxa"/>
            <w:vAlign w:val="bottom"/>
            <w:gridSpan w:val="26"/>
          </w:tcPr>
          <w:p>
            <w:pPr>
              <w:ind w:left="20"/>
              <w:spacing w:after="0"/>
              <w:rPr>
                <w:rFonts w:ascii="Arial" w:cs="Arial" w:eastAsia="Arial" w:hAnsi="Arial"/>
                <w:sz w:val="16"/>
                <w:szCs w:val="16"/>
                <w:color w:val="0000FF"/>
              </w:rPr>
            </w:pPr>
            <w:hyperlink w:anchor="page68">
              <w:r>
                <w:rPr>
                  <w:rFonts w:ascii="Arial" w:cs="Arial" w:eastAsia="Arial" w:hAnsi="Arial"/>
                  <w:sz w:val="16"/>
                  <w:szCs w:val="16"/>
                  <w:color w:val="0000FF"/>
                </w:rPr>
                <w:t>Revenues</w:t>
              </w:r>
            </w:hyperlink>
          </w:p>
        </w:tc>
        <w:tc>
          <w:tcPr>
            <w:tcW w:w="1820" w:type="dxa"/>
            <w:vAlign w:val="bottom"/>
            <w:gridSpan w:val="3"/>
          </w:tcPr>
          <w:p>
            <w:pPr>
              <w:jc w:val="center"/>
              <w:ind w:left="1559"/>
              <w:spacing w:after="0"/>
              <w:rPr>
                <w:rFonts w:ascii="Arial" w:cs="Arial" w:eastAsia="Arial" w:hAnsi="Arial"/>
                <w:sz w:val="16"/>
                <w:szCs w:val="16"/>
                <w:color w:val="0000FF"/>
              </w:rPr>
            </w:pPr>
            <w:hyperlink w:anchor="page68">
              <w:r>
                <w:rPr>
                  <w:rFonts w:ascii="Arial" w:cs="Arial" w:eastAsia="Arial" w:hAnsi="Arial"/>
                  <w:sz w:val="16"/>
                  <w:szCs w:val="16"/>
                  <w:color w:val="0000FF"/>
                </w:rPr>
                <w:t>65</w:t>
              </w:r>
            </w:hyperlink>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rFonts w:ascii="Arial" w:cs="Arial" w:eastAsia="Arial" w:hAnsi="Arial"/>
                <w:sz w:val="16"/>
                <w:szCs w:val="16"/>
                <w:color w:val="0000FF"/>
                <w:w w:val="89"/>
              </w:rPr>
            </w:pPr>
            <w:hyperlink w:anchor="page69">
              <w:r>
                <w:rPr>
                  <w:rFonts w:ascii="Arial" w:cs="Arial" w:eastAsia="Arial" w:hAnsi="Arial"/>
                  <w:sz w:val="16"/>
                  <w:szCs w:val="16"/>
                  <w:color w:val="0000FF"/>
                  <w:w w:val="89"/>
                </w:rPr>
                <w:t>5.</w:t>
              </w:r>
            </w:hyperlink>
          </w:p>
        </w:tc>
        <w:tc>
          <w:tcPr>
            <w:tcW w:w="8900" w:type="dxa"/>
            <w:vAlign w:val="bottom"/>
            <w:gridSpan w:val="26"/>
          </w:tcPr>
          <w:p>
            <w:pPr>
              <w:ind w:left="20"/>
              <w:spacing w:after="0"/>
              <w:rPr>
                <w:rFonts w:ascii="Arial" w:cs="Arial" w:eastAsia="Arial" w:hAnsi="Arial"/>
                <w:sz w:val="16"/>
                <w:szCs w:val="16"/>
                <w:color w:val="0000FF"/>
              </w:rPr>
            </w:pPr>
            <w:hyperlink w:anchor="page69">
              <w:r>
                <w:rPr>
                  <w:rFonts w:ascii="Arial" w:cs="Arial" w:eastAsia="Arial" w:hAnsi="Arial"/>
                  <w:sz w:val="16"/>
                  <w:szCs w:val="16"/>
                  <w:color w:val="0000FF"/>
                </w:rPr>
                <w:t>Settlement Assets and Customer Account Balances and Related Obligations</w:t>
              </w:r>
            </w:hyperlink>
          </w:p>
        </w:tc>
        <w:tc>
          <w:tcPr>
            <w:tcW w:w="1820" w:type="dxa"/>
            <w:vAlign w:val="bottom"/>
            <w:gridSpan w:val="3"/>
          </w:tcPr>
          <w:p>
            <w:pPr>
              <w:jc w:val="center"/>
              <w:ind w:left="1559"/>
              <w:spacing w:after="0"/>
              <w:rPr>
                <w:rFonts w:ascii="Arial" w:cs="Arial" w:eastAsia="Arial" w:hAnsi="Arial"/>
                <w:sz w:val="16"/>
                <w:szCs w:val="16"/>
                <w:color w:val="0000FF"/>
              </w:rPr>
            </w:pPr>
            <w:hyperlink w:anchor="page69">
              <w:r>
                <w:rPr>
                  <w:rFonts w:ascii="Arial" w:cs="Arial" w:eastAsia="Arial" w:hAnsi="Arial"/>
                  <w:sz w:val="16"/>
                  <w:szCs w:val="16"/>
                  <w:color w:val="0000FF"/>
                </w:rPr>
                <w:t>66</w:t>
              </w:r>
            </w:hyperlink>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rFonts w:ascii="Arial" w:cs="Arial" w:eastAsia="Arial" w:hAnsi="Arial"/>
                <w:sz w:val="16"/>
                <w:szCs w:val="16"/>
                <w:color w:val="0000FF"/>
                <w:w w:val="89"/>
              </w:rPr>
            </w:pPr>
            <w:hyperlink w:anchor="page70">
              <w:r>
                <w:rPr>
                  <w:rFonts w:ascii="Arial" w:cs="Arial" w:eastAsia="Arial" w:hAnsi="Arial"/>
                  <w:sz w:val="16"/>
                  <w:szCs w:val="16"/>
                  <w:color w:val="0000FF"/>
                  <w:w w:val="89"/>
                </w:rPr>
                <w:t>6.</w:t>
              </w:r>
            </w:hyperlink>
          </w:p>
        </w:tc>
        <w:tc>
          <w:tcPr>
            <w:tcW w:w="8900" w:type="dxa"/>
            <w:vAlign w:val="bottom"/>
            <w:gridSpan w:val="26"/>
          </w:tcPr>
          <w:p>
            <w:pPr>
              <w:ind w:left="20"/>
              <w:spacing w:after="0"/>
              <w:rPr>
                <w:rFonts w:ascii="Arial" w:cs="Arial" w:eastAsia="Arial" w:hAnsi="Arial"/>
                <w:sz w:val="16"/>
                <w:szCs w:val="16"/>
                <w:color w:val="0000FF"/>
              </w:rPr>
            </w:pPr>
            <w:hyperlink w:anchor="page70">
              <w:r>
                <w:rPr>
                  <w:rFonts w:ascii="Arial" w:cs="Arial" w:eastAsia="Arial" w:hAnsi="Arial"/>
                  <w:sz w:val="16"/>
                  <w:szCs w:val="16"/>
                  <w:color w:val="0000FF"/>
                </w:rPr>
                <w:t>Disposal of Business</w:t>
              </w:r>
            </w:hyperlink>
          </w:p>
        </w:tc>
        <w:tc>
          <w:tcPr>
            <w:tcW w:w="1820" w:type="dxa"/>
            <w:vAlign w:val="bottom"/>
            <w:gridSpan w:val="3"/>
          </w:tcPr>
          <w:p>
            <w:pPr>
              <w:jc w:val="center"/>
              <w:ind w:left="1559"/>
              <w:spacing w:after="0"/>
              <w:rPr>
                <w:rFonts w:ascii="Arial" w:cs="Arial" w:eastAsia="Arial" w:hAnsi="Arial"/>
                <w:sz w:val="16"/>
                <w:szCs w:val="16"/>
                <w:color w:val="0000FF"/>
              </w:rPr>
            </w:pPr>
            <w:hyperlink w:anchor="page70">
              <w:r>
                <w:rPr>
                  <w:rFonts w:ascii="Arial" w:cs="Arial" w:eastAsia="Arial" w:hAnsi="Arial"/>
                  <w:sz w:val="16"/>
                  <w:szCs w:val="16"/>
                  <w:color w:val="0000FF"/>
                </w:rPr>
                <w:t>67</w:t>
              </w:r>
            </w:hyperlink>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rFonts w:ascii="Arial" w:cs="Arial" w:eastAsia="Arial" w:hAnsi="Arial"/>
                <w:sz w:val="16"/>
                <w:szCs w:val="16"/>
                <w:color w:val="0000FF"/>
                <w:w w:val="89"/>
              </w:rPr>
            </w:pPr>
            <w:hyperlink w:anchor="page72">
              <w:r>
                <w:rPr>
                  <w:rFonts w:ascii="Arial" w:cs="Arial" w:eastAsia="Arial" w:hAnsi="Arial"/>
                  <w:sz w:val="16"/>
                  <w:szCs w:val="16"/>
                  <w:color w:val="0000FF"/>
                  <w:w w:val="89"/>
                </w:rPr>
                <w:t>7.</w:t>
              </w:r>
            </w:hyperlink>
          </w:p>
        </w:tc>
        <w:tc>
          <w:tcPr>
            <w:tcW w:w="8900" w:type="dxa"/>
            <w:vAlign w:val="bottom"/>
            <w:gridSpan w:val="26"/>
          </w:tcPr>
          <w:p>
            <w:pPr>
              <w:ind w:left="20"/>
              <w:spacing w:after="0"/>
              <w:rPr>
                <w:rFonts w:ascii="Arial" w:cs="Arial" w:eastAsia="Arial" w:hAnsi="Arial"/>
                <w:sz w:val="16"/>
                <w:szCs w:val="16"/>
                <w:color w:val="0000FF"/>
              </w:rPr>
            </w:pPr>
            <w:hyperlink w:anchor="page72">
              <w:r>
                <w:rPr>
                  <w:rFonts w:ascii="Arial" w:cs="Arial" w:eastAsia="Arial" w:hAnsi="Arial"/>
                  <w:sz w:val="16"/>
                  <w:szCs w:val="16"/>
                  <w:color w:val="0000FF"/>
                </w:rPr>
                <w:t>Notes Receivable</w:t>
              </w:r>
            </w:hyperlink>
          </w:p>
        </w:tc>
        <w:tc>
          <w:tcPr>
            <w:tcW w:w="1820" w:type="dxa"/>
            <w:vAlign w:val="bottom"/>
            <w:gridSpan w:val="3"/>
          </w:tcPr>
          <w:p>
            <w:pPr>
              <w:jc w:val="center"/>
              <w:ind w:left="1559"/>
              <w:spacing w:after="0"/>
              <w:rPr>
                <w:rFonts w:ascii="Arial" w:cs="Arial" w:eastAsia="Arial" w:hAnsi="Arial"/>
                <w:sz w:val="16"/>
                <w:szCs w:val="16"/>
                <w:color w:val="0000FF"/>
              </w:rPr>
            </w:pPr>
            <w:hyperlink w:anchor="page72">
              <w:r>
                <w:rPr>
                  <w:rFonts w:ascii="Arial" w:cs="Arial" w:eastAsia="Arial" w:hAnsi="Arial"/>
                  <w:sz w:val="16"/>
                  <w:szCs w:val="16"/>
                  <w:color w:val="0000FF"/>
                </w:rPr>
                <w:t>69</w:t>
              </w:r>
            </w:hyperlink>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rFonts w:ascii="Arial" w:cs="Arial" w:eastAsia="Arial" w:hAnsi="Arial"/>
                <w:sz w:val="16"/>
                <w:szCs w:val="16"/>
                <w:color w:val="0000FF"/>
                <w:w w:val="89"/>
              </w:rPr>
            </w:pPr>
            <w:hyperlink w:anchor="page72">
              <w:r>
                <w:rPr>
                  <w:rFonts w:ascii="Arial" w:cs="Arial" w:eastAsia="Arial" w:hAnsi="Arial"/>
                  <w:sz w:val="16"/>
                  <w:szCs w:val="16"/>
                  <w:color w:val="0000FF"/>
                  <w:w w:val="89"/>
                </w:rPr>
                <w:t>8.</w:t>
              </w:r>
            </w:hyperlink>
          </w:p>
        </w:tc>
        <w:tc>
          <w:tcPr>
            <w:tcW w:w="8900" w:type="dxa"/>
            <w:vAlign w:val="bottom"/>
            <w:gridSpan w:val="26"/>
          </w:tcPr>
          <w:p>
            <w:pPr>
              <w:ind w:left="20"/>
              <w:spacing w:after="0"/>
              <w:rPr>
                <w:rFonts w:ascii="Arial" w:cs="Arial" w:eastAsia="Arial" w:hAnsi="Arial"/>
                <w:sz w:val="16"/>
                <w:szCs w:val="16"/>
                <w:color w:val="0000FF"/>
              </w:rPr>
            </w:pPr>
            <w:hyperlink w:anchor="page72">
              <w:r>
                <w:rPr>
                  <w:rFonts w:ascii="Arial" w:cs="Arial" w:eastAsia="Arial" w:hAnsi="Arial"/>
                  <w:sz w:val="16"/>
                  <w:szCs w:val="16"/>
                  <w:color w:val="0000FF"/>
                </w:rPr>
                <w:t>Goodwill and Other Intangible Assets</w:t>
              </w:r>
            </w:hyperlink>
          </w:p>
        </w:tc>
        <w:tc>
          <w:tcPr>
            <w:tcW w:w="1820" w:type="dxa"/>
            <w:vAlign w:val="bottom"/>
            <w:gridSpan w:val="3"/>
          </w:tcPr>
          <w:p>
            <w:pPr>
              <w:jc w:val="center"/>
              <w:ind w:left="1559"/>
              <w:spacing w:after="0"/>
              <w:rPr>
                <w:rFonts w:ascii="Arial" w:cs="Arial" w:eastAsia="Arial" w:hAnsi="Arial"/>
                <w:sz w:val="16"/>
                <w:szCs w:val="16"/>
                <w:color w:val="0000FF"/>
              </w:rPr>
            </w:pPr>
            <w:hyperlink w:anchor="page72">
              <w:r>
                <w:rPr>
                  <w:rFonts w:ascii="Arial" w:cs="Arial" w:eastAsia="Arial" w:hAnsi="Arial"/>
                  <w:sz w:val="16"/>
                  <w:szCs w:val="16"/>
                  <w:color w:val="0000FF"/>
                </w:rPr>
                <w:t>70</w:t>
              </w:r>
            </w:hyperlink>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rFonts w:ascii="Arial" w:cs="Arial" w:eastAsia="Arial" w:hAnsi="Arial"/>
                <w:sz w:val="16"/>
                <w:szCs w:val="16"/>
                <w:color w:val="0000FF"/>
                <w:w w:val="89"/>
              </w:rPr>
            </w:pPr>
            <w:hyperlink w:anchor="page75">
              <w:r>
                <w:rPr>
                  <w:rFonts w:ascii="Arial" w:cs="Arial" w:eastAsia="Arial" w:hAnsi="Arial"/>
                  <w:sz w:val="16"/>
                  <w:szCs w:val="16"/>
                  <w:color w:val="0000FF"/>
                  <w:w w:val="89"/>
                </w:rPr>
                <w:t>9.</w:t>
              </w:r>
            </w:hyperlink>
          </w:p>
        </w:tc>
        <w:tc>
          <w:tcPr>
            <w:tcW w:w="8900" w:type="dxa"/>
            <w:vAlign w:val="bottom"/>
            <w:gridSpan w:val="26"/>
          </w:tcPr>
          <w:p>
            <w:pPr>
              <w:ind w:left="20"/>
              <w:spacing w:after="0"/>
              <w:rPr>
                <w:rFonts w:ascii="Arial" w:cs="Arial" w:eastAsia="Arial" w:hAnsi="Arial"/>
                <w:sz w:val="16"/>
                <w:szCs w:val="16"/>
                <w:color w:val="0000FF"/>
              </w:rPr>
            </w:pPr>
            <w:hyperlink w:anchor="page75">
              <w:r>
                <w:rPr>
                  <w:rFonts w:ascii="Arial" w:cs="Arial" w:eastAsia="Arial" w:hAnsi="Arial"/>
                  <w:sz w:val="16"/>
                  <w:szCs w:val="16"/>
                  <w:color w:val="0000FF"/>
                </w:rPr>
                <w:t>Property, Equipment and Software</w:t>
              </w:r>
            </w:hyperlink>
          </w:p>
        </w:tc>
        <w:tc>
          <w:tcPr>
            <w:tcW w:w="1820" w:type="dxa"/>
            <w:vAlign w:val="bottom"/>
            <w:gridSpan w:val="3"/>
          </w:tcPr>
          <w:p>
            <w:pPr>
              <w:jc w:val="center"/>
              <w:ind w:left="1559"/>
              <w:spacing w:after="0"/>
              <w:rPr>
                <w:rFonts w:ascii="Arial" w:cs="Arial" w:eastAsia="Arial" w:hAnsi="Arial"/>
                <w:sz w:val="16"/>
                <w:szCs w:val="16"/>
                <w:color w:val="0000FF"/>
              </w:rPr>
            </w:pPr>
            <w:hyperlink w:anchor="page75">
              <w:r>
                <w:rPr>
                  <w:rFonts w:ascii="Arial" w:cs="Arial" w:eastAsia="Arial" w:hAnsi="Arial"/>
                  <w:sz w:val="16"/>
                  <w:szCs w:val="16"/>
                  <w:color w:val="0000FF"/>
                </w:rPr>
                <w:t>72</w:t>
              </w:r>
            </w:hyperlink>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rFonts w:ascii="Arial" w:cs="Arial" w:eastAsia="Arial" w:hAnsi="Arial"/>
                <w:sz w:val="16"/>
                <w:szCs w:val="16"/>
                <w:color w:val="0000FF"/>
                <w:w w:val="89"/>
              </w:rPr>
            </w:pPr>
            <w:hyperlink w:anchor="page75">
              <w:r>
                <w:rPr>
                  <w:rFonts w:ascii="Arial" w:cs="Arial" w:eastAsia="Arial" w:hAnsi="Arial"/>
                  <w:sz w:val="16"/>
                  <w:szCs w:val="16"/>
                  <w:color w:val="0000FF"/>
                  <w:w w:val="89"/>
                </w:rPr>
                <w:t>10.</w:t>
              </w:r>
            </w:hyperlink>
          </w:p>
        </w:tc>
        <w:tc>
          <w:tcPr>
            <w:tcW w:w="8820" w:type="dxa"/>
            <w:vAlign w:val="bottom"/>
            <w:gridSpan w:val="25"/>
          </w:tcPr>
          <w:p>
            <w:pPr>
              <w:ind w:left="20"/>
              <w:spacing w:after="0"/>
              <w:rPr>
                <w:rFonts w:ascii="Arial" w:cs="Arial" w:eastAsia="Arial" w:hAnsi="Arial"/>
                <w:sz w:val="16"/>
                <w:szCs w:val="16"/>
                <w:color w:val="0000FF"/>
              </w:rPr>
            </w:pPr>
            <w:hyperlink w:anchor="page75">
              <w:r>
                <w:rPr>
                  <w:rFonts w:ascii="Arial" w:cs="Arial" w:eastAsia="Arial" w:hAnsi="Arial"/>
                  <w:sz w:val="16"/>
                  <w:szCs w:val="16"/>
                  <w:color w:val="0000FF"/>
                </w:rPr>
                <w:t>Accounts Payable and Accrued Expenses</w:t>
              </w:r>
            </w:hyperlink>
          </w:p>
        </w:tc>
        <w:tc>
          <w:tcPr>
            <w:tcW w:w="1820" w:type="dxa"/>
            <w:vAlign w:val="bottom"/>
            <w:gridSpan w:val="3"/>
          </w:tcPr>
          <w:p>
            <w:pPr>
              <w:jc w:val="center"/>
              <w:ind w:left="1559"/>
              <w:spacing w:after="0"/>
              <w:rPr>
                <w:rFonts w:ascii="Arial" w:cs="Arial" w:eastAsia="Arial" w:hAnsi="Arial"/>
                <w:sz w:val="16"/>
                <w:szCs w:val="16"/>
                <w:color w:val="0000FF"/>
              </w:rPr>
            </w:pPr>
            <w:hyperlink w:anchor="page75">
              <w:r>
                <w:rPr>
                  <w:rFonts w:ascii="Arial" w:cs="Arial" w:eastAsia="Arial" w:hAnsi="Arial"/>
                  <w:sz w:val="16"/>
                  <w:szCs w:val="16"/>
                  <w:color w:val="0000FF"/>
                </w:rPr>
                <w:t>73</w:t>
              </w:r>
            </w:hyperlink>
          </w:p>
        </w:tc>
        <w:tc>
          <w:tcPr>
            <w:tcW w:w="6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2920" w:type="dxa"/>
            <w:vAlign w:val="bottom"/>
            <w:tcBorders>
              <w:top w:val="single" w:sz="8" w:color="0000FF"/>
            </w:tcBorders>
            <w:gridSpan w:val="19"/>
          </w:tcPr>
          <w:p>
            <w:pPr>
              <w:spacing w:after="0"/>
              <w:rPr>
                <w:rFonts w:ascii="Arial" w:cs="Arial" w:eastAsia="Arial" w:hAnsi="Arial"/>
                <w:sz w:val="16"/>
                <w:szCs w:val="16"/>
                <w:color w:val="0000FF"/>
              </w:rPr>
            </w:pPr>
            <w:hyperlink w:anchor="page76">
              <w:r>
                <w:rPr>
                  <w:rFonts w:ascii="Arial" w:cs="Arial" w:eastAsia="Arial" w:hAnsi="Arial"/>
                  <w:sz w:val="16"/>
                  <w:szCs w:val="16"/>
                  <w:color w:val="0000FF"/>
                </w:rPr>
                <w:t>11. Debt Obligations</w:t>
              </w:r>
            </w:hyperlink>
          </w:p>
        </w:tc>
        <w:tc>
          <w:tcPr>
            <w:tcW w:w="6120" w:type="dxa"/>
            <w:vAlign w:val="bottom"/>
            <w:gridSpan w:val="8"/>
          </w:tcPr>
          <w:p>
            <w:pPr>
              <w:spacing w:after="0"/>
              <w:rPr>
                <w:sz w:val="17"/>
                <w:szCs w:val="17"/>
                <w:color w:val="auto"/>
              </w:rPr>
            </w:pPr>
          </w:p>
        </w:tc>
        <w:tc>
          <w:tcPr>
            <w:tcW w:w="1640" w:type="dxa"/>
            <w:vAlign w:val="bottom"/>
            <w:gridSpan w:val="2"/>
          </w:tcPr>
          <w:p>
            <w:pPr>
              <w:spacing w:after="0"/>
              <w:rPr>
                <w:sz w:val="17"/>
                <w:szCs w:val="17"/>
                <w:color w:val="auto"/>
              </w:rPr>
            </w:pPr>
          </w:p>
        </w:tc>
        <w:tc>
          <w:tcPr>
            <w:tcW w:w="180" w:type="dxa"/>
            <w:vAlign w:val="bottom"/>
            <w:tcBorders>
              <w:top w:val="single" w:sz="8" w:color="0000FF"/>
            </w:tcBorders>
          </w:tcPr>
          <w:p>
            <w:pPr>
              <w:jc w:val="center"/>
              <w:spacing w:after="0"/>
              <w:rPr>
                <w:rFonts w:ascii="Arial" w:cs="Arial" w:eastAsia="Arial" w:hAnsi="Arial"/>
                <w:sz w:val="16"/>
                <w:szCs w:val="16"/>
                <w:color w:val="0000FF"/>
              </w:rPr>
            </w:pPr>
            <w:hyperlink w:anchor="page76">
              <w:r>
                <w:rPr>
                  <w:rFonts w:ascii="Arial" w:cs="Arial" w:eastAsia="Arial" w:hAnsi="Arial"/>
                  <w:sz w:val="16"/>
                  <w:szCs w:val="16"/>
                  <w:color w:val="0000FF"/>
                </w:rPr>
                <w:t>73</w:t>
              </w:r>
            </w:hyperlink>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rFonts w:ascii="Arial" w:cs="Arial" w:eastAsia="Arial" w:hAnsi="Arial"/>
                <w:sz w:val="16"/>
                <w:szCs w:val="16"/>
                <w:color w:val="0000FF"/>
                <w:w w:val="89"/>
              </w:rPr>
            </w:pPr>
            <w:hyperlink w:anchor="page79">
              <w:r>
                <w:rPr>
                  <w:rFonts w:ascii="Arial" w:cs="Arial" w:eastAsia="Arial" w:hAnsi="Arial"/>
                  <w:sz w:val="16"/>
                  <w:szCs w:val="16"/>
                  <w:color w:val="0000FF"/>
                  <w:w w:val="89"/>
                </w:rPr>
                <w:t>12.</w:t>
              </w:r>
            </w:hyperlink>
          </w:p>
        </w:tc>
        <w:tc>
          <w:tcPr>
            <w:tcW w:w="8820" w:type="dxa"/>
            <w:vAlign w:val="bottom"/>
            <w:gridSpan w:val="25"/>
          </w:tcPr>
          <w:p>
            <w:pPr>
              <w:ind w:left="20"/>
              <w:spacing w:after="0"/>
              <w:rPr>
                <w:rFonts w:ascii="Arial" w:cs="Arial" w:eastAsia="Arial" w:hAnsi="Arial"/>
                <w:sz w:val="16"/>
                <w:szCs w:val="16"/>
                <w:color w:val="0000FF"/>
              </w:rPr>
            </w:pPr>
            <w:hyperlink w:anchor="page79">
              <w:r>
                <w:rPr>
                  <w:rFonts w:ascii="Arial" w:cs="Arial" w:eastAsia="Arial" w:hAnsi="Arial"/>
                  <w:sz w:val="16"/>
                  <w:szCs w:val="16"/>
                  <w:color w:val="0000FF"/>
                </w:rPr>
                <w:t>Redeemable Senior Preferred Stock and Warrants</w:t>
              </w:r>
            </w:hyperlink>
          </w:p>
        </w:tc>
        <w:tc>
          <w:tcPr>
            <w:tcW w:w="1820" w:type="dxa"/>
            <w:vAlign w:val="bottom"/>
            <w:gridSpan w:val="3"/>
          </w:tcPr>
          <w:p>
            <w:pPr>
              <w:jc w:val="center"/>
              <w:ind w:left="1559"/>
              <w:spacing w:after="0"/>
              <w:rPr>
                <w:rFonts w:ascii="Arial" w:cs="Arial" w:eastAsia="Arial" w:hAnsi="Arial"/>
                <w:sz w:val="16"/>
                <w:szCs w:val="16"/>
                <w:color w:val="0000FF"/>
              </w:rPr>
            </w:pPr>
            <w:hyperlink w:anchor="page79">
              <w:r>
                <w:rPr>
                  <w:rFonts w:ascii="Arial" w:cs="Arial" w:eastAsia="Arial" w:hAnsi="Arial"/>
                  <w:sz w:val="16"/>
                  <w:szCs w:val="16"/>
                  <w:color w:val="0000FF"/>
                </w:rPr>
                <w:t>76</w:t>
              </w:r>
            </w:hyperlink>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rFonts w:ascii="Arial" w:cs="Arial" w:eastAsia="Arial" w:hAnsi="Arial"/>
                <w:sz w:val="16"/>
                <w:szCs w:val="16"/>
                <w:color w:val="0000FF"/>
                <w:w w:val="89"/>
              </w:rPr>
            </w:pPr>
            <w:hyperlink w:anchor="page81">
              <w:r>
                <w:rPr>
                  <w:rFonts w:ascii="Arial" w:cs="Arial" w:eastAsia="Arial" w:hAnsi="Arial"/>
                  <w:sz w:val="16"/>
                  <w:szCs w:val="16"/>
                  <w:color w:val="0000FF"/>
                  <w:w w:val="89"/>
                </w:rPr>
                <w:t>13.</w:t>
              </w:r>
            </w:hyperlink>
          </w:p>
        </w:tc>
        <w:tc>
          <w:tcPr>
            <w:tcW w:w="8820" w:type="dxa"/>
            <w:vAlign w:val="bottom"/>
            <w:gridSpan w:val="25"/>
          </w:tcPr>
          <w:p>
            <w:pPr>
              <w:ind w:left="20"/>
              <w:spacing w:after="0"/>
              <w:rPr>
                <w:rFonts w:ascii="Arial" w:cs="Arial" w:eastAsia="Arial" w:hAnsi="Arial"/>
                <w:sz w:val="16"/>
                <w:szCs w:val="16"/>
                <w:color w:val="0000FF"/>
              </w:rPr>
            </w:pPr>
            <w:hyperlink w:anchor="page81">
              <w:r>
                <w:rPr>
                  <w:rFonts w:ascii="Arial" w:cs="Arial" w:eastAsia="Arial" w:hAnsi="Arial"/>
                  <w:sz w:val="16"/>
                  <w:szCs w:val="16"/>
                  <w:color w:val="0000FF"/>
                </w:rPr>
                <w:t>Income Taxes</w:t>
              </w:r>
            </w:hyperlink>
          </w:p>
        </w:tc>
        <w:tc>
          <w:tcPr>
            <w:tcW w:w="1820" w:type="dxa"/>
            <w:vAlign w:val="bottom"/>
            <w:gridSpan w:val="3"/>
          </w:tcPr>
          <w:p>
            <w:pPr>
              <w:jc w:val="center"/>
              <w:ind w:left="1559"/>
              <w:spacing w:after="0"/>
              <w:rPr>
                <w:rFonts w:ascii="Arial" w:cs="Arial" w:eastAsia="Arial" w:hAnsi="Arial"/>
                <w:sz w:val="16"/>
                <w:szCs w:val="16"/>
                <w:color w:val="0000FF"/>
              </w:rPr>
            </w:pPr>
            <w:hyperlink w:anchor="page81">
              <w:r>
                <w:rPr>
                  <w:rFonts w:ascii="Arial" w:cs="Arial" w:eastAsia="Arial" w:hAnsi="Arial"/>
                  <w:sz w:val="16"/>
                  <w:szCs w:val="16"/>
                  <w:color w:val="0000FF"/>
                </w:rPr>
                <w:t>79</w:t>
              </w:r>
            </w:hyperlink>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80" w:type="dxa"/>
            <w:vAlign w:val="bottom"/>
            <w:gridSpan w:val="1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rFonts w:ascii="Arial" w:cs="Arial" w:eastAsia="Arial" w:hAnsi="Arial"/>
                <w:sz w:val="16"/>
                <w:szCs w:val="16"/>
                <w:color w:val="0000FF"/>
                <w:w w:val="89"/>
              </w:rPr>
            </w:pPr>
            <w:hyperlink w:anchor="page84">
              <w:r>
                <w:rPr>
                  <w:rFonts w:ascii="Arial" w:cs="Arial" w:eastAsia="Arial" w:hAnsi="Arial"/>
                  <w:sz w:val="16"/>
                  <w:szCs w:val="16"/>
                  <w:color w:val="0000FF"/>
                  <w:w w:val="89"/>
                </w:rPr>
                <w:t>14.</w:t>
              </w:r>
            </w:hyperlink>
          </w:p>
        </w:tc>
        <w:tc>
          <w:tcPr>
            <w:tcW w:w="8820" w:type="dxa"/>
            <w:vAlign w:val="bottom"/>
            <w:gridSpan w:val="25"/>
          </w:tcPr>
          <w:p>
            <w:pPr>
              <w:ind w:left="20"/>
              <w:spacing w:after="0"/>
              <w:rPr>
                <w:rFonts w:ascii="Arial" w:cs="Arial" w:eastAsia="Arial" w:hAnsi="Arial"/>
                <w:sz w:val="16"/>
                <w:szCs w:val="16"/>
                <w:color w:val="0000FF"/>
              </w:rPr>
            </w:pPr>
            <w:hyperlink w:anchor="page84">
              <w:r>
                <w:rPr>
                  <w:rFonts w:ascii="Arial" w:cs="Arial" w:eastAsia="Arial" w:hAnsi="Arial"/>
                  <w:sz w:val="16"/>
                  <w:szCs w:val="16"/>
                  <w:color w:val="0000FF"/>
                </w:rPr>
                <w:t>Commitments and Contingencies</w:t>
              </w:r>
            </w:hyperlink>
          </w:p>
        </w:tc>
        <w:tc>
          <w:tcPr>
            <w:tcW w:w="1820" w:type="dxa"/>
            <w:vAlign w:val="bottom"/>
            <w:gridSpan w:val="3"/>
          </w:tcPr>
          <w:p>
            <w:pPr>
              <w:jc w:val="center"/>
              <w:ind w:left="1559"/>
              <w:spacing w:after="0"/>
              <w:rPr>
                <w:rFonts w:ascii="Arial" w:cs="Arial" w:eastAsia="Arial" w:hAnsi="Arial"/>
                <w:sz w:val="16"/>
                <w:szCs w:val="16"/>
                <w:color w:val="0000FF"/>
              </w:rPr>
            </w:pPr>
            <w:hyperlink w:anchor="page84">
              <w:r>
                <w:rPr>
                  <w:rFonts w:ascii="Arial" w:cs="Arial" w:eastAsia="Arial" w:hAnsi="Arial"/>
                  <w:sz w:val="16"/>
                  <w:szCs w:val="16"/>
                  <w:color w:val="0000FF"/>
                </w:rPr>
                <w:t>81</w:t>
              </w:r>
            </w:hyperlink>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80" w:type="dxa"/>
            <w:vAlign w:val="bottom"/>
            <w:gridSpan w:val="1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rFonts w:ascii="Arial" w:cs="Arial" w:eastAsia="Arial" w:hAnsi="Arial"/>
                <w:sz w:val="16"/>
                <w:szCs w:val="16"/>
                <w:color w:val="0000FF"/>
                <w:w w:val="89"/>
              </w:rPr>
            </w:pPr>
            <w:hyperlink w:anchor="page85">
              <w:r>
                <w:rPr>
                  <w:rFonts w:ascii="Arial" w:cs="Arial" w:eastAsia="Arial" w:hAnsi="Arial"/>
                  <w:sz w:val="16"/>
                  <w:szCs w:val="16"/>
                  <w:color w:val="0000FF"/>
                  <w:w w:val="89"/>
                </w:rPr>
                <w:t>15.</w:t>
              </w:r>
            </w:hyperlink>
          </w:p>
        </w:tc>
        <w:tc>
          <w:tcPr>
            <w:tcW w:w="8820" w:type="dxa"/>
            <w:vAlign w:val="bottom"/>
            <w:gridSpan w:val="25"/>
          </w:tcPr>
          <w:p>
            <w:pPr>
              <w:ind w:left="20"/>
              <w:spacing w:after="0"/>
              <w:rPr>
                <w:rFonts w:ascii="Arial" w:cs="Arial" w:eastAsia="Arial" w:hAnsi="Arial"/>
                <w:sz w:val="16"/>
                <w:szCs w:val="16"/>
                <w:color w:val="0000FF"/>
              </w:rPr>
            </w:pPr>
            <w:hyperlink w:anchor="page85">
              <w:r>
                <w:rPr>
                  <w:rFonts w:ascii="Arial" w:cs="Arial" w:eastAsia="Arial" w:hAnsi="Arial"/>
                  <w:sz w:val="16"/>
                  <w:szCs w:val="16"/>
                  <w:color w:val="0000FF"/>
                </w:rPr>
                <w:t>Related Party Transactions</w:t>
              </w:r>
            </w:hyperlink>
          </w:p>
        </w:tc>
        <w:tc>
          <w:tcPr>
            <w:tcW w:w="1820" w:type="dxa"/>
            <w:vAlign w:val="bottom"/>
            <w:gridSpan w:val="3"/>
          </w:tcPr>
          <w:p>
            <w:pPr>
              <w:jc w:val="center"/>
              <w:ind w:left="1559"/>
              <w:spacing w:after="0"/>
              <w:rPr>
                <w:rFonts w:ascii="Arial" w:cs="Arial" w:eastAsia="Arial" w:hAnsi="Arial"/>
                <w:sz w:val="16"/>
                <w:szCs w:val="16"/>
                <w:color w:val="0000FF"/>
              </w:rPr>
            </w:pPr>
            <w:hyperlink w:anchor="page85">
              <w:r>
                <w:rPr>
                  <w:rFonts w:ascii="Arial" w:cs="Arial" w:eastAsia="Arial" w:hAnsi="Arial"/>
                  <w:sz w:val="16"/>
                  <w:szCs w:val="16"/>
                  <w:color w:val="0000FF"/>
                </w:rPr>
                <w:t>82</w:t>
              </w:r>
            </w:hyperlink>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rFonts w:ascii="Arial" w:cs="Arial" w:eastAsia="Arial" w:hAnsi="Arial"/>
                <w:sz w:val="16"/>
                <w:szCs w:val="16"/>
                <w:color w:val="0000FF"/>
                <w:w w:val="89"/>
              </w:rPr>
            </w:pPr>
            <w:hyperlink w:anchor="page86">
              <w:r>
                <w:rPr>
                  <w:rFonts w:ascii="Arial" w:cs="Arial" w:eastAsia="Arial" w:hAnsi="Arial"/>
                  <w:sz w:val="16"/>
                  <w:szCs w:val="16"/>
                  <w:color w:val="0000FF"/>
                  <w:w w:val="89"/>
                </w:rPr>
                <w:t>16.</w:t>
              </w:r>
            </w:hyperlink>
          </w:p>
        </w:tc>
        <w:tc>
          <w:tcPr>
            <w:tcW w:w="8820" w:type="dxa"/>
            <w:vAlign w:val="bottom"/>
            <w:gridSpan w:val="25"/>
          </w:tcPr>
          <w:p>
            <w:pPr>
              <w:ind w:left="20"/>
              <w:spacing w:after="0"/>
              <w:rPr>
                <w:rFonts w:ascii="Arial" w:cs="Arial" w:eastAsia="Arial" w:hAnsi="Arial"/>
                <w:sz w:val="16"/>
                <w:szCs w:val="16"/>
                <w:color w:val="0000FF"/>
              </w:rPr>
            </w:pPr>
            <w:hyperlink w:anchor="page86">
              <w:r>
                <w:rPr>
                  <w:rFonts w:ascii="Arial" w:cs="Arial" w:eastAsia="Arial" w:hAnsi="Arial"/>
                  <w:sz w:val="16"/>
                  <w:szCs w:val="16"/>
                  <w:color w:val="0000FF"/>
                </w:rPr>
                <w:t>Stockholders' Deficit</w:t>
              </w:r>
            </w:hyperlink>
          </w:p>
        </w:tc>
        <w:tc>
          <w:tcPr>
            <w:tcW w:w="1820" w:type="dxa"/>
            <w:vAlign w:val="bottom"/>
            <w:gridSpan w:val="3"/>
          </w:tcPr>
          <w:p>
            <w:pPr>
              <w:jc w:val="center"/>
              <w:ind w:left="1559"/>
              <w:spacing w:after="0"/>
              <w:rPr>
                <w:rFonts w:ascii="Arial" w:cs="Arial" w:eastAsia="Arial" w:hAnsi="Arial"/>
                <w:sz w:val="16"/>
                <w:szCs w:val="16"/>
                <w:color w:val="0000FF"/>
              </w:rPr>
            </w:pPr>
            <w:hyperlink w:anchor="page86">
              <w:r>
                <w:rPr>
                  <w:rFonts w:ascii="Arial" w:cs="Arial" w:eastAsia="Arial" w:hAnsi="Arial"/>
                  <w:sz w:val="16"/>
                  <w:szCs w:val="16"/>
                  <w:color w:val="0000FF"/>
                </w:rPr>
                <w:t>83</w:t>
              </w:r>
            </w:hyperlink>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480" w:type="dxa"/>
            <w:vAlign w:val="bottom"/>
            <w:gridSpan w:val="1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rFonts w:ascii="Arial" w:cs="Arial" w:eastAsia="Arial" w:hAnsi="Arial"/>
                <w:sz w:val="16"/>
                <w:szCs w:val="16"/>
                <w:color w:val="0000FF"/>
                <w:w w:val="89"/>
              </w:rPr>
            </w:pPr>
            <w:hyperlink w:anchor="page86">
              <w:r>
                <w:rPr>
                  <w:rFonts w:ascii="Arial" w:cs="Arial" w:eastAsia="Arial" w:hAnsi="Arial"/>
                  <w:sz w:val="16"/>
                  <w:szCs w:val="16"/>
                  <w:color w:val="0000FF"/>
                  <w:w w:val="89"/>
                </w:rPr>
                <w:t>17.</w:t>
              </w:r>
            </w:hyperlink>
          </w:p>
        </w:tc>
        <w:tc>
          <w:tcPr>
            <w:tcW w:w="8820" w:type="dxa"/>
            <w:vAlign w:val="bottom"/>
            <w:gridSpan w:val="25"/>
          </w:tcPr>
          <w:p>
            <w:pPr>
              <w:ind w:left="20"/>
              <w:spacing w:after="0"/>
              <w:rPr>
                <w:rFonts w:ascii="Arial" w:cs="Arial" w:eastAsia="Arial" w:hAnsi="Arial"/>
                <w:sz w:val="16"/>
                <w:szCs w:val="16"/>
                <w:color w:val="0000FF"/>
              </w:rPr>
            </w:pPr>
            <w:hyperlink w:anchor="page86">
              <w:r>
                <w:rPr>
                  <w:rFonts w:ascii="Arial" w:cs="Arial" w:eastAsia="Arial" w:hAnsi="Arial"/>
                  <w:sz w:val="16"/>
                  <w:szCs w:val="16"/>
                  <w:color w:val="0000FF"/>
                </w:rPr>
                <w:t>Stock-based Compensation</w:t>
              </w:r>
            </w:hyperlink>
          </w:p>
        </w:tc>
        <w:tc>
          <w:tcPr>
            <w:tcW w:w="1820" w:type="dxa"/>
            <w:vAlign w:val="bottom"/>
            <w:gridSpan w:val="3"/>
          </w:tcPr>
          <w:p>
            <w:pPr>
              <w:jc w:val="center"/>
              <w:ind w:left="1559"/>
              <w:spacing w:after="0"/>
              <w:rPr>
                <w:rFonts w:ascii="Arial" w:cs="Arial" w:eastAsia="Arial" w:hAnsi="Arial"/>
                <w:sz w:val="16"/>
                <w:szCs w:val="16"/>
                <w:color w:val="0000FF"/>
              </w:rPr>
            </w:pPr>
            <w:hyperlink w:anchor="page86">
              <w:r>
                <w:rPr>
                  <w:rFonts w:ascii="Arial" w:cs="Arial" w:eastAsia="Arial" w:hAnsi="Arial"/>
                  <w:sz w:val="16"/>
                  <w:szCs w:val="16"/>
                  <w:color w:val="0000FF"/>
                </w:rPr>
                <w:t>84</w:t>
              </w:r>
            </w:hyperlink>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20" w:type="dxa"/>
            <w:vAlign w:val="bottom"/>
            <w:gridSpan w:val="7"/>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480" w:type="dxa"/>
            <w:vAlign w:val="bottom"/>
            <w:gridSpan w:val="1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rFonts w:ascii="Arial" w:cs="Arial" w:eastAsia="Arial" w:hAnsi="Arial"/>
                <w:sz w:val="16"/>
                <w:szCs w:val="16"/>
                <w:color w:val="0000FF"/>
                <w:w w:val="89"/>
              </w:rPr>
            </w:pPr>
            <w:hyperlink w:anchor="page90">
              <w:r>
                <w:rPr>
                  <w:rFonts w:ascii="Arial" w:cs="Arial" w:eastAsia="Arial" w:hAnsi="Arial"/>
                  <w:sz w:val="16"/>
                  <w:szCs w:val="16"/>
                  <w:color w:val="0000FF"/>
                  <w:w w:val="89"/>
                </w:rPr>
                <w:t>18.</w:t>
              </w:r>
            </w:hyperlink>
          </w:p>
        </w:tc>
        <w:tc>
          <w:tcPr>
            <w:tcW w:w="8820" w:type="dxa"/>
            <w:vAlign w:val="bottom"/>
            <w:gridSpan w:val="25"/>
          </w:tcPr>
          <w:p>
            <w:pPr>
              <w:ind w:left="20"/>
              <w:spacing w:after="0"/>
              <w:rPr>
                <w:rFonts w:ascii="Arial" w:cs="Arial" w:eastAsia="Arial" w:hAnsi="Arial"/>
                <w:sz w:val="16"/>
                <w:szCs w:val="16"/>
                <w:color w:val="0000FF"/>
              </w:rPr>
            </w:pPr>
            <w:hyperlink w:anchor="page90">
              <w:r>
                <w:rPr>
                  <w:rFonts w:ascii="Arial" w:cs="Arial" w:eastAsia="Arial" w:hAnsi="Arial"/>
                  <w:sz w:val="16"/>
                  <w:szCs w:val="16"/>
                  <w:color w:val="0000FF"/>
                </w:rPr>
                <w:t>Employee Benefit Plans</w:t>
              </w:r>
            </w:hyperlink>
          </w:p>
        </w:tc>
        <w:tc>
          <w:tcPr>
            <w:tcW w:w="1820" w:type="dxa"/>
            <w:vAlign w:val="bottom"/>
            <w:gridSpan w:val="3"/>
          </w:tcPr>
          <w:p>
            <w:pPr>
              <w:jc w:val="center"/>
              <w:ind w:left="1559"/>
              <w:spacing w:after="0"/>
              <w:rPr>
                <w:rFonts w:ascii="Arial" w:cs="Arial" w:eastAsia="Arial" w:hAnsi="Arial"/>
                <w:sz w:val="16"/>
                <w:szCs w:val="16"/>
                <w:color w:val="0000FF"/>
              </w:rPr>
            </w:pPr>
            <w:hyperlink w:anchor="page90">
              <w:r>
                <w:rPr>
                  <w:rFonts w:ascii="Arial" w:cs="Arial" w:eastAsia="Arial" w:hAnsi="Arial"/>
                  <w:sz w:val="16"/>
                  <w:szCs w:val="16"/>
                  <w:color w:val="0000FF"/>
                </w:rPr>
                <w:t>87</w:t>
              </w:r>
            </w:hyperlink>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rFonts w:ascii="Arial" w:cs="Arial" w:eastAsia="Arial" w:hAnsi="Arial"/>
                <w:sz w:val="16"/>
                <w:szCs w:val="16"/>
                <w:color w:val="0000FF"/>
                <w:w w:val="89"/>
              </w:rPr>
            </w:pPr>
            <w:hyperlink w:anchor="page90">
              <w:r>
                <w:rPr>
                  <w:rFonts w:ascii="Arial" w:cs="Arial" w:eastAsia="Arial" w:hAnsi="Arial"/>
                  <w:sz w:val="16"/>
                  <w:szCs w:val="16"/>
                  <w:color w:val="0000FF"/>
                  <w:w w:val="89"/>
                </w:rPr>
                <w:t>19.</w:t>
              </w:r>
            </w:hyperlink>
          </w:p>
        </w:tc>
        <w:tc>
          <w:tcPr>
            <w:tcW w:w="8820" w:type="dxa"/>
            <w:vAlign w:val="bottom"/>
            <w:gridSpan w:val="25"/>
          </w:tcPr>
          <w:p>
            <w:pPr>
              <w:ind w:left="20"/>
              <w:spacing w:after="0"/>
              <w:rPr>
                <w:rFonts w:ascii="Arial" w:cs="Arial" w:eastAsia="Arial" w:hAnsi="Arial"/>
                <w:sz w:val="16"/>
                <w:szCs w:val="16"/>
                <w:color w:val="0000FF"/>
              </w:rPr>
            </w:pPr>
            <w:hyperlink w:anchor="page90">
              <w:r>
                <w:rPr>
                  <w:rFonts w:ascii="Arial" w:cs="Arial" w:eastAsia="Arial" w:hAnsi="Arial"/>
                  <w:sz w:val="16"/>
                  <w:szCs w:val="16"/>
                  <w:color w:val="0000FF"/>
                </w:rPr>
                <w:t>Fair Value</w:t>
              </w:r>
            </w:hyperlink>
          </w:p>
        </w:tc>
        <w:tc>
          <w:tcPr>
            <w:tcW w:w="1820" w:type="dxa"/>
            <w:vAlign w:val="bottom"/>
            <w:gridSpan w:val="3"/>
          </w:tcPr>
          <w:p>
            <w:pPr>
              <w:jc w:val="center"/>
              <w:ind w:left="1559"/>
              <w:spacing w:after="0"/>
              <w:rPr>
                <w:rFonts w:ascii="Arial" w:cs="Arial" w:eastAsia="Arial" w:hAnsi="Arial"/>
                <w:sz w:val="16"/>
                <w:szCs w:val="16"/>
                <w:color w:val="0000FF"/>
              </w:rPr>
            </w:pPr>
            <w:hyperlink w:anchor="page90">
              <w:r>
                <w:rPr>
                  <w:rFonts w:ascii="Arial" w:cs="Arial" w:eastAsia="Arial" w:hAnsi="Arial"/>
                  <w:sz w:val="16"/>
                  <w:szCs w:val="16"/>
                  <w:color w:val="0000FF"/>
                </w:rPr>
                <w:t>88</w:t>
              </w:r>
            </w:hyperlink>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6480" w:type="dxa"/>
            <w:vAlign w:val="bottom"/>
            <w:gridSpan w:val="1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rFonts w:ascii="Arial" w:cs="Arial" w:eastAsia="Arial" w:hAnsi="Arial"/>
                <w:sz w:val="16"/>
                <w:szCs w:val="16"/>
                <w:color w:val="0000FF"/>
                <w:w w:val="89"/>
              </w:rPr>
            </w:pPr>
            <w:hyperlink w:anchor="page91">
              <w:r>
                <w:rPr>
                  <w:rFonts w:ascii="Arial" w:cs="Arial" w:eastAsia="Arial" w:hAnsi="Arial"/>
                  <w:sz w:val="16"/>
                  <w:szCs w:val="16"/>
                  <w:color w:val="0000FF"/>
                  <w:w w:val="89"/>
                </w:rPr>
                <w:t>20.</w:t>
              </w:r>
            </w:hyperlink>
          </w:p>
        </w:tc>
        <w:tc>
          <w:tcPr>
            <w:tcW w:w="8820" w:type="dxa"/>
            <w:vAlign w:val="bottom"/>
            <w:gridSpan w:val="25"/>
          </w:tcPr>
          <w:p>
            <w:pPr>
              <w:ind w:left="20"/>
              <w:spacing w:after="0"/>
              <w:rPr>
                <w:rFonts w:ascii="Arial" w:cs="Arial" w:eastAsia="Arial" w:hAnsi="Arial"/>
                <w:sz w:val="16"/>
                <w:szCs w:val="16"/>
                <w:color w:val="0000FF"/>
              </w:rPr>
            </w:pPr>
            <w:hyperlink w:anchor="page91">
              <w:r>
                <w:rPr>
                  <w:rFonts w:ascii="Arial" w:cs="Arial" w:eastAsia="Arial" w:hAnsi="Arial"/>
                  <w:sz w:val="16"/>
                  <w:szCs w:val="16"/>
                  <w:color w:val="0000FF"/>
                </w:rPr>
                <w:t>Segment Information</w:t>
              </w:r>
            </w:hyperlink>
          </w:p>
        </w:tc>
        <w:tc>
          <w:tcPr>
            <w:tcW w:w="1820" w:type="dxa"/>
            <w:vAlign w:val="bottom"/>
            <w:gridSpan w:val="3"/>
          </w:tcPr>
          <w:p>
            <w:pPr>
              <w:jc w:val="center"/>
              <w:ind w:left="1559"/>
              <w:spacing w:after="0"/>
              <w:rPr>
                <w:rFonts w:ascii="Arial" w:cs="Arial" w:eastAsia="Arial" w:hAnsi="Arial"/>
                <w:sz w:val="16"/>
                <w:szCs w:val="16"/>
                <w:color w:val="0000FF"/>
              </w:rPr>
            </w:pPr>
            <w:hyperlink w:anchor="page91">
              <w:r>
                <w:rPr>
                  <w:rFonts w:ascii="Arial" w:cs="Arial" w:eastAsia="Arial" w:hAnsi="Arial"/>
                  <w:sz w:val="16"/>
                  <w:szCs w:val="16"/>
                  <w:color w:val="0000FF"/>
                </w:rPr>
                <w:t>88</w:t>
              </w:r>
            </w:hyperlink>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0" w:type="dxa"/>
            <w:vAlign w:val="bottom"/>
            <w:gridSpan w:val="10"/>
            <w:shd w:val="clear" w:color="auto" w:fill="0000FF"/>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6480" w:type="dxa"/>
            <w:vAlign w:val="bottom"/>
            <w:gridSpan w:val="1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rFonts w:ascii="Arial" w:cs="Arial" w:eastAsia="Arial" w:hAnsi="Arial"/>
                <w:sz w:val="16"/>
                <w:szCs w:val="16"/>
                <w:color w:val="0000FF"/>
                <w:w w:val="89"/>
              </w:rPr>
            </w:pPr>
            <w:hyperlink w:anchor="page92">
              <w:r>
                <w:rPr>
                  <w:rFonts w:ascii="Arial" w:cs="Arial" w:eastAsia="Arial" w:hAnsi="Arial"/>
                  <w:sz w:val="16"/>
                  <w:szCs w:val="16"/>
                  <w:color w:val="0000FF"/>
                  <w:w w:val="89"/>
                </w:rPr>
                <w:t>21.</w:t>
              </w:r>
            </w:hyperlink>
          </w:p>
        </w:tc>
        <w:tc>
          <w:tcPr>
            <w:tcW w:w="8820" w:type="dxa"/>
            <w:vAlign w:val="bottom"/>
            <w:gridSpan w:val="25"/>
          </w:tcPr>
          <w:p>
            <w:pPr>
              <w:ind w:left="20"/>
              <w:spacing w:after="0"/>
              <w:rPr>
                <w:rFonts w:ascii="Arial" w:cs="Arial" w:eastAsia="Arial" w:hAnsi="Arial"/>
                <w:sz w:val="16"/>
                <w:szCs w:val="16"/>
                <w:color w:val="0000FF"/>
              </w:rPr>
            </w:pPr>
            <w:hyperlink w:anchor="page92">
              <w:r>
                <w:rPr>
                  <w:rFonts w:ascii="Arial" w:cs="Arial" w:eastAsia="Arial" w:hAnsi="Arial"/>
                  <w:sz w:val="16"/>
                  <w:szCs w:val="16"/>
                  <w:color w:val="0000FF"/>
                </w:rPr>
                <w:t>(Loss) Earnings per Common Share</w:t>
              </w:r>
            </w:hyperlink>
          </w:p>
        </w:tc>
        <w:tc>
          <w:tcPr>
            <w:tcW w:w="1820" w:type="dxa"/>
            <w:vAlign w:val="bottom"/>
            <w:gridSpan w:val="3"/>
          </w:tcPr>
          <w:p>
            <w:pPr>
              <w:jc w:val="center"/>
              <w:ind w:left="1559"/>
              <w:spacing w:after="0"/>
              <w:rPr>
                <w:rFonts w:ascii="Arial" w:cs="Arial" w:eastAsia="Arial" w:hAnsi="Arial"/>
                <w:sz w:val="16"/>
                <w:szCs w:val="16"/>
                <w:color w:val="0000FF"/>
              </w:rPr>
            </w:pPr>
            <w:hyperlink w:anchor="page92">
              <w:r>
                <w:rPr>
                  <w:rFonts w:ascii="Arial" w:cs="Arial" w:eastAsia="Arial" w:hAnsi="Arial"/>
                  <w:sz w:val="16"/>
                  <w:szCs w:val="16"/>
                  <w:color w:val="0000FF"/>
                </w:rPr>
                <w:t>90</w:t>
              </w:r>
            </w:hyperlink>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Priority Technology Holdings, Inc.</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audited the accompanying consolidated balance sheets of Priority Technology Holdings, Inc. ("the Company") as of December 31, 2021 and 2020, the related consolidated statements of operations, stockholders' deficit and cash flows for each of the two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two years in the period ended December 31, 2021,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-445135</wp:posOffset>
            </wp:positionV>
            <wp:extent cx="17145" cy="857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 cy="8572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64"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As described in Note 3 to the consolidated financial statements, the Company completed its acquisitions of Finxera</w:t>
      </w:r>
    </w:p>
    <w:p>
      <w:pPr>
        <w:ind w:left="1580" w:right="159" w:hanging="1559"/>
        <w:spacing w:after="0" w:line="225" w:lineRule="auto"/>
        <w:tabs>
          <w:tab w:leader="none" w:pos="156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Holdings, Inc. and C&amp;H Financial Services, Inc. during the year ended December 31, 2021 for total consideration of $407 million and $39.7 million, respectively. The acquisitions were accounted for as business combinations. The Company's accounting for these acquisitions included determining the fair value of the intangible assets acquired, which primarily included referral partner relationships, customer relationships, acquired technology, and merchant portfolios.</w:t>
      </w:r>
    </w:p>
    <w:p>
      <w:pPr>
        <w:spacing w:after="0" w:line="148" w:lineRule="exact"/>
        <w:rPr>
          <w:sz w:val="20"/>
          <w:szCs w:val="20"/>
          <w:color w:val="auto"/>
        </w:rPr>
      </w:pPr>
    </w:p>
    <w:p>
      <w:pPr>
        <w:ind w:left="1580" w:right="59"/>
        <w:spacing w:after="0" w:line="225" w:lineRule="auto"/>
        <w:rPr>
          <w:sz w:val="20"/>
          <w:szCs w:val="20"/>
          <w:color w:val="auto"/>
        </w:rPr>
      </w:pPr>
      <w:r>
        <w:rPr>
          <w:rFonts w:ascii="Arial" w:cs="Arial" w:eastAsia="Arial" w:hAnsi="Arial"/>
          <w:sz w:val="18"/>
          <w:szCs w:val="18"/>
          <w:color w:val="auto"/>
        </w:rPr>
        <w:t>Auditing the Company's accounting for the acquisitions was complex due to the significant estimation required by management to determine the fair values of the acquired intangible assets of $211.4 million for Finxera Holdings, Inc. and $25.4 million for C&amp;H Financial Services, Inc. The significant estimation was primarily due to the sensitivity of the respective fair values to the significant underlying assumptions, including estimated future cash flows or income, discount rate and royalty rate assumptions, as applicable to the individual intangible assets acquired. These assumptions relate to the future performance of the acquired businesses, are forward-looking and could be affected by future economic and market conditions.</w:t>
      </w:r>
    </w:p>
    <w:p>
      <w:pPr>
        <w:spacing w:after="0" w:line="19" w:lineRule="exact"/>
        <w:rPr>
          <w:sz w:val="20"/>
          <w:szCs w:val="20"/>
          <w:color w:val="auto"/>
        </w:rPr>
      </w:pPr>
    </w:p>
    <w:p>
      <w:pPr>
        <w:ind w:left="20" w:right="199"/>
        <w:spacing w:after="0" w:line="256" w:lineRule="auto"/>
        <w:rPr>
          <w:sz w:val="20"/>
          <w:szCs w:val="20"/>
          <w:color w:val="auto"/>
        </w:rPr>
      </w:pPr>
      <w:r>
        <w:rPr>
          <w:rFonts w:ascii="Arial" w:cs="Arial" w:eastAsia="Arial" w:hAnsi="Arial"/>
          <w:sz w:val="16"/>
          <w:szCs w:val="16"/>
          <w:i w:val="1"/>
          <w:iCs w:val="1"/>
          <w:color w:val="auto"/>
        </w:rPr>
        <w:t xml:space="preserve">How We Addressed </w:t>
      </w:r>
      <w:r>
        <w:rPr>
          <w:rFonts w:ascii="Arial" w:cs="Arial" w:eastAsia="Arial" w:hAnsi="Arial"/>
          <w:sz w:val="16"/>
          <w:szCs w:val="16"/>
          <w:color w:val="auto"/>
        </w:rPr>
        <w:t>To test the fair value of the acquired intangible assets, our audit procedures included, among others, evaluating the</w:t>
      </w:r>
      <w:r>
        <w:rPr>
          <w:rFonts w:ascii="Arial" w:cs="Arial" w:eastAsia="Arial" w:hAnsi="Arial"/>
          <w:sz w:val="16"/>
          <w:szCs w:val="16"/>
          <w:i w:val="1"/>
          <w:iCs w:val="1"/>
          <w:color w:val="auto"/>
        </w:rPr>
        <w:t xml:space="preserve"> the Matter in Our </w:t>
      </w:r>
      <w:r>
        <w:rPr>
          <w:rFonts w:ascii="Arial" w:cs="Arial" w:eastAsia="Arial" w:hAnsi="Arial"/>
          <w:sz w:val="16"/>
          <w:szCs w:val="16"/>
          <w:color w:val="auto"/>
        </w:rPr>
        <w:t>Company's use of valuation methodologies, evaluating the significant assumptions, and evaluating the completeness</w:t>
      </w:r>
    </w:p>
    <w:p>
      <w:pPr>
        <w:spacing w:after="0" w:line="1" w:lineRule="exact"/>
        <w:rPr>
          <w:sz w:val="20"/>
          <w:szCs w:val="20"/>
          <w:color w:val="auto"/>
        </w:rPr>
      </w:pPr>
    </w:p>
    <w:p>
      <w:pPr>
        <w:ind w:left="1580" w:right="39" w:hanging="1559"/>
        <w:spacing w:after="0" w:line="254" w:lineRule="auto"/>
        <w:tabs>
          <w:tab w:leader="none" w:pos="1560" w:val="left"/>
        </w:tabs>
        <w:rPr>
          <w:sz w:val="20"/>
          <w:szCs w:val="20"/>
          <w:color w:val="auto"/>
        </w:rPr>
      </w:pPr>
      <w:r>
        <w:rPr>
          <w:rFonts w:ascii="Arial" w:cs="Arial" w:eastAsia="Arial" w:hAnsi="Arial"/>
          <w:sz w:val="16"/>
          <w:szCs w:val="16"/>
          <w:i w:val="1"/>
          <w:iCs w:val="1"/>
          <w:color w:val="auto"/>
        </w:rPr>
        <w:t>Audit</w:t>
      </w:r>
      <w:r>
        <w:rPr>
          <w:sz w:val="20"/>
          <w:szCs w:val="20"/>
          <w:color w:val="auto"/>
        </w:rPr>
        <w:tab/>
      </w:r>
      <w:r>
        <w:rPr>
          <w:rFonts w:ascii="Arial" w:cs="Arial" w:eastAsia="Arial" w:hAnsi="Arial"/>
          <w:sz w:val="16"/>
          <w:szCs w:val="16"/>
          <w:color w:val="auto"/>
        </w:rPr>
        <w:t>and accuracy of underlying data supporting the significant assumptions. We involved our valuation specialists to assist with our evaluation of the methodologies used by the Company and significant assumptions used in the valuation of the intangible assets acquired. For example, we compared the significant assumptions to current industry, market and economic trends, as well as historical results of the acquired businesses. We performed sensitivity analyses of the significant assumptions to evaluate the change in the fair value resulting from changes in the assumptions. We also evaluated the appropriateness of the Company’s disclosures included in Note 3 in relation to these acquisition matters.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rPr>
          <w:sz w:val="20"/>
          <w:szCs w:val="20"/>
          <w:color w:val="auto"/>
        </w:rPr>
      </w:pPr>
      <w:r>
        <w:rPr>
          <w:rFonts w:ascii="Arial" w:cs="Arial" w:eastAsia="Arial" w:hAnsi="Arial"/>
          <w:sz w:val="18"/>
          <w:szCs w:val="18"/>
          <w:color w:val="auto"/>
        </w:rPr>
        <w:t>March 17,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Priority Technology Holdings, Inc. and Subsidiaries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have audited the accompanying consolidated statements of operations, changes in stockholders' deficit and cash flows of Priority Technology Holdings, Inc. and Subsidiaries (the "Company") for the year ended December 31, 2019, and the related notes to the consolidated financial statements (collectively, the financial statements). In our opinion, the financial statements present fairly, in all material respects, the Company's results of operations and cash flows for the year ended December 31, 2019, in conformity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November 20, 2014 to June 5, 2020.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2020 (except for Note 20 as to which the date is March 17,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164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December 31, 2021</w:t>
            </w:r>
          </w:p>
        </w:tc>
        <w:tc>
          <w:tcPr>
            <w:tcW w:w="16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December 31, 2020</w:t>
            </w:r>
          </w:p>
        </w:tc>
        <w:tc>
          <w:tcPr>
            <w:tcW w:w="0" w:type="dxa"/>
            <w:vAlign w:val="bottom"/>
          </w:tcPr>
          <w:p>
            <w:pPr>
              <w:spacing w:after="0"/>
              <w:rPr>
                <w:sz w:val="1"/>
                <w:szCs w:val="1"/>
                <w:color w:val="auto"/>
              </w:rPr>
            </w:pPr>
          </w:p>
        </w:tc>
      </w:tr>
      <w:tr>
        <w:trPr>
          <w:trHeight w:val="209"/>
        </w:trPr>
        <w:tc>
          <w:tcPr>
            <w:tcW w:w="7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9,241</w:t>
            </w: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28,859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78,879</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 of allowances of $555 and $574, respectively</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58,423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41,321</w:t>
            </w:r>
          </w:p>
        </w:tc>
        <w:tc>
          <w:tcPr>
            <w:tcW w:w="0" w:type="dxa"/>
            <w:vAlign w:val="bottom"/>
          </w:tcPr>
          <w:p>
            <w:pPr>
              <w:spacing w:after="0"/>
              <w:rPr>
                <w:sz w:val="1"/>
                <w:szCs w:val="1"/>
                <w:color w:val="auto"/>
              </w:rPr>
            </w:pPr>
          </w:p>
        </w:tc>
      </w:tr>
      <w:tr>
        <w:trPr>
          <w:trHeight w:val="229"/>
        </w:trPr>
        <w:tc>
          <w:tcPr>
            <w:tcW w:w="796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15,807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notes receivable, net of allowances of $0 and $467, respectively</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29"/>
        </w:trPr>
        <w:tc>
          <w:tcPr>
            <w:tcW w:w="7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Settlement assets and customer account balances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479,471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603,132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135,884</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Notes receivable, less current portion</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5,527</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equipment and software, net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22,875</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365,740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106,832</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340,211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98,057</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8,265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46,697</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23"/>
        </w:trPr>
        <w:tc>
          <w:tcPr>
            <w:tcW w:w="7960" w:type="dxa"/>
            <w:vAlign w:val="bottom"/>
          </w:tcPr>
          <w:p>
            <w:pPr>
              <w:ind w:left="56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1,351,942</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417,829</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Redeemable Senior Preferred Stock and Stockholders' Deficit</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29,821</w:t>
            </w: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Arial" w:cs="Arial" w:eastAsia="Arial" w:hAnsi="Arial"/>
                <w:sz w:val="18"/>
                <w:szCs w:val="18"/>
                <w:color w:val="auto"/>
              </w:rPr>
              <w:t>Accrued residual commissions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29,532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23,824</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deposits and advance payments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29"/>
        </w:trPr>
        <w:tc>
          <w:tcPr>
            <w:tcW w:w="796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6,200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19,442</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and customer account obligations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500,291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72,878</w:t>
            </w:r>
          </w:p>
        </w:tc>
        <w:tc>
          <w:tcPr>
            <w:tcW w:w="0" w:type="dxa"/>
            <w:vAlign w:val="bottom"/>
          </w:tcPr>
          <w:p>
            <w:pPr>
              <w:spacing w:after="0"/>
              <w:rPr>
                <w:sz w:val="1"/>
                <w:szCs w:val="1"/>
                <w:color w:val="auto"/>
              </w:rPr>
            </w:pPr>
          </w:p>
        </w:tc>
      </w:tr>
      <w:tr>
        <w:trPr>
          <w:trHeight w:val="223"/>
        </w:trPr>
        <w:tc>
          <w:tcPr>
            <w:tcW w:w="796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583,567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148,848</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 discounts and debt issuance costs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604,105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357,873</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9,672</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noncurrent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622,454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367,545</w:t>
            </w:r>
          </w:p>
        </w:tc>
        <w:tc>
          <w:tcPr>
            <w:tcW w:w="0" w:type="dxa"/>
            <w:vAlign w:val="bottom"/>
          </w:tcPr>
          <w:p>
            <w:pPr>
              <w:spacing w:after="0"/>
              <w:rPr>
                <w:sz w:val="1"/>
                <w:szCs w:val="1"/>
                <w:color w:val="auto"/>
              </w:rPr>
            </w:pPr>
          </w:p>
        </w:tc>
      </w:tr>
      <w:tr>
        <w:trPr>
          <w:trHeight w:val="223"/>
        </w:trPr>
        <w:tc>
          <w:tcPr>
            <w:tcW w:w="796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liabilities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1,206,021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516,393</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14)</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Redeemable senior preferred stock:</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Redeemable senior preferred stock, $0.001 par value per share; 250,000 shares authorized; 225,000 issued</w:t>
            </w:r>
          </w:p>
        </w:tc>
        <w:tc>
          <w:tcPr>
            <w:tcW w:w="4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210,158</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and outstanding at December 31, 2021; none authorized, issued or outstanding at December 31, 2020</w:t>
            </w:r>
          </w:p>
        </w:tc>
        <w:tc>
          <w:tcPr>
            <w:tcW w:w="4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Stockholders' deficit:</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9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Preferred stock, $0.001 par value per share; 100,000,000 shares authorized; none issued or outstanding at</w:t>
            </w:r>
          </w:p>
        </w:tc>
        <w:tc>
          <w:tcPr>
            <w:tcW w:w="4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December 31, 2021 and December 31, 2020</w:t>
            </w:r>
          </w:p>
        </w:tc>
        <w:tc>
          <w:tcPr>
            <w:tcW w:w="42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60" w:type="dxa"/>
            <w:vAlign w:val="bottom"/>
          </w:tcPr>
          <w:p>
            <w:pPr>
              <w:ind w:left="140"/>
              <w:spacing w:after="0" w:line="176" w:lineRule="exact"/>
              <w:rPr>
                <w:sz w:val="20"/>
                <w:szCs w:val="20"/>
                <w:color w:val="auto"/>
              </w:rPr>
            </w:pPr>
            <w:r>
              <w:rPr>
                <w:rFonts w:ascii="Arial" w:cs="Arial" w:eastAsia="Arial" w:hAnsi="Arial"/>
                <w:sz w:val="18"/>
                <w:szCs w:val="18"/>
                <w:color w:val="auto"/>
                <w:w w:val="91"/>
              </w:rPr>
              <w:t>Common stock, $0.001 par value per share; 1,000,000,000 shares authorized; 77,460,312 and 67,842,204</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140"/>
              <w:spacing w:after="0" w:line="176" w:lineRule="exact"/>
              <w:rPr>
                <w:sz w:val="20"/>
                <w:szCs w:val="20"/>
                <w:color w:val="auto"/>
              </w:rPr>
            </w:pPr>
            <w:r>
              <w:rPr>
                <w:rFonts w:ascii="Arial" w:cs="Arial" w:eastAsia="Arial" w:hAnsi="Arial"/>
                <w:sz w:val="18"/>
                <w:szCs w:val="18"/>
                <w:color w:val="auto"/>
                <w:w w:val="90"/>
              </w:rPr>
              <w:t>shares issued at December 31, 2021 and December 31, 2020, respectively; and 76,739,896 and 67,390,980</w:t>
            </w:r>
          </w:p>
        </w:tc>
        <w:tc>
          <w:tcPr>
            <w:tcW w:w="4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7960" w:type="dxa"/>
            <w:vAlign w:val="bottom"/>
          </w:tcPr>
          <w:p>
            <w:pPr>
              <w:ind w:left="140"/>
              <w:spacing w:after="0"/>
              <w:rPr>
                <w:sz w:val="20"/>
                <w:szCs w:val="20"/>
                <w:color w:val="auto"/>
              </w:rPr>
            </w:pPr>
            <w:r>
              <w:rPr>
                <w:rFonts w:ascii="Arial" w:cs="Arial" w:eastAsia="Arial" w:hAnsi="Arial"/>
                <w:sz w:val="18"/>
                <w:szCs w:val="18"/>
                <w:color w:val="auto"/>
              </w:rPr>
              <w:t>shares outstanding at December 31, 2021 and December 31, 2020, respectively.</w:t>
            </w:r>
          </w:p>
        </w:tc>
        <w:tc>
          <w:tcPr>
            <w:tcW w:w="4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0" w:type="dxa"/>
            <w:vAlign w:val="bottom"/>
          </w:tcPr>
          <w:p>
            <w:pPr>
              <w:spacing w:after="0"/>
              <w:rPr>
                <w:sz w:val="1"/>
                <w:szCs w:val="1"/>
                <w:color w:val="auto"/>
              </w:rPr>
            </w:pPr>
          </w:p>
        </w:tc>
      </w:tr>
      <w:tr>
        <w:trPr>
          <w:trHeight w:val="175"/>
        </w:trPr>
        <w:tc>
          <w:tcPr>
            <w:tcW w:w="7960" w:type="dxa"/>
            <w:vAlign w:val="bottom"/>
          </w:tcPr>
          <w:p>
            <w:pPr>
              <w:ind w:left="140"/>
              <w:spacing w:after="0" w:line="176" w:lineRule="exact"/>
              <w:rPr>
                <w:sz w:val="20"/>
                <w:szCs w:val="20"/>
                <w:color w:val="auto"/>
              </w:rPr>
            </w:pPr>
            <w:r>
              <w:rPr>
                <w:rFonts w:ascii="Arial" w:cs="Arial" w:eastAsia="Arial" w:hAnsi="Arial"/>
                <w:sz w:val="18"/>
                <w:szCs w:val="18"/>
                <w:color w:val="auto"/>
                <w:w w:val="97"/>
              </w:rPr>
              <w:t>Treasury stock at cost, 720,416 and 451,224 shares at December 31, 2021 and December 31, 2020,</w:t>
            </w:r>
          </w:p>
        </w:tc>
        <w:tc>
          <w:tcPr>
            <w:tcW w:w="4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(4,091)</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Arial" w:cs="Arial" w:eastAsia="Arial" w:hAnsi="Arial"/>
                <w:sz w:val="18"/>
                <w:szCs w:val="18"/>
                <w:color w:val="auto"/>
              </w:rPr>
              <w:t>respectively</w:t>
            </w:r>
          </w:p>
        </w:tc>
        <w:tc>
          <w:tcPr>
            <w:tcW w:w="4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(100,058)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(102,013)</w:t>
            </w:r>
          </w:p>
        </w:tc>
        <w:tc>
          <w:tcPr>
            <w:tcW w:w="0" w:type="dxa"/>
            <w:vAlign w:val="bottom"/>
          </w:tcPr>
          <w:p>
            <w:pPr>
              <w:spacing w:after="0"/>
              <w:rPr>
                <w:sz w:val="1"/>
                <w:szCs w:val="1"/>
                <w:color w:val="auto"/>
              </w:rPr>
            </w:pPr>
          </w:p>
        </w:tc>
      </w:tr>
      <w:tr>
        <w:trPr>
          <w:trHeight w:val="223"/>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Total stockholders' deficit</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(64,237)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(98,564)</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 redeemable senior preferred stock and stockholders' deficit</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1,351,942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417,829</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49">
        <w:r>
          <w:rPr>
            <w:rFonts w:ascii="Arial" w:cs="Arial" w:eastAsia="Arial" w:hAnsi="Arial"/>
            <w:sz w:val="18"/>
            <w:szCs w:val="18"/>
            <w:color w:val="0000FF"/>
          </w:rPr>
          <w:t>Notes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r>
        <w:rPr>
          <w:rFonts w:ascii="Arial" w:cs="Arial" w:eastAsia="Arial" w:hAnsi="Arial"/>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6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242424"/>
              </w:rPr>
              <w:t>2021</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514,901</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404,342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371,854</w:t>
            </w:r>
          </w:p>
        </w:tc>
      </w:tr>
      <w:tr>
        <w:trPr>
          <w:trHeight w:val="209"/>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Costs of services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359,885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252,569</w:t>
            </w: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Salary and employee benefits</w:t>
            </w:r>
          </w:p>
        </w:tc>
        <w:tc>
          <w:tcPr>
            <w:tcW w:w="32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43,818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42,214</w:t>
            </w:r>
          </w:p>
        </w:tc>
      </w:tr>
      <w:tr>
        <w:trPr>
          <w:trHeight w:val="229"/>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49,697</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39,092</w:t>
            </w:r>
          </w:p>
        </w:tc>
      </w:tr>
      <w:tr>
        <w:trPr>
          <w:trHeight w:val="230"/>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28,408</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30,795</w:t>
            </w:r>
          </w:p>
        </w:tc>
      </w:tr>
      <w:tr>
        <w:trPr>
          <w:trHeight w:val="223"/>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481,808</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383,481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364,670</w:t>
            </w:r>
          </w:p>
        </w:tc>
      </w:tr>
      <w:tr>
        <w:trPr>
          <w:trHeight w:val="22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33,093</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7,184</w:t>
            </w:r>
          </w:p>
        </w:tc>
      </w:tr>
      <w:tr>
        <w:trPr>
          <w:trHeight w:val="20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(expenses) income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(36,485)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(44,839)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(40,653)</w:t>
            </w:r>
          </w:p>
        </w:tc>
      </w:tr>
      <w:tr>
        <w:trPr>
          <w:trHeight w:val="229"/>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extinguishment and modification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(8,322)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Gain on sale of business and investment</w:t>
            </w: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7,643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107,239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23"/>
        </w:trPr>
        <w:tc>
          <w:tcPr>
            <w:tcW w:w="6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(expenses) income,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(36,962)</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(39,943)</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(3,869)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(32,759)</w:t>
            </w:r>
          </w:p>
        </w:tc>
      </w:tr>
      <w:tr>
        <w:trPr>
          <w:trHeight w:val="22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(5,258)</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(33,589)</w:t>
            </w: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w w:val="94"/>
              </w:rPr>
              <w:t>Less: Dividends and accretion attributable to redeemable senior preferred stockholders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(18,009)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NCI preferred unit redemptions, net of deferred tax benefit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Less: Net income attributable to redeemable and redeemed NCIs</w:t>
            </w:r>
          </w:p>
        </w:tc>
        <w:tc>
          <w:tcPr>
            <w:tcW w:w="320" w:type="dxa"/>
            <w:vAlign w:val="bottom"/>
          </w:tcPr>
          <w:p>
            <w:pPr>
              <w:spacing w:after="0"/>
              <w:rPr>
                <w:sz w:val="19"/>
                <w:szCs w:val="19"/>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(45,398)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attributable to common stockholders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(24,641)</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(33,589)</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earnings per common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(0.34)</w:t>
            </w:r>
          </w:p>
        </w:tc>
        <w:tc>
          <w:tcPr>
            <w:tcW w:w="16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30"/>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(0.34)</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r>
      <w:tr>
        <w:trPr>
          <w:trHeight w:val="216"/>
        </w:trPr>
        <w:tc>
          <w:tcPr>
            <w:tcW w:w="6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71,902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67,158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67,086</w:t>
            </w:r>
          </w:p>
        </w:tc>
      </w:tr>
      <w:tr>
        <w:trPr>
          <w:trHeight w:val="230"/>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71,902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67,086</w:t>
            </w:r>
          </w:p>
        </w:tc>
      </w:tr>
    </w:tbl>
    <w:p>
      <w:pPr>
        <w:spacing w:after="0" w:line="200" w:lineRule="exact"/>
        <w:rPr>
          <w:sz w:val="20"/>
          <w:szCs w:val="20"/>
          <w:color w:val="auto"/>
        </w:rPr>
      </w:pPr>
    </w:p>
    <w:p>
      <w:pPr>
        <w:spacing w:after="0" w:line="366" w:lineRule="exact"/>
        <w:rPr>
          <w:sz w:val="20"/>
          <w:szCs w:val="20"/>
          <w:color w:val="auto"/>
        </w:rPr>
      </w:pPr>
    </w:p>
    <w:p>
      <w:pPr>
        <w:jc w:val="cente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49">
        <w:r>
          <w:rPr>
            <w:rFonts w:ascii="Arial" w:cs="Arial" w:eastAsia="Arial" w:hAnsi="Arial"/>
            <w:sz w:val="18"/>
            <w:szCs w:val="18"/>
            <w:color w:val="0000FF"/>
          </w:rPr>
          <w:t>Notes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8"/>
          <w:szCs w:val="18"/>
          <w:b w:val="1"/>
          <w:bCs w:val="1"/>
          <w:color w:val="auto"/>
        </w:rPr>
        <w:t>Priority Technology Holdings, Inc</w:t>
      </w:r>
      <w:r>
        <w:rPr>
          <w:rFonts w:ascii="Arial" w:cs="Arial" w:eastAsia="Arial" w:hAnsi="Arial"/>
          <w:sz w:val="18"/>
          <w:szCs w:val="18"/>
          <w:color w:val="auto"/>
        </w:rPr>
        <w: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Changes in Stockholders' Deficit and Non-Controlling Interests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thousands)</w:t>
      </w:r>
    </w:p>
    <w:p>
      <w:pPr>
        <w:spacing w:after="0" w:line="122" w:lineRule="exact"/>
        <w:rPr>
          <w:sz w:val="20"/>
          <w:szCs w:val="20"/>
          <w:color w:val="auto"/>
        </w:rPr>
      </w:pPr>
    </w:p>
    <w:tbl>
      <w:tblPr>
        <w:tblLayout w:type="fixed"/>
        <w:tblInd w:w="248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center"/>
              <w:ind w:left="379"/>
              <w:spacing w:after="0"/>
              <w:rPr>
                <w:sz w:val="20"/>
                <w:szCs w:val="20"/>
                <w:color w:val="auto"/>
              </w:rPr>
            </w:pPr>
            <w:r>
              <w:rPr>
                <w:rFonts w:ascii="Arial" w:cs="Arial" w:eastAsia="Arial" w:hAnsi="Arial"/>
                <w:sz w:val="16"/>
                <w:szCs w:val="16"/>
                <w:b w:val="1"/>
                <w:bCs w:val="1"/>
                <w:color w:val="auto"/>
                <w:w w:val="91"/>
              </w:rPr>
              <w:t>Treasury</w:t>
            </w:r>
          </w:p>
        </w:tc>
        <w:tc>
          <w:tcPr>
            <w:tcW w:w="500" w:type="dxa"/>
            <w:vAlign w:val="bottom"/>
          </w:tcPr>
          <w:p>
            <w:pPr>
              <w:spacing w:after="0"/>
              <w:rPr>
                <w:sz w:val="16"/>
                <w:szCs w:val="16"/>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Additional</w:t>
            </w:r>
          </w:p>
        </w:tc>
        <w:tc>
          <w:tcPr>
            <w:tcW w:w="1240" w:type="dxa"/>
            <w:vAlign w:val="bottom"/>
          </w:tcPr>
          <w:p>
            <w:pPr>
              <w:spacing w:after="0"/>
              <w:rPr>
                <w:sz w:val="16"/>
                <w:szCs w:val="16"/>
                <w:color w:val="auto"/>
              </w:rPr>
            </w:pP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Deficit</w:t>
            </w: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3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Common Stock</w:t>
            </w:r>
          </w:p>
        </w:tc>
        <w:tc>
          <w:tcPr>
            <w:tcW w:w="1120" w:type="dxa"/>
            <w:vAlign w:val="bottom"/>
            <w:vMerge w:val="restart"/>
          </w:tcPr>
          <w:p>
            <w:pPr>
              <w:jc w:val="center"/>
              <w:ind w:left="419"/>
              <w:spacing w:after="0"/>
              <w:rPr>
                <w:sz w:val="20"/>
                <w:szCs w:val="20"/>
                <w:color w:val="auto"/>
              </w:rPr>
            </w:pPr>
            <w:r>
              <w:rPr>
                <w:rFonts w:ascii="Arial" w:cs="Arial" w:eastAsia="Arial" w:hAnsi="Arial"/>
                <w:sz w:val="16"/>
                <w:szCs w:val="16"/>
                <w:b w:val="1"/>
                <w:bCs w:val="1"/>
                <w:color w:val="auto"/>
                <w:w w:val="87"/>
              </w:rPr>
              <w:t>Stock</w:t>
            </w:r>
          </w:p>
        </w:tc>
        <w:tc>
          <w:tcPr>
            <w:tcW w:w="5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360" w:type="dxa"/>
            <w:vAlign w:val="bottom"/>
            <w:tcBorders>
              <w:bottom w:val="single" w:sz="8" w:color="auto"/>
            </w:tcBorders>
            <w:gridSpan w:val="2"/>
            <w:vMerge w:val="continue"/>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97"/>
              </w:rPr>
              <w:t>Paid-In</w:t>
            </w:r>
          </w:p>
        </w:tc>
        <w:tc>
          <w:tcPr>
            <w:tcW w:w="124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91"/>
              </w:rPr>
              <w:t>Accumulated</w:t>
            </w:r>
          </w:p>
        </w:tc>
        <w:tc>
          <w:tcPr>
            <w:tcW w:w="140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95"/>
              </w:rPr>
              <w:t>Attributable to</w:t>
            </w: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840" w:type="dxa"/>
            <w:vAlign w:val="bottom"/>
          </w:tcPr>
          <w:p>
            <w:pPr>
              <w:ind w:left="160"/>
              <w:spacing w:after="0"/>
              <w:rPr>
                <w:sz w:val="20"/>
                <w:szCs w:val="20"/>
                <w:color w:val="auto"/>
              </w:rPr>
            </w:pPr>
            <w:r>
              <w:rPr>
                <w:rFonts w:ascii="Arial" w:cs="Arial" w:eastAsia="Arial" w:hAnsi="Arial"/>
                <w:sz w:val="16"/>
                <w:szCs w:val="16"/>
                <w:b w:val="1"/>
                <w:bCs w:val="1"/>
                <w:color w:val="auto"/>
              </w:rPr>
              <w:t>Shares</w:t>
            </w:r>
          </w:p>
        </w:tc>
        <w:tc>
          <w:tcPr>
            <w:tcW w:w="52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ind w:left="140"/>
              <w:spacing w:after="0"/>
              <w:rPr>
                <w:sz w:val="20"/>
                <w:szCs w:val="20"/>
                <w:color w:val="auto"/>
              </w:rPr>
            </w:pPr>
            <w:r>
              <w:rPr>
                <w:rFonts w:ascii="Arial" w:cs="Arial" w:eastAsia="Arial" w:hAnsi="Arial"/>
                <w:sz w:val="16"/>
                <w:szCs w:val="16"/>
                <w:b w:val="1"/>
                <w:bCs w:val="1"/>
                <w:color w:val="auto"/>
              </w:rPr>
              <w:t>Shares</w:t>
            </w:r>
          </w:p>
        </w:tc>
        <w:tc>
          <w:tcPr>
            <w:tcW w:w="50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7"/>
              </w:rPr>
              <w:t>Capital</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3"/>
              </w:rPr>
              <w:t>Deficit</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8"/>
              </w:rPr>
              <w:t>Stockholders</w:t>
            </w:r>
          </w:p>
        </w:tc>
        <w:tc>
          <w:tcPr>
            <w:tcW w:w="940" w:type="dxa"/>
            <w:vAlign w:val="bottom"/>
          </w:tcPr>
          <w:p>
            <w:pPr>
              <w:ind w:left="220"/>
              <w:spacing w:after="0"/>
              <w:rPr>
                <w:sz w:val="20"/>
                <w:szCs w:val="20"/>
                <w:color w:val="auto"/>
              </w:rPr>
            </w:pPr>
            <w:r>
              <w:rPr>
                <w:rFonts w:ascii="Arial" w:cs="Arial" w:eastAsia="Arial" w:hAnsi="Arial"/>
                <w:sz w:val="16"/>
                <w:szCs w:val="16"/>
                <w:b w:val="1"/>
                <w:bCs w:val="1"/>
                <w:color w:val="auto"/>
              </w:rPr>
              <w:t>NCIs</w:t>
            </w:r>
          </w:p>
        </w:tc>
        <w:tc>
          <w:tcPr>
            <w:tcW w:w="720" w:type="dxa"/>
            <w:vAlign w:val="bottom"/>
          </w:tcPr>
          <w:p>
            <w:pPr>
              <w:ind w:left="36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40" w:top="1417" w:right="339" w:bottom="1440" w:gutter="0" w:footer="0" w:header="0"/>
        </w:sectPr>
      </w:pPr>
    </w:p>
    <w:p>
      <w:pPr>
        <w:spacing w:after="0"/>
        <w:rPr>
          <w:sz w:val="20"/>
          <w:szCs w:val="20"/>
          <w:color w:val="auto"/>
        </w:rPr>
      </w:pPr>
      <w:r>
        <w:rPr>
          <w:rFonts w:ascii="Arial" w:cs="Arial" w:eastAsia="Arial" w:hAnsi="Arial"/>
          <w:sz w:val="18"/>
          <w:szCs w:val="18"/>
          <w:b w:val="1"/>
          <w:bCs w:val="1"/>
          <w:color w:val="auto"/>
        </w:rPr>
        <w:t>December 31, 2018</w:t>
      </w:r>
    </w:p>
    <w:p>
      <w:pPr>
        <w:spacing w:after="0" w:line="40" w:lineRule="exact"/>
        <w:rPr>
          <w:sz w:val="20"/>
          <w:szCs w:val="20"/>
          <w:color w:val="auto"/>
        </w:rPr>
      </w:pPr>
    </w:p>
    <w:p>
      <w:pPr>
        <w:ind w:left="120" w:right="220"/>
        <w:spacing w:after="0" w:line="235" w:lineRule="auto"/>
        <w:rPr>
          <w:sz w:val="20"/>
          <w:szCs w:val="20"/>
          <w:color w:val="auto"/>
        </w:rPr>
      </w:pPr>
      <w:r>
        <w:rPr>
          <w:rFonts w:ascii="Arial" w:cs="Arial" w:eastAsia="Arial" w:hAnsi="Arial"/>
          <w:sz w:val="18"/>
          <w:szCs w:val="18"/>
          <w:color w:val="auto"/>
        </w:rPr>
        <w:t>Equity-classified stock-based compensation</w:t>
      </w:r>
    </w:p>
    <w:p>
      <w:pPr>
        <w:ind w:left="120" w:right="700"/>
        <w:spacing w:after="0" w:line="248" w:lineRule="auto"/>
        <w:rPr>
          <w:sz w:val="20"/>
          <w:szCs w:val="20"/>
          <w:color w:val="auto"/>
        </w:rPr>
      </w:pPr>
      <w:r>
        <w:rPr>
          <w:rFonts w:ascii="Arial" w:cs="Arial" w:eastAsia="Arial" w:hAnsi="Arial"/>
          <w:sz w:val="17"/>
          <w:szCs w:val="17"/>
          <w:color w:val="auto"/>
        </w:rPr>
        <w:t>Vesting of stock-based compensation</w:t>
      </w:r>
    </w:p>
    <w:p>
      <w:pPr>
        <w:spacing w:after="0" w:line="1" w:lineRule="exact"/>
        <w:rPr>
          <w:sz w:val="20"/>
          <w:szCs w:val="20"/>
          <w:color w:val="auto"/>
        </w:rPr>
      </w:pPr>
    </w:p>
    <w:p>
      <w:pPr>
        <w:ind w:left="120" w:right="820"/>
        <w:spacing w:after="0" w:line="299" w:lineRule="auto"/>
        <w:rPr>
          <w:sz w:val="20"/>
          <w:szCs w:val="20"/>
          <w:color w:val="auto"/>
        </w:rPr>
      </w:pPr>
      <w:r>
        <w:rPr>
          <w:rFonts w:ascii="Arial" w:cs="Arial" w:eastAsia="Arial" w:hAnsi="Arial"/>
          <w:sz w:val="16"/>
          <w:szCs w:val="16"/>
          <w:color w:val="auto"/>
        </w:rPr>
        <w:t>Warrant redemptions Share repurchases</w:t>
      </w:r>
    </w:p>
    <w:p>
      <w:pPr>
        <w:spacing w:after="0" w:line="1" w:lineRule="exact"/>
        <w:rPr>
          <w:sz w:val="20"/>
          <w:szCs w:val="20"/>
          <w:color w:val="auto"/>
        </w:rPr>
      </w:pPr>
    </w:p>
    <w:p>
      <w:pPr>
        <w:ind w:left="120"/>
        <w:spacing w:after="0" w:line="248" w:lineRule="auto"/>
        <w:rPr>
          <w:sz w:val="20"/>
          <w:szCs w:val="20"/>
          <w:color w:val="auto"/>
        </w:rPr>
      </w:pPr>
      <w:r>
        <w:rPr>
          <w:rFonts w:ascii="Arial" w:cs="Arial" w:eastAsia="Arial" w:hAnsi="Arial"/>
          <w:sz w:val="17"/>
          <w:szCs w:val="17"/>
          <w:color w:val="auto"/>
        </w:rPr>
        <w:t>Net (loss) income attributable to common stockholders</w:t>
      </w:r>
    </w:p>
    <w:p>
      <w:pPr>
        <w:spacing w:after="0" w:line="1" w:lineRule="exact"/>
        <w:rPr>
          <w:sz w:val="20"/>
          <w:szCs w:val="20"/>
          <w:color w:val="auto"/>
        </w:rPr>
      </w:pPr>
    </w:p>
    <w:p>
      <w:pPr>
        <w:ind w:right="180" w:firstLine="108"/>
        <w:spacing w:after="0" w:line="307" w:lineRule="auto"/>
        <w:rPr>
          <w:sz w:val="20"/>
          <w:szCs w:val="20"/>
          <w:color w:val="auto"/>
        </w:rPr>
      </w:pPr>
      <w:r>
        <w:rPr>
          <w:rFonts w:ascii="Arial" w:cs="Arial" w:eastAsia="Arial" w:hAnsi="Arial"/>
          <w:sz w:val="16"/>
          <w:szCs w:val="16"/>
          <w:color w:val="auto"/>
        </w:rPr>
        <w:t xml:space="preserve">Issuance of NCI in subsidiary </w:t>
      </w:r>
      <w:r>
        <w:rPr>
          <w:rFonts w:ascii="Arial" w:cs="Arial" w:eastAsia="Arial" w:hAnsi="Arial"/>
          <w:sz w:val="16"/>
          <w:szCs w:val="16"/>
          <w:b w:val="1"/>
          <w:bCs w:val="1"/>
          <w:color w:val="auto"/>
        </w:rPr>
        <w:t>December 31, 2019</w:t>
      </w:r>
    </w:p>
    <w:p>
      <w:pPr>
        <w:spacing w:after="0" w:line="1" w:lineRule="exact"/>
        <w:rPr>
          <w:sz w:val="20"/>
          <w:szCs w:val="20"/>
          <w:color w:val="auto"/>
        </w:rPr>
      </w:pPr>
    </w:p>
    <w:p>
      <w:pPr>
        <w:ind w:left="120" w:right="220"/>
        <w:spacing w:after="0" w:line="235" w:lineRule="auto"/>
        <w:rPr>
          <w:sz w:val="20"/>
          <w:szCs w:val="20"/>
          <w:color w:val="auto"/>
        </w:rPr>
      </w:pPr>
      <w:r>
        <w:rPr>
          <w:rFonts w:ascii="Arial" w:cs="Arial" w:eastAsia="Arial" w:hAnsi="Arial"/>
          <w:sz w:val="18"/>
          <w:szCs w:val="18"/>
          <w:color w:val="auto"/>
        </w:rPr>
        <w:t>Equity-classified stock-based compensation</w:t>
      </w:r>
    </w:p>
    <w:p>
      <w:pPr>
        <w:ind w:left="120" w:right="700"/>
        <w:spacing w:after="0" w:line="248" w:lineRule="auto"/>
        <w:rPr>
          <w:sz w:val="20"/>
          <w:szCs w:val="20"/>
          <w:color w:val="auto"/>
        </w:rPr>
      </w:pPr>
      <w:r>
        <w:rPr>
          <w:rFonts w:ascii="Arial" w:cs="Arial" w:eastAsia="Arial" w:hAnsi="Arial"/>
          <w:sz w:val="17"/>
          <w:szCs w:val="17"/>
          <w:color w:val="auto"/>
        </w:rPr>
        <w:t>Vesting of stock-based compensation</w:t>
      </w:r>
    </w:p>
    <w:p>
      <w:pPr>
        <w:spacing w:after="0" w:line="1" w:lineRule="exact"/>
        <w:rPr>
          <w:sz w:val="20"/>
          <w:szCs w:val="20"/>
          <w:color w:val="auto"/>
        </w:rPr>
      </w:pPr>
    </w:p>
    <w:p>
      <w:pPr>
        <w:ind w:left="120"/>
        <w:spacing w:after="0" w:line="248" w:lineRule="auto"/>
        <w:rPr>
          <w:sz w:val="20"/>
          <w:szCs w:val="20"/>
          <w:color w:val="auto"/>
        </w:rPr>
      </w:pPr>
      <w:r>
        <w:rPr>
          <w:rFonts w:ascii="Arial" w:cs="Arial" w:eastAsia="Arial" w:hAnsi="Arial"/>
          <w:sz w:val="17"/>
          <w:szCs w:val="17"/>
          <w:color w:val="auto"/>
        </w:rPr>
        <w:t>Net income (loss) attributable to common stockholders</w:t>
      </w:r>
    </w:p>
    <w:p>
      <w:pPr>
        <w:spacing w:after="0" w:line="1" w:lineRule="exact"/>
        <w:rPr>
          <w:sz w:val="20"/>
          <w:szCs w:val="20"/>
          <w:color w:val="auto"/>
        </w:rPr>
      </w:pPr>
    </w:p>
    <w:p>
      <w:pPr>
        <w:ind w:left="120" w:right="720"/>
        <w:spacing w:after="0" w:line="234" w:lineRule="auto"/>
        <w:rPr>
          <w:sz w:val="20"/>
          <w:szCs w:val="20"/>
          <w:color w:val="auto"/>
        </w:rPr>
      </w:pPr>
      <w:r>
        <w:rPr>
          <w:rFonts w:ascii="Arial" w:cs="Arial" w:eastAsia="Arial" w:hAnsi="Arial"/>
          <w:sz w:val="18"/>
          <w:szCs w:val="18"/>
          <w:color w:val="auto"/>
        </w:rPr>
        <w:t>Redemption of NCI in subsidiary</w:t>
      </w:r>
    </w:p>
    <w:p>
      <w:pPr>
        <w:spacing w:after="0" w:line="1" w:lineRule="exact"/>
        <w:rPr>
          <w:sz w:val="20"/>
          <w:szCs w:val="20"/>
          <w:color w:val="auto"/>
        </w:rPr>
      </w:pPr>
    </w:p>
    <w:p>
      <w:pPr>
        <w:ind w:left="120" w:right="20"/>
        <w:spacing w:after="0" w:line="281" w:lineRule="auto"/>
        <w:rPr>
          <w:sz w:val="20"/>
          <w:szCs w:val="20"/>
          <w:color w:val="auto"/>
        </w:rPr>
      </w:pPr>
      <w:r>
        <w:rPr>
          <w:rFonts w:ascii="Arial" w:cs="Arial" w:eastAsia="Arial" w:hAnsi="Arial"/>
          <w:sz w:val="15"/>
          <w:szCs w:val="15"/>
          <w:color w:val="auto"/>
        </w:rPr>
        <w:t>Earnings attributable to redeemable and redeemed NCIs</w:t>
      </w:r>
    </w:p>
    <w:p>
      <w:pPr>
        <w:spacing w:after="0" w:line="1" w:lineRule="exact"/>
        <w:rPr>
          <w:sz w:val="20"/>
          <w:szCs w:val="20"/>
          <w:color w:val="auto"/>
        </w:rPr>
      </w:pPr>
    </w:p>
    <w:p>
      <w:pPr>
        <w:ind w:left="120" w:right="20"/>
        <w:spacing w:after="0" w:line="281" w:lineRule="auto"/>
        <w:rPr>
          <w:sz w:val="20"/>
          <w:szCs w:val="20"/>
          <w:color w:val="auto"/>
        </w:rPr>
      </w:pPr>
      <w:r>
        <w:rPr>
          <w:rFonts w:ascii="Arial" w:cs="Arial" w:eastAsia="Arial" w:hAnsi="Arial"/>
          <w:sz w:val="15"/>
          <w:szCs w:val="15"/>
          <w:color w:val="auto"/>
        </w:rPr>
        <w:t>Earnings distributed to redeemable and redeemed NCIs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2020</w:t>
      </w:r>
    </w:p>
    <w:p>
      <w:pPr>
        <w:spacing w:after="0" w:line="35" w:lineRule="exact"/>
        <w:rPr>
          <w:sz w:val="20"/>
          <w:szCs w:val="20"/>
          <w:color w:val="auto"/>
        </w:rPr>
      </w:pPr>
    </w:p>
    <w:p>
      <w:pPr>
        <w:ind w:left="120" w:right="220"/>
        <w:spacing w:after="0" w:line="235" w:lineRule="auto"/>
        <w:rPr>
          <w:sz w:val="20"/>
          <w:szCs w:val="20"/>
          <w:color w:val="auto"/>
        </w:rPr>
      </w:pPr>
      <w:r>
        <w:rPr>
          <w:rFonts w:ascii="Arial" w:cs="Arial" w:eastAsia="Arial" w:hAnsi="Arial"/>
          <w:sz w:val="18"/>
          <w:szCs w:val="18"/>
          <w:color w:val="auto"/>
        </w:rPr>
        <w:t>Equity-classified stock-based compensation</w:t>
      </w:r>
    </w:p>
    <w:p>
      <w:pPr>
        <w:ind w:left="120" w:right="700"/>
        <w:spacing w:after="0" w:line="248" w:lineRule="auto"/>
        <w:rPr>
          <w:sz w:val="20"/>
          <w:szCs w:val="20"/>
          <w:color w:val="auto"/>
        </w:rPr>
      </w:pPr>
      <w:r>
        <w:rPr>
          <w:rFonts w:ascii="Arial" w:cs="Arial" w:eastAsia="Arial" w:hAnsi="Arial"/>
          <w:sz w:val="17"/>
          <w:szCs w:val="17"/>
          <w:color w:val="auto"/>
        </w:rPr>
        <w:t>Vesting of stock-based compensation</w:t>
      </w:r>
    </w:p>
    <w:p>
      <w:pPr>
        <w:spacing w:after="0" w:line="1" w:lineRule="exact"/>
        <w:rPr>
          <w:sz w:val="20"/>
          <w:szCs w:val="20"/>
          <w:color w:val="auto"/>
        </w:rPr>
      </w:pPr>
    </w:p>
    <w:p>
      <w:pPr>
        <w:ind w:left="120" w:right="80"/>
        <w:spacing w:after="0" w:line="237" w:lineRule="auto"/>
        <w:rPr>
          <w:sz w:val="20"/>
          <w:szCs w:val="20"/>
          <w:color w:val="auto"/>
        </w:rPr>
      </w:pPr>
      <w:r>
        <w:rPr>
          <w:rFonts w:ascii="Arial" w:cs="Arial" w:eastAsia="Arial" w:hAnsi="Arial"/>
          <w:sz w:val="17"/>
          <w:szCs w:val="17"/>
          <w:color w:val="auto"/>
        </w:rPr>
        <w:t>Liability-classified stock-based compensation converted to equity-classified</w:t>
      </w:r>
    </w:p>
    <w:p>
      <w:pPr>
        <w:spacing w:after="0" w:line="1" w:lineRule="exact"/>
        <w:rPr>
          <w:sz w:val="20"/>
          <w:szCs w:val="20"/>
          <w:color w:val="auto"/>
        </w:rPr>
      </w:pPr>
    </w:p>
    <w:p>
      <w:pPr>
        <w:ind w:left="120" w:right="420"/>
        <w:spacing w:after="0" w:line="299" w:lineRule="auto"/>
        <w:rPr>
          <w:sz w:val="20"/>
          <w:szCs w:val="20"/>
          <w:color w:val="auto"/>
        </w:rPr>
      </w:pPr>
      <w:r>
        <w:rPr>
          <w:rFonts w:ascii="Arial" w:cs="Arial" w:eastAsia="Arial" w:hAnsi="Arial"/>
          <w:sz w:val="16"/>
          <w:szCs w:val="16"/>
          <w:color w:val="auto"/>
        </w:rPr>
        <w:t>Issuance of common stock Exercise of stock options</w:t>
      </w:r>
    </w:p>
    <w:p>
      <w:pPr>
        <w:spacing w:after="0" w:line="1" w:lineRule="exact"/>
        <w:rPr>
          <w:sz w:val="20"/>
          <w:szCs w:val="20"/>
          <w:color w:val="auto"/>
        </w:rPr>
      </w:pPr>
    </w:p>
    <w:p>
      <w:pPr>
        <w:ind w:left="120" w:right="340"/>
        <w:spacing w:after="0" w:line="252" w:lineRule="auto"/>
        <w:rPr>
          <w:sz w:val="20"/>
          <w:szCs w:val="20"/>
          <w:color w:val="auto"/>
        </w:rPr>
      </w:pPr>
      <w:r>
        <w:rPr>
          <w:rFonts w:ascii="Arial" w:cs="Arial" w:eastAsia="Arial" w:hAnsi="Arial"/>
          <w:sz w:val="16"/>
          <w:szCs w:val="16"/>
          <w:color w:val="auto"/>
        </w:rPr>
        <w:t>Fair value of NCI preferred units redemption, net of deferred tax benefit</w:t>
      </w:r>
    </w:p>
    <w:p>
      <w:pPr>
        <w:spacing w:after="0" w:line="1" w:lineRule="exact"/>
        <w:rPr>
          <w:sz w:val="20"/>
          <w:szCs w:val="20"/>
          <w:color w:val="auto"/>
        </w:rPr>
      </w:pPr>
    </w:p>
    <w:p>
      <w:pPr>
        <w:ind w:left="120" w:right="240"/>
        <w:spacing w:after="0" w:line="264" w:lineRule="auto"/>
        <w:rPr>
          <w:sz w:val="20"/>
          <w:szCs w:val="20"/>
          <w:color w:val="auto"/>
        </w:rPr>
      </w:pPr>
      <w:r>
        <w:rPr>
          <w:rFonts w:ascii="Arial" w:cs="Arial" w:eastAsia="Arial" w:hAnsi="Arial"/>
          <w:sz w:val="16"/>
          <w:szCs w:val="16"/>
          <w:color w:val="auto"/>
        </w:rPr>
        <w:t>Fair value of common shares issued for NCI redemption</w:t>
      </w:r>
    </w:p>
    <w:p>
      <w:pPr>
        <w:ind w:left="120" w:right="220"/>
        <w:spacing w:after="0" w:line="234" w:lineRule="auto"/>
        <w:rPr>
          <w:sz w:val="20"/>
          <w:szCs w:val="20"/>
          <w:color w:val="auto"/>
        </w:rPr>
      </w:pPr>
      <w:r>
        <w:rPr>
          <w:rFonts w:ascii="Arial" w:cs="Arial" w:eastAsia="Arial" w:hAnsi="Arial"/>
          <w:sz w:val="18"/>
          <w:szCs w:val="18"/>
          <w:color w:val="auto"/>
        </w:rPr>
        <w:t>Share repurchases and shares withheld for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67,038</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67</w:t>
            </w:r>
          </w:p>
        </w:tc>
        <w:tc>
          <w:tcPr>
            <w:tcW w:w="80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 $</w:t>
            </w:r>
          </w:p>
        </w:tc>
        <w:tc>
          <w:tcPr>
            <w:tcW w:w="960" w:type="dxa"/>
            <w:vAlign w:val="bottom"/>
            <w:tcBorders>
              <w:top w:val="single" w:sz="8" w:color="auto"/>
            </w:tcBorders>
            <w:gridSpan w:val="2"/>
          </w:tcPr>
          <w:p>
            <w:pPr>
              <w:ind w:left="400"/>
              <w:spacing w:after="0"/>
              <w:rPr>
                <w:sz w:val="20"/>
                <w:szCs w:val="20"/>
                <w:color w:val="auto"/>
              </w:rPr>
            </w:pPr>
            <w:r>
              <w:rPr>
                <w:rFonts w:ascii="Arial" w:cs="Arial" w:eastAsia="Arial" w:hAnsi="Arial"/>
                <w:sz w:val="18"/>
                <w:szCs w:val="18"/>
                <w:color w:val="auto"/>
              </w:rPr>
              <w:t>— $</w:t>
            </w:r>
          </w:p>
        </w:tc>
        <w:tc>
          <w:tcPr>
            <w:tcW w:w="108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 $</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(94,085)</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(94,018)</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 $</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(94,018)</w:t>
            </w:r>
          </w:p>
        </w:tc>
      </w:tr>
      <w:tr>
        <w:trPr>
          <w:trHeight w:val="309"/>
        </w:trPr>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3,652</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3,652</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3,652</w:t>
            </w:r>
          </w:p>
        </w:tc>
      </w:tr>
      <w:tr>
        <w:trPr>
          <w:trHeight w:val="405"/>
        </w:trPr>
        <w:tc>
          <w:tcPr>
            <w:tcW w:w="78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4"/>
                <w:szCs w:val="24"/>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3"/>
        </w:trPr>
        <w:tc>
          <w:tcPr>
            <w:tcW w:w="780" w:type="dxa"/>
            <w:vAlign w:val="bottom"/>
          </w:tcPr>
          <w:p>
            <w:pPr>
              <w:jc w:val="right"/>
              <w:spacing w:after="0"/>
              <w:rPr>
                <w:sz w:val="20"/>
                <w:szCs w:val="20"/>
                <w:color w:val="auto"/>
              </w:rPr>
            </w:pPr>
            <w:r>
              <w:rPr>
                <w:rFonts w:ascii="Arial" w:cs="Arial" w:eastAsia="Arial" w:hAnsi="Arial"/>
                <w:sz w:val="18"/>
                <w:szCs w:val="18"/>
                <w:color w:val="auto"/>
              </w:rPr>
              <w:t>420</w:t>
            </w:r>
          </w:p>
        </w:tc>
        <w:tc>
          <w:tcPr>
            <w:tcW w:w="220" w:type="dxa"/>
            <w:vAlign w:val="bottom"/>
          </w:tcPr>
          <w:p>
            <w:pPr>
              <w:spacing w:after="0"/>
              <w:rPr>
                <w:sz w:val="24"/>
                <w:szCs w:val="24"/>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 w:type="dxa"/>
            <w:vAlign w:val="bottom"/>
          </w:tcPr>
          <w:p>
            <w:pPr>
              <w:jc w:val="right"/>
              <w:spacing w:after="0"/>
              <w:rPr>
                <w:sz w:val="20"/>
                <w:szCs w:val="20"/>
                <w:color w:val="auto"/>
              </w:rPr>
            </w:pPr>
            <w:r>
              <w:rPr>
                <w:rFonts w:ascii="Arial" w:cs="Arial" w:eastAsia="Arial" w:hAnsi="Arial"/>
                <w:sz w:val="18"/>
                <w:szCs w:val="18"/>
                <w:color w:val="auto"/>
              </w:rPr>
              <w:t>(451)</w:t>
            </w:r>
          </w:p>
        </w:tc>
        <w:tc>
          <w:tcPr>
            <w:tcW w:w="220" w:type="dxa"/>
            <w:vAlign w:val="bottom"/>
          </w:tcPr>
          <w:p>
            <w:pPr>
              <w:spacing w:after="0"/>
              <w:rPr>
                <w:sz w:val="20"/>
                <w:szCs w:val="20"/>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451</w:t>
            </w:r>
          </w:p>
        </w:tc>
        <w:tc>
          <w:tcPr>
            <w:tcW w:w="240" w:type="dxa"/>
            <w:vAlign w:val="bottom"/>
          </w:tcPr>
          <w:p>
            <w:pPr>
              <w:spacing w:after="0"/>
              <w:rPr>
                <w:sz w:val="20"/>
                <w:szCs w:val="20"/>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w w:val="94"/>
              </w:rPr>
              <w:t>(2,388)</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(2,388)</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(2,388)</w:t>
            </w:r>
          </w:p>
        </w:tc>
      </w:tr>
      <w:tr>
        <w:trPr>
          <w:trHeight w:val="310"/>
        </w:trPr>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(33,589)</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(33,589)</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(33,589)</w:t>
            </w:r>
          </w:p>
        </w:tc>
      </w:tr>
      <w:tr>
        <w:trPr>
          <w:trHeight w:val="324"/>
        </w:trPr>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5,654</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5,654</w:t>
            </w:r>
          </w:p>
        </w:tc>
      </w:tr>
      <w:tr>
        <w:trPr>
          <w:trHeight w:val="224"/>
        </w:trPr>
        <w:tc>
          <w:tcPr>
            <w:tcW w:w="780" w:type="dxa"/>
            <w:vAlign w:val="bottom"/>
          </w:tcPr>
          <w:p>
            <w:pPr>
              <w:jc w:val="right"/>
              <w:spacing w:after="0"/>
              <w:rPr>
                <w:sz w:val="20"/>
                <w:szCs w:val="20"/>
                <w:color w:val="auto"/>
              </w:rPr>
            </w:pPr>
            <w:r>
              <w:rPr>
                <w:rFonts w:ascii="Arial" w:cs="Arial" w:eastAsia="Arial" w:hAnsi="Arial"/>
                <w:sz w:val="18"/>
                <w:szCs w:val="18"/>
                <w:color w:val="auto"/>
              </w:rPr>
              <w:t>67,061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68</w:t>
            </w:r>
          </w:p>
        </w:tc>
        <w:tc>
          <w:tcPr>
            <w:tcW w:w="560" w:type="dxa"/>
            <w:vAlign w:val="bottom"/>
          </w:tcPr>
          <w:p>
            <w:pPr>
              <w:jc w:val="right"/>
              <w:spacing w:after="0"/>
              <w:rPr>
                <w:sz w:val="20"/>
                <w:szCs w:val="20"/>
                <w:color w:val="auto"/>
              </w:rPr>
            </w:pPr>
            <w:r>
              <w:rPr>
                <w:rFonts w:ascii="Arial" w:cs="Arial" w:eastAsia="Arial" w:hAnsi="Arial"/>
                <w:sz w:val="18"/>
                <w:szCs w:val="18"/>
                <w:color w:val="auto"/>
              </w:rPr>
              <w:t>451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Pr>
          <w:p>
            <w:pPr>
              <w:ind w:left="100"/>
              <w:spacing w:after="0"/>
              <w:rPr>
                <w:sz w:val="20"/>
                <w:szCs w:val="20"/>
                <w:color w:val="auto"/>
              </w:rPr>
            </w:pPr>
            <w:r>
              <w:rPr>
                <w:rFonts w:ascii="Arial" w:cs="Arial" w:eastAsia="Arial" w:hAnsi="Arial"/>
                <w:sz w:val="18"/>
                <w:szCs w:val="18"/>
                <w:color w:val="auto"/>
                <w:w w:val="94"/>
              </w:rPr>
              <w:t>(2,388)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3,651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(127,674)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(126,343)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5,654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(120,689)</w:t>
            </w:r>
          </w:p>
        </w:tc>
      </w:tr>
      <w:tr>
        <w:trPr>
          <w:trHeight w:val="310"/>
        </w:trPr>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2,118</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2,118</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2,118</w:t>
            </w:r>
          </w:p>
        </w:tc>
      </w:tr>
      <w:tr>
        <w:trPr>
          <w:trHeight w:val="405"/>
        </w:trPr>
        <w:tc>
          <w:tcPr>
            <w:tcW w:w="780" w:type="dxa"/>
            <w:vAlign w:val="bottom"/>
          </w:tcPr>
          <w:p>
            <w:pPr>
              <w:jc w:val="right"/>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24"/>
                <w:szCs w:val="24"/>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5"/>
        </w:trPr>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25,661</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25,661</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25,661</w:t>
            </w:r>
          </w:p>
        </w:tc>
      </w:tr>
      <w:tr>
        <w:trPr>
          <w:trHeight w:val="405"/>
        </w:trPr>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(5,654)</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(5,654)</w:t>
            </w:r>
          </w:p>
        </w:tc>
      </w:tr>
      <w:tr>
        <w:trPr>
          <w:trHeight w:val="405"/>
        </w:trPr>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45,398</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45,398</w:t>
            </w:r>
          </w:p>
        </w:tc>
      </w:tr>
      <w:tr>
        <w:trPr>
          <w:trHeight w:val="405"/>
        </w:trPr>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(45,398)</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(45,398)</w:t>
            </w:r>
          </w:p>
        </w:tc>
      </w:tr>
      <w:tr>
        <w:trPr>
          <w:trHeight w:val="94"/>
        </w:trPr>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r>
        <w:trPr>
          <w:trHeight w:val="224"/>
        </w:trPr>
        <w:tc>
          <w:tcPr>
            <w:tcW w:w="780" w:type="dxa"/>
            <w:vAlign w:val="bottom"/>
          </w:tcPr>
          <w:p>
            <w:pPr>
              <w:jc w:val="right"/>
              <w:spacing w:after="0"/>
              <w:rPr>
                <w:sz w:val="20"/>
                <w:szCs w:val="20"/>
                <w:color w:val="auto"/>
              </w:rPr>
            </w:pPr>
            <w:r>
              <w:rPr>
                <w:rFonts w:ascii="Arial" w:cs="Arial" w:eastAsia="Arial" w:hAnsi="Arial"/>
                <w:sz w:val="18"/>
                <w:szCs w:val="18"/>
                <w:color w:val="auto"/>
              </w:rPr>
              <w:t>67,391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68</w:t>
            </w:r>
          </w:p>
        </w:tc>
        <w:tc>
          <w:tcPr>
            <w:tcW w:w="560" w:type="dxa"/>
            <w:vAlign w:val="bottom"/>
          </w:tcPr>
          <w:p>
            <w:pPr>
              <w:jc w:val="right"/>
              <w:spacing w:after="0"/>
              <w:rPr>
                <w:sz w:val="20"/>
                <w:szCs w:val="20"/>
                <w:color w:val="auto"/>
              </w:rPr>
            </w:pPr>
            <w:r>
              <w:rPr>
                <w:rFonts w:ascii="Arial" w:cs="Arial" w:eastAsia="Arial" w:hAnsi="Arial"/>
                <w:sz w:val="18"/>
                <w:szCs w:val="18"/>
                <w:color w:val="auto"/>
              </w:rPr>
              <w:t>451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Pr>
          <w:p>
            <w:pPr>
              <w:ind w:left="100"/>
              <w:spacing w:after="0"/>
              <w:rPr>
                <w:sz w:val="20"/>
                <w:szCs w:val="20"/>
                <w:color w:val="auto"/>
              </w:rPr>
            </w:pPr>
            <w:r>
              <w:rPr>
                <w:rFonts w:ascii="Arial" w:cs="Arial" w:eastAsia="Arial" w:hAnsi="Arial"/>
                <w:sz w:val="18"/>
                <w:szCs w:val="18"/>
                <w:color w:val="auto"/>
                <w:w w:val="94"/>
              </w:rPr>
              <w:t>(2,388)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5,769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(102,013)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(98,564)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 $</w:t>
            </w:r>
          </w:p>
        </w:tc>
        <w:tc>
          <w:tcPr>
            <w:tcW w:w="900" w:type="dxa"/>
            <w:vAlign w:val="bottom"/>
          </w:tcPr>
          <w:p>
            <w:pPr>
              <w:jc w:val="right"/>
              <w:spacing w:after="0"/>
              <w:rPr>
                <w:sz w:val="20"/>
                <w:szCs w:val="20"/>
                <w:color w:val="auto"/>
              </w:rPr>
            </w:pPr>
            <w:r>
              <w:rPr>
                <w:rFonts w:ascii="Arial" w:cs="Arial" w:eastAsia="Arial" w:hAnsi="Arial"/>
                <w:sz w:val="18"/>
                <w:szCs w:val="18"/>
                <w:color w:val="auto"/>
              </w:rPr>
              <w:t>(98,564)</w:t>
            </w:r>
          </w:p>
        </w:tc>
      </w:tr>
      <w:tr>
        <w:trPr>
          <w:trHeight w:val="310"/>
        </w:trPr>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2,888</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2,888</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2,888</w:t>
            </w:r>
          </w:p>
        </w:tc>
      </w:tr>
      <w:tr>
        <w:trPr>
          <w:trHeight w:val="405"/>
        </w:trPr>
        <w:tc>
          <w:tcPr>
            <w:tcW w:w="780" w:type="dxa"/>
            <w:vAlign w:val="bottom"/>
          </w:tcPr>
          <w:p>
            <w:pPr>
              <w:jc w:val="right"/>
              <w:spacing w:after="0"/>
              <w:rPr>
                <w:sz w:val="20"/>
                <w:szCs w:val="20"/>
                <w:color w:val="auto"/>
              </w:rPr>
            </w:pPr>
            <w:r>
              <w:rPr>
                <w:rFonts w:ascii="Arial" w:cs="Arial" w:eastAsia="Arial" w:hAnsi="Arial"/>
                <w:sz w:val="18"/>
                <w:szCs w:val="18"/>
                <w:color w:val="auto"/>
              </w:rPr>
              <w:t>465</w:t>
            </w:r>
          </w:p>
        </w:tc>
        <w:tc>
          <w:tcPr>
            <w:tcW w:w="220" w:type="dxa"/>
            <w:vAlign w:val="bottom"/>
          </w:tcPr>
          <w:p>
            <w:pPr>
              <w:spacing w:after="0"/>
              <w:rPr>
                <w:sz w:val="24"/>
                <w:szCs w:val="24"/>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99"/>
        </w:trPr>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313</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404"/>
        </w:trPr>
        <w:tc>
          <w:tcPr>
            <w:tcW w:w="780" w:type="dxa"/>
            <w:vAlign w:val="bottom"/>
          </w:tcPr>
          <w:p>
            <w:pPr>
              <w:jc w:val="right"/>
              <w:spacing w:after="0"/>
              <w:rPr>
                <w:sz w:val="20"/>
                <w:szCs w:val="20"/>
                <w:color w:val="auto"/>
              </w:rPr>
            </w:pPr>
            <w:r>
              <w:rPr>
                <w:rFonts w:ascii="Arial" w:cs="Arial" w:eastAsia="Arial" w:hAnsi="Arial"/>
                <w:sz w:val="18"/>
                <w:szCs w:val="18"/>
                <w:color w:val="auto"/>
              </w:rPr>
              <w:t>7,551</w:t>
            </w:r>
          </w:p>
        </w:tc>
        <w:tc>
          <w:tcPr>
            <w:tcW w:w="220" w:type="dxa"/>
            <w:vAlign w:val="bottom"/>
          </w:tcPr>
          <w:p>
            <w:pPr>
              <w:spacing w:after="0"/>
              <w:rPr>
                <w:sz w:val="24"/>
                <w:szCs w:val="24"/>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34,381</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34,388</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34,388</w:t>
            </w:r>
          </w:p>
        </w:tc>
      </w:tr>
      <w:tr>
        <w:trPr>
          <w:trHeight w:val="230"/>
        </w:trPr>
        <w:tc>
          <w:tcPr>
            <w:tcW w:w="780" w:type="dxa"/>
            <w:vAlign w:val="bottom"/>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20"/>
                <w:szCs w:val="20"/>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1,195</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1,195</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1,195</w:t>
            </w:r>
          </w:p>
        </w:tc>
      </w:tr>
      <w:tr>
        <w:trPr>
          <w:trHeight w:val="405"/>
        </w:trPr>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(8,021)</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(8,021)</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(8,021)</w:t>
            </w:r>
          </w:p>
        </w:tc>
      </w:tr>
      <w:tr>
        <w:trPr>
          <w:trHeight w:val="486"/>
        </w:trPr>
        <w:tc>
          <w:tcPr>
            <w:tcW w:w="780" w:type="dxa"/>
            <w:vAlign w:val="bottom"/>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Pr>
          <w:p>
            <w:pPr>
              <w:spacing w:after="0"/>
              <w:rPr>
                <w:sz w:val="24"/>
                <w:szCs w:val="24"/>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9,962</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9,964</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9,964</w:t>
            </w:r>
          </w:p>
        </w:tc>
      </w:tr>
      <w:tr>
        <w:trPr>
          <w:trHeight w:val="405"/>
        </w:trPr>
        <w:tc>
          <w:tcPr>
            <w:tcW w:w="780" w:type="dxa"/>
            <w:vAlign w:val="bottom"/>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24"/>
                <w:szCs w:val="24"/>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269</w:t>
            </w:r>
          </w:p>
        </w:tc>
        <w:tc>
          <w:tcPr>
            <w:tcW w:w="24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w w:val="94"/>
              </w:rPr>
              <w:t>(1,703)</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(1,703)</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-5211445</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-4799965</wp:posOffset>
            </wp:positionV>
            <wp:extent cx="7132320" cy="2571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-4396740</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-3994150</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-3693795</wp:posOffset>
            </wp:positionV>
            <wp:extent cx="7132320" cy="257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-3179445</wp:posOffset>
            </wp:positionV>
            <wp:extent cx="7132320" cy="2571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-2665095</wp:posOffset>
            </wp:positionV>
            <wp:extent cx="7132320" cy="2571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-2150745</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-1739265</wp:posOffset>
            </wp:positionV>
            <wp:extent cx="7132320" cy="2571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-1113790</wp:posOffset>
            </wp:positionV>
            <wp:extent cx="71323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-822325</wp:posOffset>
            </wp:positionV>
            <wp:extent cx="7132320" cy="3683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36830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-196215</wp:posOffset>
            </wp:positionV>
            <wp:extent cx="7132320" cy="2571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2440" w:space="40"/>
            <w:col w:w="8740"/>
          </w:cols>
          <w:pgMar w:left="340" w:top="14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7" w:right="339" w:bottom="1440" w:gutter="0" w:footer="0" w:header="0"/>
          <w:type w:val="continuous"/>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Warrants issued</w:t>
      </w:r>
    </w:p>
    <w:p>
      <w:pPr>
        <w:spacing w:after="0" w:line="36"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Dividends on redeemable senior preferred stock</w:t>
      </w:r>
    </w:p>
    <w:p>
      <w:pPr>
        <w:ind w:left="120" w:right="60"/>
        <w:spacing w:after="0" w:line="234" w:lineRule="auto"/>
        <w:rPr>
          <w:sz w:val="20"/>
          <w:szCs w:val="20"/>
          <w:color w:val="auto"/>
        </w:rPr>
      </w:pPr>
      <w:r>
        <w:rPr>
          <w:rFonts w:ascii="Arial" w:cs="Arial" w:eastAsia="Arial" w:hAnsi="Arial"/>
          <w:sz w:val="18"/>
          <w:szCs w:val="18"/>
          <w:color w:val="auto"/>
        </w:rPr>
        <w:t>Accretion of redeemable senior preferred stock</w:t>
      </w:r>
    </w:p>
    <w:p>
      <w:pPr>
        <w:spacing w:after="0" w:line="1" w:lineRule="exact"/>
        <w:rPr>
          <w:sz w:val="20"/>
          <w:szCs w:val="20"/>
          <w:color w:val="auto"/>
        </w:rPr>
      </w:pPr>
    </w:p>
    <w:p>
      <w:pPr>
        <w:ind w:left="120" w:right="80"/>
        <w:spacing w:after="0" w:line="234" w:lineRule="auto"/>
        <w:rPr>
          <w:sz w:val="20"/>
          <w:szCs w:val="20"/>
          <w:color w:val="auto"/>
        </w:rPr>
      </w:pPr>
      <w:r>
        <w:rPr>
          <w:rFonts w:ascii="Arial" w:cs="Arial" w:eastAsia="Arial" w:hAnsi="Arial"/>
          <w:sz w:val="18"/>
          <w:szCs w:val="18"/>
          <w:color w:val="auto"/>
        </w:rPr>
        <w:t>Change in estimate of tax basis differences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income (loss)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Treasury</w:t>
            </w:r>
          </w:p>
        </w:tc>
        <w:tc>
          <w:tcPr>
            <w:tcW w:w="120" w:type="dxa"/>
            <w:vAlign w:val="bottom"/>
          </w:tcPr>
          <w:p>
            <w:pPr>
              <w:spacing w:after="0"/>
              <w:rPr>
                <w:sz w:val="16"/>
                <w:szCs w:val="16"/>
                <w:color w:val="auto"/>
              </w:rPr>
            </w:pPr>
          </w:p>
        </w:tc>
        <w:tc>
          <w:tcPr>
            <w:tcW w:w="920" w:type="dxa"/>
            <w:vAlign w:val="bottom"/>
            <w:vMerge w:val="restart"/>
          </w:tcPr>
          <w:p>
            <w:pPr>
              <w:jc w:val="right"/>
              <w:ind w:right="53"/>
              <w:spacing w:after="0"/>
              <w:rPr>
                <w:sz w:val="20"/>
                <w:szCs w:val="20"/>
                <w:color w:val="auto"/>
              </w:rPr>
            </w:pPr>
            <w:r>
              <w:rPr>
                <w:rFonts w:ascii="Arial" w:cs="Arial" w:eastAsia="Arial" w:hAnsi="Arial"/>
                <w:sz w:val="16"/>
                <w:szCs w:val="16"/>
                <w:b w:val="1"/>
                <w:bCs w:val="1"/>
                <w:color w:val="auto"/>
                <w:w w:val="97"/>
              </w:rPr>
              <w:t>Additional</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restart"/>
          </w:tcPr>
          <w:p>
            <w:pPr>
              <w:jc w:val="center"/>
              <w:ind w:right="33"/>
              <w:spacing w:after="0"/>
              <w:rPr>
                <w:sz w:val="20"/>
                <w:szCs w:val="20"/>
                <w:color w:val="auto"/>
              </w:rPr>
            </w:pPr>
            <w:r>
              <w:rPr>
                <w:rFonts w:ascii="Arial" w:cs="Arial" w:eastAsia="Arial" w:hAnsi="Arial"/>
                <w:sz w:val="16"/>
                <w:szCs w:val="16"/>
                <w:b w:val="1"/>
                <w:bCs w:val="1"/>
                <w:color w:val="auto"/>
                <w:w w:val="93"/>
              </w:rPr>
              <w:t>Deficit</w:t>
            </w: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40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Common Stock</w:t>
            </w:r>
          </w:p>
        </w:tc>
        <w:tc>
          <w:tcPr>
            <w:tcW w:w="1000" w:type="dxa"/>
            <w:vAlign w:val="bottom"/>
            <w:gridSpan w:val="2"/>
            <w:vMerge w:val="restart"/>
          </w:tcPr>
          <w:p>
            <w:pPr>
              <w:jc w:val="center"/>
              <w:ind w:left="453"/>
              <w:spacing w:after="0"/>
              <w:rPr>
                <w:sz w:val="20"/>
                <w:szCs w:val="20"/>
                <w:color w:val="auto"/>
              </w:rPr>
            </w:pPr>
            <w:r>
              <w:rPr>
                <w:rFonts w:ascii="Arial" w:cs="Arial" w:eastAsia="Arial" w:hAnsi="Arial"/>
                <w:sz w:val="16"/>
                <w:szCs w:val="16"/>
                <w:b w:val="1"/>
                <w:bCs w:val="1"/>
                <w:color w:val="auto"/>
                <w:w w:val="87"/>
              </w:rPr>
              <w:t>Stock</w:t>
            </w: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400" w:type="dxa"/>
            <w:vAlign w:val="bottom"/>
            <w:tcBorders>
              <w:bottom w:val="single" w:sz="8" w:color="auto"/>
            </w:tcBorders>
            <w:gridSpan w:val="3"/>
            <w:vMerge w:val="continue"/>
          </w:tcPr>
          <w:p>
            <w:pPr>
              <w:spacing w:after="0"/>
              <w:rPr>
                <w:sz w:val="12"/>
                <w:szCs w:val="12"/>
                <w:color w:val="auto"/>
              </w:rPr>
            </w:pPr>
          </w:p>
        </w:tc>
        <w:tc>
          <w:tcPr>
            <w:tcW w:w="1000" w:type="dxa"/>
            <w:vAlign w:val="bottom"/>
            <w:tcBorders>
              <w:bottom w:val="single" w:sz="8" w:color="auto"/>
            </w:tcBorders>
            <w:gridSpan w:val="2"/>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173"/>
              <w:spacing w:after="0" w:line="142" w:lineRule="exact"/>
              <w:rPr>
                <w:sz w:val="20"/>
                <w:szCs w:val="20"/>
                <w:color w:val="auto"/>
              </w:rPr>
            </w:pPr>
            <w:r>
              <w:rPr>
                <w:rFonts w:ascii="Arial" w:cs="Arial" w:eastAsia="Arial" w:hAnsi="Arial"/>
                <w:sz w:val="16"/>
                <w:szCs w:val="16"/>
                <w:b w:val="1"/>
                <w:bCs w:val="1"/>
                <w:color w:val="auto"/>
              </w:rPr>
              <w:t>Paid-In</w:t>
            </w:r>
          </w:p>
        </w:tc>
        <w:tc>
          <w:tcPr>
            <w:tcW w:w="160" w:type="dxa"/>
            <w:vAlign w:val="bottom"/>
          </w:tcPr>
          <w:p>
            <w:pPr>
              <w:spacing w:after="0"/>
              <w:rPr>
                <w:sz w:val="12"/>
                <w:szCs w:val="12"/>
                <w:color w:val="auto"/>
              </w:rPr>
            </w:pPr>
          </w:p>
        </w:tc>
        <w:tc>
          <w:tcPr>
            <w:tcW w:w="1140" w:type="dxa"/>
            <w:vAlign w:val="bottom"/>
          </w:tcPr>
          <w:p>
            <w:pPr>
              <w:jc w:val="right"/>
              <w:ind w:right="92"/>
              <w:spacing w:after="0" w:line="142" w:lineRule="exact"/>
              <w:rPr>
                <w:sz w:val="20"/>
                <w:szCs w:val="20"/>
                <w:color w:val="auto"/>
              </w:rPr>
            </w:pPr>
            <w:r>
              <w:rPr>
                <w:rFonts w:ascii="Arial" w:cs="Arial" w:eastAsia="Arial" w:hAnsi="Arial"/>
                <w:sz w:val="16"/>
                <w:szCs w:val="16"/>
                <w:b w:val="1"/>
                <w:bCs w:val="1"/>
                <w:color w:val="auto"/>
                <w:w w:val="93"/>
              </w:rPr>
              <w:t>Accumulated</w:t>
            </w:r>
          </w:p>
        </w:tc>
        <w:tc>
          <w:tcPr>
            <w:tcW w:w="120" w:type="dxa"/>
            <w:vAlign w:val="bottom"/>
          </w:tcPr>
          <w:p>
            <w:pPr>
              <w:spacing w:after="0"/>
              <w:rPr>
                <w:sz w:val="12"/>
                <w:szCs w:val="12"/>
                <w:color w:val="auto"/>
              </w:rPr>
            </w:pPr>
          </w:p>
        </w:tc>
        <w:tc>
          <w:tcPr>
            <w:tcW w:w="1140" w:type="dxa"/>
            <w:vAlign w:val="bottom"/>
          </w:tcPr>
          <w:p>
            <w:pPr>
              <w:jc w:val="center"/>
              <w:ind w:right="13"/>
              <w:spacing w:after="0" w:line="142" w:lineRule="exact"/>
              <w:rPr>
                <w:sz w:val="20"/>
                <w:szCs w:val="20"/>
                <w:color w:val="auto"/>
              </w:rPr>
            </w:pPr>
            <w:r>
              <w:rPr>
                <w:rFonts w:ascii="Arial" w:cs="Arial" w:eastAsia="Arial" w:hAnsi="Arial"/>
                <w:sz w:val="16"/>
                <w:szCs w:val="16"/>
                <w:b w:val="1"/>
                <w:bCs w:val="1"/>
                <w:color w:val="auto"/>
                <w:w w:val="95"/>
              </w:rPr>
              <w:t>Attributable to</w:t>
            </w: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Shares</w:t>
            </w:r>
          </w:p>
        </w:tc>
        <w:tc>
          <w:tcPr>
            <w:tcW w:w="2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Shares</w:t>
            </w:r>
          </w:p>
        </w:tc>
        <w:tc>
          <w:tcPr>
            <w:tcW w:w="3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Deficit</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88"/>
              </w:rPr>
              <w:t>Stockholders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NCIs</w:t>
            </w: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7"/>
        </w:trPr>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11,357</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11,357</w:t>
            </w:r>
          </w:p>
        </w:tc>
        <w:tc>
          <w:tcPr>
            <w:tcW w:w="7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11,357</w:t>
            </w:r>
          </w:p>
        </w:tc>
        <w:tc>
          <w:tcPr>
            <w:tcW w:w="0" w:type="dxa"/>
            <w:vAlign w:val="bottom"/>
          </w:tcPr>
          <w:p>
            <w:pPr>
              <w:spacing w:after="0"/>
              <w:rPr>
                <w:sz w:val="1"/>
                <w:szCs w:val="1"/>
                <w:color w:val="auto"/>
              </w:rPr>
            </w:pPr>
          </w:p>
        </w:tc>
      </w:tr>
      <w:tr>
        <w:trPr>
          <w:trHeight w:val="310"/>
        </w:trPr>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(16,164)</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(16,164)</w:t>
            </w:r>
          </w:p>
        </w:tc>
        <w:tc>
          <w:tcPr>
            <w:tcW w:w="70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(16,164)</w:t>
            </w:r>
          </w:p>
        </w:tc>
        <w:tc>
          <w:tcPr>
            <w:tcW w:w="0" w:type="dxa"/>
            <w:vAlign w:val="bottom"/>
          </w:tcPr>
          <w:p>
            <w:pPr>
              <w:spacing w:after="0"/>
              <w:rPr>
                <w:sz w:val="1"/>
                <w:szCs w:val="1"/>
                <w:color w:val="auto"/>
              </w:rPr>
            </w:pPr>
          </w:p>
        </w:tc>
      </w:tr>
      <w:tr>
        <w:trPr>
          <w:trHeight w:val="405"/>
        </w:trPr>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(1,845)</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(1,845)</w:t>
            </w:r>
          </w:p>
        </w:tc>
        <w:tc>
          <w:tcPr>
            <w:tcW w:w="70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405"/>
        </w:trPr>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566</w:t>
            </w:r>
          </w:p>
        </w:tc>
        <w:tc>
          <w:tcPr>
            <w:tcW w:w="70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324"/>
        </w:trPr>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23"/>
        </w:trPr>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77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(4,091)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39,835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(100,058)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(64,237)</w:t>
            </w:r>
          </w:p>
        </w:tc>
        <w:tc>
          <w:tcPr>
            <w:tcW w:w="70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(64,237)</w:t>
            </w:r>
          </w:p>
        </w:tc>
        <w:tc>
          <w:tcPr>
            <w:tcW w:w="0" w:type="dxa"/>
            <w:vAlign w:val="bottom"/>
          </w:tcPr>
          <w:p>
            <w:pPr>
              <w:spacing w:after="0"/>
              <w:rPr>
                <w:sz w:val="1"/>
                <w:szCs w:val="1"/>
                <w:color w:val="auto"/>
              </w:rPr>
            </w:pPr>
          </w:p>
        </w:tc>
      </w:tr>
      <w:tr>
        <w:trPr>
          <w:trHeight w:val="21"/>
        </w:trPr>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-1105535</wp:posOffset>
            </wp:positionV>
            <wp:extent cx="7132320" cy="2571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-591185</wp:posOffset>
            </wp:positionV>
            <wp:extent cx="7132320" cy="2571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-187960</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40"/>
            <w:col w:w="8740"/>
          </w:cols>
          <w:pgMar w:left="340" w:top="1440" w:right="339" w:bottom="1440" w:gutter="0" w:footer="0" w:header="0"/>
        </w:sectPr>
      </w:pPr>
    </w:p>
    <w:p>
      <w:pPr>
        <w:spacing w:after="0" w:line="366" w:lineRule="exact"/>
        <w:rPr>
          <w:sz w:val="20"/>
          <w:szCs w:val="20"/>
          <w:color w:val="auto"/>
        </w:rPr>
      </w:pPr>
    </w:p>
    <w:p>
      <w:pPr>
        <w:jc w:val="center"/>
        <w:spacing w:after="0"/>
        <w:rPr>
          <w:rFonts w:ascii="Arial" w:cs="Arial" w:eastAsia="Arial" w:hAnsi="Arial"/>
          <w:sz w:val="16"/>
          <w:szCs w:val="16"/>
          <w:color w:val="auto"/>
        </w:rPr>
      </w:pPr>
      <w:r>
        <w:rPr>
          <w:rFonts w:ascii="Arial" w:cs="Arial" w:eastAsia="Arial" w:hAnsi="Arial"/>
          <w:sz w:val="16"/>
          <w:szCs w:val="16"/>
          <w:color w:val="auto"/>
        </w:rPr>
        <w:t xml:space="preserve">See </w:t>
      </w:r>
      <w:hyperlink w:anchor="page49">
        <w:r>
          <w:rPr>
            <w:rFonts w:ascii="Arial" w:cs="Arial" w:eastAsia="Arial" w:hAnsi="Arial"/>
            <w:sz w:val="16"/>
            <w:szCs w:val="16"/>
            <w:color w:val="0000FF"/>
          </w:rPr>
          <w:t>Notes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Priority Technology Holdings, Inc</w:t>
      </w:r>
      <w:r>
        <w:rPr>
          <w:rFonts w:ascii="Arial" w:cs="Arial" w:eastAsia="Arial" w:hAnsi="Arial"/>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0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1,389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71,059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(33,589)</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Adjustments to reconcile net income (loss) to net cash provided by operating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020" w:type="dxa"/>
            <w:vAlign w:val="bottom"/>
          </w:tcPr>
          <w:p>
            <w:pPr>
              <w:ind w:left="240"/>
              <w:spacing w:after="0"/>
              <w:rPr>
                <w:sz w:val="20"/>
                <w:szCs w:val="20"/>
                <w:color w:val="auto"/>
              </w:rPr>
            </w:pPr>
            <w:r>
              <w:rPr>
                <w:rFonts w:ascii="Arial" w:cs="Arial" w:eastAsia="Arial" w:hAnsi="Arial"/>
                <w:sz w:val="18"/>
                <w:szCs w:val="18"/>
                <w:color w:val="auto"/>
              </w:rPr>
              <w:t>Gain and transaction costs recognized on sale of business and investment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(112,622)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 of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39,092</w:t>
            </w:r>
          </w:p>
        </w:tc>
      </w:tr>
      <w:tr>
        <w:trPr>
          <w:trHeight w:val="229"/>
        </w:trPr>
        <w:tc>
          <w:tcPr>
            <w:tcW w:w="702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3,652</w:t>
            </w:r>
          </w:p>
        </w:tc>
      </w:tr>
      <w:tr>
        <w:trPr>
          <w:trHeight w:val="229"/>
        </w:trPr>
        <w:tc>
          <w:tcPr>
            <w:tcW w:w="7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Amortization of debt issuance costs and discounts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r>
      <w:tr>
        <w:trPr>
          <w:trHeight w:val="230"/>
        </w:trPr>
        <w:tc>
          <w:tcPr>
            <w:tcW w:w="7020" w:type="dxa"/>
            <w:vAlign w:val="bottom"/>
          </w:tcPr>
          <w:p>
            <w:pPr>
              <w:ind w:left="260"/>
              <w:spacing w:after="0"/>
              <w:rPr>
                <w:sz w:val="20"/>
                <w:szCs w:val="20"/>
                <w:color w:val="auto"/>
              </w:rPr>
            </w:pPr>
            <w:r>
              <w:rPr>
                <w:rFonts w:ascii="Arial" w:cs="Arial" w:eastAsia="Arial" w:hAnsi="Arial"/>
                <w:sz w:val="18"/>
                <w:szCs w:val="18"/>
                <w:color w:val="auto"/>
              </w:rPr>
              <w:t>Write-off of deferred loan costs and discount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income tax (benefit) provision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r>
      <w:tr>
        <w:trPr>
          <w:trHeight w:val="230"/>
        </w:trPr>
        <w:tc>
          <w:tcPr>
            <w:tcW w:w="7020" w:type="dxa"/>
            <w:vAlign w:val="bottom"/>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(620)</w:t>
            </w:r>
          </w:p>
        </w:tc>
      </w:tr>
      <w:tr>
        <w:trPr>
          <w:trHeight w:val="229"/>
        </w:trPr>
        <w:tc>
          <w:tcPr>
            <w:tcW w:w="7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Payment-in-kind interest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w:t>
            </w:r>
          </w:p>
        </w:tc>
      </w:tr>
      <w:tr>
        <w:trPr>
          <w:trHeight w:val="229"/>
        </w:trPr>
        <w:tc>
          <w:tcPr>
            <w:tcW w:w="7020" w:type="dxa"/>
            <w:vAlign w:val="bottom"/>
          </w:tcPr>
          <w:p>
            <w:pPr>
              <w:ind w:left="260"/>
              <w:spacing w:after="0"/>
              <w:rPr>
                <w:sz w:val="20"/>
                <w:szCs w:val="20"/>
                <w:color w:val="auto"/>
              </w:rPr>
            </w:pPr>
            <w:r>
              <w:rPr>
                <w:rFonts w:ascii="Arial" w:cs="Arial" w:eastAsia="Arial" w:hAnsi="Arial"/>
                <w:sz w:val="18"/>
                <w:szCs w:val="18"/>
                <w:color w:val="auto"/>
              </w:rPr>
              <w:t>Impairment charges for intangible asset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non-cash items,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175"/>
        </w:trPr>
        <w:tc>
          <w:tcPr>
            <w:tcW w:w="7020" w:type="dxa"/>
            <w:vAlign w:val="bottom"/>
          </w:tcPr>
          <w:p>
            <w:pPr>
              <w:ind w:left="140"/>
              <w:spacing w:after="0" w:line="176" w:lineRule="exact"/>
              <w:rPr>
                <w:sz w:val="20"/>
                <w:szCs w:val="20"/>
                <w:color w:val="auto"/>
              </w:rPr>
            </w:pPr>
            <w:r>
              <w:rPr>
                <w:rFonts w:ascii="Arial" w:cs="Arial" w:eastAsia="Arial" w:hAnsi="Arial"/>
                <w:sz w:val="18"/>
                <w:szCs w:val="18"/>
                <w:color w:val="auto"/>
                <w:w w:val="99"/>
              </w:rPr>
              <w:t>Change in operating assets and liabilities (net of acquisitions and sale of business and</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investment):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r>
      <w:tr>
        <w:trPr>
          <w:trHeight w:val="229"/>
        </w:trPr>
        <w:tc>
          <w:tcPr>
            <w:tcW w:w="70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(1,184)</w:t>
            </w:r>
          </w:p>
        </w:tc>
      </w:tr>
      <w:tr>
        <w:trPr>
          <w:trHeight w:val="230"/>
        </w:trPr>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taxes (receivable) payable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7020" w:type="dxa"/>
            <w:vAlign w:val="bottom"/>
          </w:tcPr>
          <w:p>
            <w:pPr>
              <w:ind w:left="240"/>
              <w:spacing w:after="0"/>
              <w:rPr>
                <w:sz w:val="20"/>
                <w:szCs w:val="20"/>
                <w:color w:val="auto"/>
              </w:rPr>
            </w:pPr>
            <w:r>
              <w:rPr>
                <w:rFonts w:ascii="Arial" w:cs="Arial" w:eastAsia="Arial" w:hAnsi="Arial"/>
                <w:sz w:val="18"/>
                <w:szCs w:val="18"/>
                <w:color w:val="auto"/>
              </w:rPr>
              <w:t>Notes receivable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30"/>
        </w:trPr>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and other accrued liabilities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r>
      <w:tr>
        <w:trPr>
          <w:trHeight w:val="230"/>
        </w:trPr>
        <w:tc>
          <w:tcPr>
            <w:tcW w:w="7020" w:type="dxa"/>
            <w:vAlign w:val="bottom"/>
          </w:tcPr>
          <w:p>
            <w:pPr>
              <w:ind w:left="240"/>
              <w:spacing w:after="0"/>
              <w:rPr>
                <w:sz w:val="20"/>
                <w:szCs w:val="20"/>
                <w:color w:val="auto"/>
              </w:rPr>
            </w:pPr>
            <w:r>
              <w:rPr>
                <w:rFonts w:ascii="Arial" w:cs="Arial" w:eastAsia="Arial" w:hAnsi="Arial"/>
                <w:sz w:val="18"/>
                <w:szCs w:val="18"/>
                <w:color w:val="auto"/>
              </w:rPr>
              <w:t>Customer deposits and advance payments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1,646</w:t>
            </w:r>
          </w:p>
        </w:tc>
      </w:tr>
      <w:tr>
        <w:trPr>
          <w:trHeight w:val="230"/>
        </w:trPr>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assets and liabilities,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23"/>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9,377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12,080</w:t>
            </w:r>
          </w:p>
        </w:tc>
      </w:tr>
      <w:tr>
        <w:trPr>
          <w:trHeight w:val="21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Acquisitions of businesses, net of cash acquired</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(407,129)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 of business and investment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Additions to property, equipment and software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(11,118)</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receivable loan funding</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29"/>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Acquisitions of intangible assets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(49,463)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(82,945)</w:t>
            </w:r>
          </w:p>
        </w:tc>
      </w:tr>
      <w:tr>
        <w:trPr>
          <w:trHeight w:val="223"/>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(451,033)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166,396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(97,747)</w:t>
            </w:r>
          </w:p>
        </w:tc>
      </w:tr>
      <w:tr>
        <w:trPr>
          <w:trHeight w:val="209"/>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long-term debt, net of issue discount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69,650</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Debt issuance and modification costs (paid) refunded</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of long-term debt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w:t>
            </w: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Borrowings under revolving credit facility</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14,000</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of borrowings under revolving credit facility</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Proceeds from the issuance of redeemable senior preferred stock, net of discount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219,062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Redeemable senior preferred stock issuance fees and costs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Redemption of redeemable NCI in subsidiary</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 and shares withheld for taxes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Dividends paid to redeemable senior preferred stockholders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(7,460)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7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Profit distributions to redeemable non-controlling interests of subsidiaries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gridSpan w:val="3"/>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Settlement and customer accounts obligations,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417,627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27,284</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871,629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(140,943)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102,301</w:t>
            </w:r>
          </w:p>
        </w:tc>
        <w:tc>
          <w:tcPr>
            <w:tcW w:w="0" w:type="dxa"/>
            <w:vAlign w:val="bottom"/>
          </w:tcPr>
          <w:p>
            <w:pPr>
              <w:spacing w:after="0"/>
              <w:rPr>
                <w:sz w:val="1"/>
                <w:szCs w:val="1"/>
                <w:color w:val="auto"/>
              </w:rPr>
            </w:pPr>
          </w:p>
        </w:tc>
      </w:tr>
      <w:tr>
        <w:trPr>
          <w:trHeight w:val="210"/>
        </w:trPr>
        <w:tc>
          <w:tcPr>
            <w:tcW w:w="70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and cash equivalents, and restricted cash:</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gridSpan w:val="3"/>
          </w:tcPr>
          <w:p>
            <w:pPr>
              <w:ind w:left="140"/>
              <w:spacing w:after="0"/>
              <w:rPr>
                <w:sz w:val="20"/>
                <w:szCs w:val="20"/>
                <w:color w:val="auto"/>
              </w:rPr>
            </w:pPr>
            <w:r>
              <w:rPr>
                <w:rFonts w:ascii="Arial" w:cs="Arial" w:eastAsia="Arial" w:hAnsi="Arial"/>
                <w:sz w:val="18"/>
                <w:szCs w:val="18"/>
                <w:color w:val="auto"/>
              </w:rPr>
              <w:t>Net increase in cash and cash equivalents, and restricted cash</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429,973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16,634</w:t>
            </w:r>
          </w:p>
        </w:tc>
        <w:tc>
          <w:tcPr>
            <w:tcW w:w="0" w:type="dxa"/>
            <w:vAlign w:val="bottom"/>
          </w:tcPr>
          <w:p>
            <w:pPr>
              <w:spacing w:after="0"/>
              <w:rPr>
                <w:sz w:val="1"/>
                <w:szCs w:val="1"/>
                <w:color w:val="auto"/>
              </w:rPr>
            </w:pPr>
          </w:p>
        </w:tc>
      </w:tr>
      <w:tr>
        <w:trPr>
          <w:trHeight w:val="229"/>
        </w:trPr>
        <w:tc>
          <w:tcPr>
            <w:tcW w:w="7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88,120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33,831</w:t>
            </w:r>
          </w:p>
        </w:tc>
        <w:tc>
          <w:tcPr>
            <w:tcW w:w="0" w:type="dxa"/>
            <w:vAlign w:val="bottom"/>
          </w:tcPr>
          <w:p>
            <w:pPr>
              <w:spacing w:after="0"/>
              <w:rPr>
                <w:sz w:val="1"/>
                <w:szCs w:val="1"/>
                <w:color w:val="auto"/>
              </w:rPr>
            </w:pPr>
          </w:p>
        </w:tc>
      </w:tr>
      <w:tr>
        <w:trPr>
          <w:trHeight w:val="223"/>
        </w:trPr>
        <w:tc>
          <w:tcPr>
            <w:tcW w:w="7020" w:type="dxa"/>
            <w:vAlign w:val="bottom"/>
            <w:gridSpan w:val="3"/>
          </w:tcPr>
          <w:p>
            <w:pPr>
              <w:ind w:left="20"/>
              <w:spacing w:after="0"/>
              <w:rPr>
                <w:sz w:val="20"/>
                <w:szCs w:val="20"/>
                <w:color w:val="auto"/>
              </w:rPr>
            </w:pPr>
            <w:r>
              <w:rPr>
                <w:rFonts w:ascii="Arial" w:cs="Arial" w:eastAsia="Arial" w:hAnsi="Arial"/>
                <w:sz w:val="18"/>
                <w:szCs w:val="18"/>
                <w:b w:val="1"/>
                <w:bCs w:val="1"/>
                <w:color w:val="auto"/>
              </w:rPr>
              <w:t>Cash and cash equivalents, and restricted cash equivalents at end of period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518,093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88,120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50,465</w:t>
            </w:r>
          </w:p>
        </w:tc>
        <w:tc>
          <w:tcPr>
            <w:tcW w:w="0" w:type="dxa"/>
            <w:vAlign w:val="bottom"/>
          </w:tcPr>
          <w:p>
            <w:pPr>
              <w:spacing w:after="0"/>
              <w:rPr>
                <w:sz w:val="1"/>
                <w:szCs w:val="1"/>
                <w:color w:val="auto"/>
              </w:rPr>
            </w:pP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3"/>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Cash paid for interest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33,091</w:t>
            </w:r>
          </w:p>
        </w:tc>
        <w:tc>
          <w:tcPr>
            <w:tcW w:w="0" w:type="dxa"/>
            <w:vAlign w:val="bottom"/>
          </w:tcPr>
          <w:p>
            <w:pPr>
              <w:spacing w:after="0"/>
              <w:rPr>
                <w:sz w:val="1"/>
                <w:szCs w:val="1"/>
                <w:color w:val="auto"/>
              </w:rPr>
            </w:pPr>
          </w:p>
        </w:tc>
      </w:tr>
      <w:tr>
        <w:trPr>
          <w:trHeight w:val="229"/>
        </w:trPr>
        <w:tc>
          <w:tcPr>
            <w:tcW w:w="7020" w:type="dxa"/>
            <w:vAlign w:val="bottom"/>
            <w:gridSpan w:val="3"/>
          </w:tcPr>
          <w:p>
            <w:pPr>
              <w:ind w:left="140"/>
              <w:spacing w:after="0"/>
              <w:rPr>
                <w:sz w:val="20"/>
                <w:szCs w:val="20"/>
                <w:color w:val="auto"/>
              </w:rPr>
            </w:pPr>
            <w:r>
              <w:rPr>
                <w:rFonts w:ascii="Arial" w:cs="Arial" w:eastAsia="Arial" w:hAnsi="Arial"/>
                <w:sz w:val="18"/>
                <w:szCs w:val="18"/>
                <w:color w:val="auto"/>
              </w:rPr>
              <w:t>Cash paid for income taxes, net of refunds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2,212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8,370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3"/>
          </w:tcPr>
          <w:p>
            <w:pPr>
              <w:ind w:left="140"/>
              <w:spacing w:after="0"/>
              <w:rPr>
                <w:sz w:val="20"/>
                <w:szCs w:val="20"/>
                <w:color w:val="auto"/>
              </w:rPr>
            </w:pPr>
            <w:r>
              <w:rPr>
                <w:rFonts w:ascii="Arial" w:cs="Arial" w:eastAsia="Arial" w:hAnsi="Arial"/>
                <w:sz w:val="18"/>
                <w:szCs w:val="18"/>
                <w:color w:val="auto"/>
              </w:rPr>
              <w:t>Payment-in-kind interest added to principal of debt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8,573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5,126</w:t>
            </w:r>
          </w:p>
        </w:tc>
        <w:tc>
          <w:tcPr>
            <w:tcW w:w="0" w:type="dxa"/>
            <w:vAlign w:val="bottom"/>
          </w:tcPr>
          <w:p>
            <w:pPr>
              <w:spacing w:after="0"/>
              <w:rPr>
                <w:sz w:val="1"/>
                <w:szCs w:val="1"/>
                <w:color w:val="auto"/>
              </w:rPr>
            </w:pPr>
          </w:p>
        </w:tc>
      </w:tr>
      <w:tr>
        <w:trPr>
          <w:trHeight w:val="176"/>
        </w:trPr>
        <w:tc>
          <w:tcPr>
            <w:tcW w:w="7020" w:type="dxa"/>
            <w:vAlign w:val="bottom"/>
            <w:gridSpan w:val="3"/>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Payment of accrued contingent consideration for asset acquisition from offset of account</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receivable</w:t>
            </w:r>
          </w:p>
        </w:tc>
        <w:tc>
          <w:tcPr>
            <w:tcW w:w="300" w:type="dxa"/>
            <w:vAlign w:val="bottom"/>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3"/>
          </w:tcPr>
          <w:p>
            <w:pPr>
              <w:ind w:left="140"/>
              <w:spacing w:after="0"/>
              <w:rPr>
                <w:sz w:val="20"/>
                <w:szCs w:val="20"/>
                <w:color w:val="auto"/>
              </w:rPr>
            </w:pPr>
            <w:r>
              <w:rPr>
                <w:rFonts w:ascii="Arial" w:cs="Arial" w:eastAsia="Arial" w:hAnsi="Arial"/>
                <w:sz w:val="18"/>
                <w:szCs w:val="18"/>
                <w:color w:val="auto"/>
              </w:rPr>
              <w:t>Accruals for asset acquisition contingent consideration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8,332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30"/>
        </w:trPr>
        <w:tc>
          <w:tcPr>
            <w:tcW w:w="7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Notes receivable from sellers used as partial consideration for acquisitions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gridSpan w:val="3"/>
          </w:tcPr>
          <w:p>
            <w:pPr>
              <w:ind w:left="140"/>
              <w:spacing w:after="0"/>
              <w:rPr>
                <w:sz w:val="20"/>
                <w:szCs w:val="20"/>
                <w:color w:val="auto"/>
              </w:rPr>
            </w:pPr>
            <w:r>
              <w:rPr>
                <w:rFonts w:ascii="Arial" w:cs="Arial" w:eastAsia="Arial" w:hAnsi="Arial"/>
                <w:sz w:val="18"/>
                <w:szCs w:val="18"/>
                <w:color w:val="auto"/>
              </w:rPr>
              <w:t>Purchases of property, equipment and software through 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7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Intangible assets acquired by issuing non-controlling interest in subsidiary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30"/>
        </w:trPr>
        <w:tc>
          <w:tcPr>
            <w:tcW w:w="7020" w:type="dxa"/>
            <w:vAlign w:val="bottom"/>
            <w:gridSpan w:val="3"/>
          </w:tcPr>
          <w:p>
            <w:pPr>
              <w:ind w:left="140"/>
              <w:spacing w:after="0"/>
              <w:rPr>
                <w:sz w:val="20"/>
                <w:szCs w:val="20"/>
                <w:color w:val="auto"/>
              </w:rPr>
            </w:pPr>
            <w:r>
              <w:rPr>
                <w:rFonts w:ascii="Arial" w:cs="Arial" w:eastAsia="Arial" w:hAnsi="Arial"/>
                <w:sz w:val="18"/>
                <w:szCs w:val="18"/>
                <w:color w:val="auto"/>
              </w:rPr>
              <w:t>Non-cash additions to other noncurrent assets for right-of-use operating leases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cash and cash equivalents, and restricted cash: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3"/>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20,300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9,241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30"/>
        </w:trPr>
        <w:tc>
          <w:tcPr>
            <w:tcW w:w="7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47,231</w:t>
            </w:r>
          </w:p>
        </w:tc>
        <w:tc>
          <w:tcPr>
            <w:tcW w:w="0" w:type="dxa"/>
            <w:vAlign w:val="bottom"/>
          </w:tcPr>
          <w:p>
            <w:pPr>
              <w:spacing w:after="0"/>
              <w:rPr>
                <w:sz w:val="1"/>
                <w:szCs w:val="1"/>
                <w:color w:val="auto"/>
              </w:rPr>
            </w:pPr>
          </w:p>
        </w:tc>
      </w:tr>
      <w:tr>
        <w:trPr>
          <w:trHeight w:val="189"/>
        </w:trPr>
        <w:tc>
          <w:tcPr>
            <w:tcW w:w="7020" w:type="dxa"/>
            <w:vAlign w:val="bottom"/>
            <w:gridSpan w:val="3"/>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Customer account balances (see </w:t>
            </w:r>
            <w:hyperlink w:anchor="page69">
              <w:r>
                <w:rPr>
                  <w:rFonts w:ascii="Arial" w:cs="Arial" w:eastAsia="Arial" w:hAnsi="Arial"/>
                  <w:sz w:val="18"/>
                  <w:szCs w:val="18"/>
                  <w:color w:val="0000FF"/>
                </w:rPr>
                <w:t>Note 5</w:t>
              </w:r>
            </w:hyperlink>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468,934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0000FF"/>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rPr>
              <w:t>Total cash and cash equivalents, and restricted cash</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518,093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88,120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50,465</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49">
        <w:r>
          <w:rPr>
            <w:rFonts w:ascii="Arial" w:cs="Arial" w:eastAsia="Arial" w:hAnsi="Arial"/>
            <w:sz w:val="18"/>
            <w:szCs w:val="18"/>
            <w:color w:val="0000FF"/>
          </w:rPr>
          <w:t>Notes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right="6700" w:firstLine="8"/>
        <w:spacing w:after="0" w:line="495" w:lineRule="auto"/>
        <w:tabs>
          <w:tab w:leader="none" w:pos="31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Significant Accounting Policies The Business</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Headquartered in Alpharetta, GA, Priority Technology Holdings, Inc. and subsidiaries (together, the "Company") began operations in 2005 with a mission to build a merchant-inspired payments platform that would advance the goals of its customers and partners. Our approach leverages a single platform to collect, store and send money that operates at scale. Our technology supports high-value payments products complimented by our personalized support. We are a leading provider to businesses, enterprises and distribution partners such as retail independent sales organizations ("ISOs"), financial institutions ("FIs"), wholesale ISOs and independent software vendors ("ISVs").</w:t>
      </w:r>
    </w:p>
    <w:p>
      <w:pPr>
        <w:spacing w:after="0" w:line="19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operates from a purpose-built business platform that includes tailored customer service offerings and bespoke technology development, allowing the Company to provide end-to-end solutions for payment and payment-adjacent needs.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provides:</w:t>
      </w:r>
    </w:p>
    <w:p>
      <w:pPr>
        <w:spacing w:after="0" w:line="225" w:lineRule="exact"/>
        <w:rPr>
          <w:sz w:val="20"/>
          <w:szCs w:val="20"/>
          <w:color w:val="auto"/>
        </w:rPr>
      </w:pPr>
    </w:p>
    <w:p>
      <w:pPr>
        <w:jc w:val="both"/>
        <w:ind w:left="660" w:right="20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Small and medium-size business clients ("SMBs") payments processing solutions for business-to-consumer ("B2C") transactions through ISOs, FIs, ISVs and other referral partners. Our proprietary MX platform for B2C payments provides merchants a fully customizable suite of business management solutions.</w:t>
      </w:r>
    </w:p>
    <w:p>
      <w:pPr>
        <w:spacing w:after="0" w:line="183" w:lineRule="exact"/>
        <w:rPr>
          <w:rFonts w:ascii="Arial" w:cs="Arial" w:eastAsia="Arial" w:hAnsi="Arial"/>
          <w:sz w:val="18"/>
          <w:szCs w:val="18"/>
          <w:color w:val="auto"/>
        </w:rPr>
      </w:pPr>
    </w:p>
    <w:p>
      <w:pPr>
        <w:ind w:left="660" w:right="26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Business-to-business ("B2B") payments solutions such as automated vendor payments and professionally curated managed services to industry leading FIs and networks. Our proprietary B2B CPX platform was developed to be a best-in-class solution for buyer/supplier payment enablement.</w:t>
      </w:r>
    </w:p>
    <w:p>
      <w:pPr>
        <w:spacing w:after="0" w:line="183"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Institutional services (also known as Managed Services) solutions that provide audience-specific programs for institutional partners and other third parties looking to leverage the Company's professionally trained and managed call center teams for customer onboarding, assistance and support, including marketing and direct-sales resources.</w:t>
      </w:r>
    </w:p>
    <w:p>
      <w:pPr>
        <w:spacing w:after="0" w:line="183" w:lineRule="exact"/>
        <w:rPr>
          <w:rFonts w:ascii="Arial" w:cs="Arial" w:eastAsia="Arial" w:hAnsi="Arial"/>
          <w:sz w:val="18"/>
          <w:szCs w:val="18"/>
          <w:color w:val="auto"/>
        </w:rPr>
      </w:pPr>
    </w:p>
    <w:p>
      <w:pPr>
        <w:ind w:left="660" w:right="6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Enterprise payments solutions for ISVs and other third parties that allow them to leverage the Company's core payments engine via robust application program interfaces ("API") resources and high-utility embeddable code.</w:t>
      </w:r>
    </w:p>
    <w:p>
      <w:pPr>
        <w:spacing w:after="0" w:line="170"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Consulting and development solutions focused on the increasing demand for integrated payments solutions for transitioning to the digital economy.</w:t>
      </w:r>
    </w:p>
    <w:p>
      <w:pPr>
        <w:spacing w:after="0" w:line="170" w:lineRule="exact"/>
        <w:rPr>
          <w:sz w:val="20"/>
          <w:szCs w:val="20"/>
          <w:color w:val="auto"/>
        </w:rPr>
      </w:pPr>
    </w:p>
    <w:p>
      <w:pPr>
        <w:ind w:right="2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Company provides its services through three reportable segments: 1) SMB Payments; 2) B2B Payments; and 3) Enterprise Payments. For additional information about our reportable segments, see </w:t>
      </w:r>
      <w:hyperlink w:anchor="page91">
        <w:r>
          <w:rPr>
            <w:rFonts w:ascii="Arial" w:cs="Arial" w:eastAsia="Arial" w:hAnsi="Arial"/>
            <w:sz w:val="18"/>
            <w:szCs w:val="18"/>
            <w:u w:val="single" w:color="auto"/>
            <w:color w:val="0000FF"/>
          </w:rPr>
          <w:t>Note 20, Segment Information</w:t>
        </w:r>
      </w:hyperlink>
      <w:r>
        <w:rPr>
          <w:rFonts w:ascii="Arial" w:cs="Arial" w:eastAsia="Arial" w:hAnsi="Arial"/>
          <w:sz w:val="18"/>
          <w:szCs w:val="18"/>
          <w:color w:val="auto"/>
        </w:rPr>
        <w:t>.</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provide many of its services, the Company enters into agreements with payment processors which in turn have agreements with multiple card associations. These card associations comprise an alliance aligned with insured FIs ("member banks") that work in conjunction with various local, state, territory and federal government agencies to make the rules and guidelines regarding the use and acceptance of credit and the card associations. The Company has multiple sponsorship bank agreements and is itself a registered ISO with Visa. The Company is also a registered member service provider with Mastercard. The Company's sponsorship agreements allow the capture and processing of electronic data in a format to allow such data to flow through networks for clearing and fund settlement of merchant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Prior to December 31, 2021, the Company was an emerging growth company ("EGC"), as defined in the Jumpstart Our Business Startups Act of 2012 ("JOBS Act"), and elected to take advantage of certain exemptions from various reporting requirements that are applicable to other public companies until the Company is no longer an EGC, including using the extended transition period for complying with new or revised accounting standards. On December 31, 2021, we ceased to qualify as an EGC and have adopted any new standards that we are now required to adopt.</w:t>
      </w: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material intercompany balances and transactions have been eliminated in consolidation. Investments in unconsolidated affiliated companies are accounted for under the equity method and are included in other noncurrent assets in the accompanying Consolidated Balance Sheets. The Company generally utilizes the equity method of accounting when it has an ownership interest of between 20% and 50% in an entity, provided the Company is able to exercise significant influence over the investee's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U.S. ("U.S. GAAP")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reported period. Actual results could materially differ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212529"/>
        </w:rPr>
        <w:t xml:space="preserve">The Company applies the five-step model to assess its contracts with customers. </w:t>
      </w:r>
      <w:r>
        <w:rPr>
          <w:rFonts w:ascii="Arial" w:cs="Arial" w:eastAsia="Arial" w:hAnsi="Arial"/>
          <w:sz w:val="16"/>
          <w:szCs w:val="16"/>
          <w:color w:val="000000"/>
        </w:rPr>
        <w:t>At contract inception, the Company assesses the services and goods</w:t>
      </w:r>
      <w:r>
        <w:rPr>
          <w:rFonts w:ascii="Arial" w:cs="Arial" w:eastAsia="Arial" w:hAnsi="Arial"/>
          <w:sz w:val="16"/>
          <w:szCs w:val="16"/>
          <w:color w:val="212529"/>
        </w:rPr>
        <w:t xml:space="preserve"> </w:t>
      </w:r>
      <w:r>
        <w:rPr>
          <w:rFonts w:ascii="Arial" w:cs="Arial" w:eastAsia="Arial" w:hAnsi="Arial"/>
          <w:sz w:val="16"/>
          <w:szCs w:val="16"/>
          <w:color w:val="000000"/>
        </w:rPr>
        <w:t xml:space="preserve">promised in its contracts with customers and identifies the performance obligation for each promise to transfer a distinct good or service to the customer. </w:t>
      </w:r>
      <w:r>
        <w:rPr>
          <w:rFonts w:ascii="Arial" w:cs="Arial" w:eastAsia="Arial" w:hAnsi="Arial"/>
          <w:sz w:val="16"/>
          <w:szCs w:val="16"/>
          <w:color w:val="212529"/>
        </w:rPr>
        <w:t xml:space="preserve">The Company recognizes revenue when it </w:t>
      </w:r>
      <w:r>
        <w:rPr>
          <w:rFonts w:ascii="Arial" w:cs="Arial" w:eastAsia="Arial" w:hAnsi="Arial"/>
          <w:sz w:val="16"/>
          <w:szCs w:val="16"/>
          <w:color w:val="000000"/>
        </w:rPr>
        <w:t>satisfies a performance obligation by transferring a service or good to the customer in an amount to which the</w:t>
      </w:r>
      <w:r>
        <w:rPr>
          <w:rFonts w:ascii="Arial" w:cs="Arial" w:eastAsia="Arial" w:hAnsi="Arial"/>
          <w:sz w:val="16"/>
          <w:szCs w:val="16"/>
          <w:color w:val="212529"/>
        </w:rPr>
        <w:t xml:space="preserve"> </w:t>
      </w:r>
      <w:r>
        <w:rPr>
          <w:rFonts w:ascii="Arial" w:cs="Arial" w:eastAsia="Arial" w:hAnsi="Arial"/>
          <w:sz w:val="16"/>
          <w:szCs w:val="16"/>
          <w:color w:val="000000"/>
        </w:rPr>
        <w:t>Company expects to be entitled (i.e., transaction price) allocated to the distinct services or goods. The Company has elected the permitted practical expedient that allows it to use the portfolio approach for many of its contracts since this approach's impact on the financial statements, when applied to a group of contracts (or performance obligations) with similar characteristics, is not materially different from the impact of applying the revenue standard on an individual contract basis. Under the portfolio practical expedient, collectability is still assessed at the individual contract level when determining if a contract exists. The Company has elected to exclude any contracts with an original duration of one year or less and any variable consideration that meets specified criteria from its disclosure of the aggregate amount of the transaction price allocated to unsatisfied performance.</w:t>
      </w:r>
    </w:p>
    <w:p>
      <w:pPr>
        <w:spacing w:after="0" w:line="16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In delivering payment services to the customer, the Company may also provide a limited license agreement to the customer for the use of one or more of the Company's proprietary cloud-based software applications. The Company grants a right to use its software applications only when the customer has contracted with the Company to receive related payment services. When combined with the underlying payment services, the license and the payment services provided to the customer are a single stand-ready obligation and the Company's performance obligation is defined by each time increment, rather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than by the underlying activities, (quantity and timing of which is not determinable), satisfied over time based on days elapsed.</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order to provide our payment services, we obtain authorization for the transaction and request funds settlement from the card issuing financial institution through the payment network. When third parties are involved in the transfer of services or goods to the customer, the Company considers the nature of each specific promised service or good and applies judgment to determine whether the Company controls the service or good before it is transferred to the customer or whether the Company is acting as an agent of the third party. To determine whether the Company controls the service or good, it assesses indicators including: 1) which party is primarily responsible for fulfillment; 2) which party has discretion in determining pricing for the service or good; and 3) other considerations deemed to be applicable to the specific situation. Based on our assessment of these indicators, we have concluded that the promise to our customers to provide payment services is distinct from the services provided by the card issuing financial institutions and payment networks in connection with payment transactions. We do not have the ability to direct the use of and obtain substantially all of the benefits of the services provided by the card issuing financial institutions and payment networks before those services are transferred to our customer, and on that basis, we do not control those services prior to being transferred to our customer. As a result, we present our revenues net of the interchange fees retained by the card issuing financial institutions and the fees charged by the payment networks.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1" w:name="page52"/>
    <w:bookmarkEnd w:id="51"/>
    <w:p>
      <w:pPr>
        <w:ind w:right="220"/>
        <w:spacing w:after="0" w:line="263" w:lineRule="auto"/>
        <w:rPr>
          <w:sz w:val="20"/>
          <w:szCs w:val="20"/>
          <w:color w:val="auto"/>
        </w:rPr>
      </w:pPr>
      <w:r>
        <w:rPr>
          <w:rFonts w:ascii="Arial" w:cs="Arial" w:eastAsia="Arial" w:hAnsi="Arial"/>
          <w:sz w:val="18"/>
          <w:szCs w:val="18"/>
          <w:u w:val="single" w:color="auto"/>
          <w:color w:val="auto"/>
        </w:rPr>
        <w:t>SMB Payments</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Company's SMB Payments segment enables the Company's customers to accept card, electronic and digital-based payments at the point of sale by providing a suite of services including authorization, settlement and funding, customer support and help-desk functions, chargeback resolution, payment security, consolidated billing and statements, and online reporting</w:t>
      </w:r>
    </w:p>
    <w:p>
      <w:pPr>
        <w:spacing w:after="0" w:line="18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Company's SMB Payments segment enables the Company's customers to accept card, electronic and digital-based payments at the point of sale by providing a suite of services including authorization, settlement and funding, customer support and help-desk functions, chargeback resolution, payment security, consolidated billing and statements, and online reporting.</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Typically, revenues generated from these transactions are based on a variable percentage of the dollar amount of each transaction, and in some instances, additional fees (e.g., statement fees, annual fees and monthly minimum fees, fees for handling chargebacks, gateway fees and fees for other miscellaneous services) are charged for each transaction. The Company's sponsoring banks collect the gross merchant discount from the card holder's issuing bank, pay the interchange fees and assessments to the payment networks and credit card associations, retain their fees, and pay to the Company the net amount which represents the Company's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earns revenue and commissions from resale of electronic POS equipment.</w:t>
      </w:r>
    </w:p>
    <w:p>
      <w:pPr>
        <w:spacing w:after="0" w:line="225"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u w:val="single" w:color="auto"/>
          <w:color w:val="auto"/>
        </w:rPr>
        <w:t>B2B Payments</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color w:val="212529"/>
        </w:rPr>
        <w:t>The Company's B2B Payments</w:t>
      </w:r>
      <w:r>
        <w:rPr>
          <w:rFonts w:ascii="Arial" w:cs="Arial" w:eastAsia="Arial" w:hAnsi="Arial"/>
          <w:sz w:val="18"/>
          <w:szCs w:val="18"/>
          <w:color w:val="auto"/>
        </w:rPr>
        <w:t xml:space="preserve"> segment enables the Company's customers to automate their accounts payable and other commercial payments functions with the Company's payment services that utilize physical and virtual payment cards as well as ACH transactions. In addition, the Company provides cost-plus-fee turn-key business process outsourcing and assists commercial customers with programs that are designed to increase acceptance of electronic payments.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Revenues are generally earned on a per-transaction basis and are recognized by the Company net of certain third-party costs for interchange fees, assessments to the payment networks, credit card associations fees, sponsor bank fees and rebates to customers. For outsourcing services, revenue is recognized to the extent of billable rates times hours worked and other reimbursable costs incurred. For performance obligations associated with outsourced services that are satisfied over time, the Company applies the permitted practical expedient known as the "right to invoice practical expedient" that allows the Company to recognize revenue in the amount of consideration to which the Company has the right to invoice when that amount corresponds directly to the value transferred to the customer.</w:t>
      </w:r>
    </w:p>
    <w:p>
      <w:pPr>
        <w:spacing w:after="0" w:line="19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u w:val="single" w:color="auto"/>
          <w:color w:val="auto"/>
        </w:rPr>
        <w:t>Enterprise Payments</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Company's Enterprise Payments segment uses payment-adjacent technologies to facilitate the acceptance of electronic payments from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Revenue from the Enterprise Payments segment consists of the following:</w:t>
      </w:r>
    </w:p>
    <w:p>
      <w:pPr>
        <w:spacing w:after="0" w:line="225" w:lineRule="exact"/>
        <w:rPr>
          <w:sz w:val="20"/>
          <w:szCs w:val="20"/>
          <w:color w:val="auto"/>
        </w:rPr>
      </w:pPr>
    </w:p>
    <w:p>
      <w:pPr>
        <w:ind w:left="660" w:right="860" w:hanging="328"/>
        <w:spacing w:after="0" w:line="342"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Enrollment fees</w:t>
      </w:r>
      <w:r>
        <w:rPr>
          <w:rFonts w:ascii="Arial" w:cs="Arial" w:eastAsia="Arial" w:hAnsi="Arial"/>
          <w:sz w:val="16"/>
          <w:szCs w:val="16"/>
          <w:color w:val="auto"/>
        </w:rPr>
        <w:t>: The revenue associated with enrollment fees is recognized upon the receipt of a fully executed enrollment application,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the customer account setup, data verification and the constructive receipt of the applicable non-refundable fee.</w:t>
      </w:r>
    </w:p>
    <w:p>
      <w:pPr>
        <w:spacing w:after="0" w:line="123" w:lineRule="exact"/>
        <w:rPr>
          <w:rFonts w:ascii="Arial" w:cs="Arial" w:eastAsia="Arial" w:hAnsi="Arial"/>
          <w:sz w:val="16"/>
          <w:szCs w:val="16"/>
          <w:color w:val="auto"/>
        </w:rPr>
      </w:pPr>
    </w:p>
    <w:p>
      <w:pPr>
        <w:ind w:left="660" w:right="60" w:hanging="328"/>
        <w:spacing w:after="0" w:line="279"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Subscription fees</w:t>
      </w:r>
      <w:r>
        <w:rPr>
          <w:rFonts w:ascii="Arial" w:cs="Arial" w:eastAsia="Arial" w:hAnsi="Arial"/>
          <w:sz w:val="17"/>
          <w:szCs w:val="17"/>
          <w:color w:val="auto"/>
        </w:rPr>
        <w:t>: The Company recognizes monthly subscription fees as recurring maintenance fees each month during the term of the client's</w:t>
      </w:r>
      <w:r>
        <w:rPr>
          <w:rFonts w:ascii="Arial" w:cs="Arial" w:eastAsia="Arial" w:hAnsi="Arial"/>
          <w:sz w:val="17"/>
          <w:szCs w:val="17"/>
          <w:i w:val="1"/>
          <w:iCs w:val="1"/>
          <w:color w:val="auto"/>
        </w:rPr>
        <w:t xml:space="preserve"> </w:t>
      </w:r>
      <w:r>
        <w:rPr>
          <w:rFonts w:ascii="Arial" w:cs="Arial" w:eastAsia="Arial" w:hAnsi="Arial"/>
          <w:sz w:val="17"/>
          <w:szCs w:val="17"/>
          <w:color w:val="auto"/>
        </w:rPr>
        <w:t>enrollment. Revenue from transaction-based fees is recognized upon constructive receipt of transaction fees for payments to creditors issued ACH payments, paper checks or wire transfers. These fees are transferred to the Company from the client account balances, which may be maintained by the Company in money transmission license trust accounts or by partner banks.</w:t>
      </w:r>
    </w:p>
    <w:p>
      <w:pPr>
        <w:spacing w:after="0" w:line="171" w:lineRule="exact"/>
        <w:rPr>
          <w:rFonts w:ascii="Arial" w:cs="Arial" w:eastAsia="Arial" w:hAnsi="Arial"/>
          <w:sz w:val="17"/>
          <w:szCs w:val="17"/>
          <w:color w:val="auto"/>
        </w:rPr>
      </w:pPr>
    </w:p>
    <w:p>
      <w:pPr>
        <w:ind w:left="660" w:right="2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Interest revenue</w:t>
      </w:r>
      <w:r>
        <w:rPr>
          <w:rFonts w:ascii="Arial" w:cs="Arial" w:eastAsia="Arial" w:hAnsi="Arial"/>
          <w:sz w:val="18"/>
          <w:szCs w:val="18"/>
          <w:color w:val="auto"/>
        </w:rPr>
        <w:t>: Interest revenue is derived from certain client cash deposit balances maintained in interest bearing accounts with select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banks.</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Customer relationship management ("CRM") and consulting fees</w:t>
      </w:r>
      <w:r>
        <w:rPr>
          <w:rFonts w:ascii="Arial" w:cs="Arial" w:eastAsia="Arial" w:hAnsi="Arial"/>
          <w:sz w:val="18"/>
          <w:szCs w:val="18"/>
          <w:color w:val="auto"/>
        </w:rPr>
        <w:t>: CRM license fees are recognized on a monthly basis and consulting fees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when services are performed.</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substantial portion of this segment's revenues are earned as an agent of a third party, and therefore this earned revenue is reported as a net amount within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Transaction Price Allocated to Future Performance Obligations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Accounting Standards Codification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requires disclosure of the aggregate amount of the transaction price allocated to unsatisfied performance obligations. However, as allowed by ASC 606, the Company has elected to exclude from this disclosure any contracts with an original duration of one year or less and any variable consideration that meets specified criteria. As described above, the Company's most significant performance obligations consist of variable consideration under a stand-ready series of distinct days of service. Such variable consideration meets the specified criteria for the disclosure exclusion. Therefore, the majority of the aggregate amount of transaction price that is allocated to performance obligations that have not yet been satisfied is variable consideration that is not required for this disclosure. The aggregate fixed consideration portion of customer contracts with an initial contract duration greater than one year is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Customers and Contract Costs</w:t>
      </w:r>
    </w:p>
    <w:p>
      <w:pPr>
        <w:spacing w:after="0" w:line="225"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The Company accrues and pays commission expense based on variable merchant payment volumes and for certain customer service and other services provided by its ISOs. Since commissions expenses are accrued and paid to ISOs on a monthly basis after the merchant enters into a new or renewed contract, these are not deemed to be a cost to acquire a new contract but they are reported within costs of services on our Consolidated Statements of Operations. The ISO is typically an independent contractor or agent of the Company.</w:t>
      </w:r>
    </w:p>
    <w:p>
      <w:pPr>
        <w:spacing w:after="0" w:line="171"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Company may occasionally elect to buy out all or a portion of an ISO's rights to receive future commission payments related to certain merchants. Amounts paid to the ISO for these residual buyouts are capitalized by the Company under the accounting guidance for intangible assets and included in intangible assets, net on our Consolidated Balance Sheets.</w:t>
      </w:r>
    </w:p>
    <w:p>
      <w:pPr>
        <w:spacing w:after="0" w:line="1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contract with a customer creates a legal right and obligation. As the Company performs under customer contracts, its right to consideration that is unconditional is considered to be accounts receivable. If the Company's right to consideration for such performance is contingent upon a future event or satisfaction of additional performance obligations, the amount of revenues recognized in excess of the amount billed to the customer is recognized as a contract asset. Contract liabilities represent consideration received from customers in excess of revenues recognized. Material contract assets and liabilities are presented net at the individual contract level in the Consolidated Balance Sheets and are classified as current or noncurrent based on the nature of the underlying contractual rights and obligations.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and Restricted Cash</w:t>
      </w:r>
    </w:p>
    <w:p>
      <w:pPr>
        <w:spacing w:after="0" w:line="22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Cash and cash equivalents includes highly liquid instruments with an original maturity of three months or less, and cash held at FIs that is owned by the Company. Restricted cash is held by the Company in FIs for the purpose of in-process customer settlements or reserves held per contact terms.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Accounts receivable is stated net of allowance for doubtful accounts and are amounts primarily due from the Company's sponsor banks for revenues earned, net of related interchange and processing fees, and do not bear interest. Other types of accounts receivable are from agents, merchants and other customers. Amounts due from sponsor banks are typically paid within 30 days following the end of each month.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 Receivable and Notes Receivable</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records an allowance for doubtful accounts and/or notes receivable when it is probable that the account receivable balance or the note receivable balance will not be collected, based upon loss trends and an analysis of individual accounts. Accounts receivable and notes receivable are written off when deemed uncollectible. Recoveries of accounts receivable and notes receivable previously written off, if any, are recognized when received. The allowance for doubtful accounts was $0.6 million at December 31, 2021 and 2020. As of December 31, 2021, there was no allowance for doubtful notes receivable. The allowance for doubtful notes receivable was $0.5 million at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Customer Deposits and Advance Payments</w:t>
      </w:r>
    </w:p>
    <w:p>
      <w:pPr>
        <w:spacing w:after="0" w:line="225" w:lineRule="exact"/>
        <w:rPr>
          <w:sz w:val="20"/>
          <w:szCs w:val="20"/>
          <w:color w:val="auto"/>
        </w:rPr>
      </w:pPr>
    </w:p>
    <w:p>
      <w:pPr>
        <w:ind w:right="460"/>
        <w:spacing w:after="0" w:line="296" w:lineRule="auto"/>
        <w:rPr>
          <w:sz w:val="20"/>
          <w:szCs w:val="20"/>
          <w:color w:val="auto"/>
        </w:rPr>
      </w:pPr>
      <w:r>
        <w:rPr>
          <w:rFonts w:ascii="Arial" w:cs="Arial" w:eastAsia="Arial" w:hAnsi="Arial"/>
          <w:sz w:val="16"/>
          <w:szCs w:val="16"/>
          <w:color w:val="auto"/>
        </w:rPr>
        <w:t>The Company may receive cash payments from certain customers and vendors that require future performance obligations by the Company. Amounts associated with obligations expected to be satisfied within one year are reported in customer deposits and advance payments on the Company's Consolidated Balance Sheets and amounts associated with obligations expected to be satisfied after one year are reported as a component of other noncurrent liabilities on the Company's Consolidated Balance Sheets. These payments are subsequently recognized in the Company's Consolidated Statements of Operations when the Company satisfies the performance obligations required to retain and earn these deposits and advance payments.</w:t>
      </w:r>
    </w:p>
    <w:p>
      <w:pPr>
        <w:spacing w:after="0" w:line="16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 vendor may make an upfront payment to the Company to offset costs that the Company incurs to integrate the vendor into the Company's operations. These upfront payments are deferred by the Company and are subsequently amortized against expense in its Consolidated Statements of Operations as the related costs are incurred by the Company in accordance with the agreement with the vendor.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Property and equipment are stated at cost, except for property and equipment acquired in a business combination, which is recorded at fair value at the time of the transaction. Depreciation is calculated using the straight-line method over the estimated useful lives of the assets.</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Expenditures for repairs and maintenance which do not extend the useful life of the respective assets are charged to expense as incurred. Expenditures that increase the value or productive capacity of assets are capitalized. At the time of retirements, sales or other dispositions of property and equipment, the original cost and related accumulated depreciation are removed from the respective accounts and the gains or losses are presented as a component of income or loss from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Incurred to Develop Software for Internal Use</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Costs incurred to develop computer software for internal use are capitalized once: 1) the preliminary project stage is completed; 2) management authorizes and commits to funding a specific software project; and 3) it is probable that the project will be completed and the software will be used to perform the function intended. Costs incurred prior to meeting the qualifications are expensed as incurred. Capitalization of costs ceases when the project is substantially complete and ready for its intended use. Post-implementation costs related to the internal-use computer software, are expensed as incurred. Internal-use software development costs are amortized using the straight-line method over the estimated useful life of the software, which generally ranges from three to five years.</w:t>
      </w:r>
    </w:p>
    <w:p>
      <w:pPr>
        <w:spacing w:after="0" w:line="19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Software development costs may become impaired in situations where development efforts are abandoned due to the viability of the planned project becoming doubtful or due to technological obsolescence of the planned software product. For the years ended December 31, 2021, 2020 and 2019, there was no impairment associated with internal-use software.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2021, 2020 and 2019, the Company capitalized software development costs of $7.8 million, $7.1 million and</w:t>
      </w:r>
    </w:p>
    <w:p>
      <w:pPr>
        <w:spacing w:after="0" w:line="35" w:lineRule="exact"/>
        <w:rPr>
          <w:sz w:val="20"/>
          <w:szCs w:val="20"/>
          <w:color w:val="auto"/>
        </w:rPr>
      </w:pPr>
    </w:p>
    <w:p>
      <w:pPr>
        <w:ind w:right="400"/>
        <w:spacing w:after="0" w:line="290" w:lineRule="auto"/>
        <w:rPr>
          <w:sz w:val="20"/>
          <w:szCs w:val="20"/>
          <w:color w:val="auto"/>
        </w:rPr>
      </w:pPr>
      <w:r>
        <w:rPr>
          <w:rFonts w:ascii="Arial" w:cs="Arial" w:eastAsia="Arial" w:hAnsi="Arial"/>
          <w:sz w:val="17"/>
          <w:szCs w:val="17"/>
          <w:color w:val="auto"/>
        </w:rPr>
        <w:t>$8.2 million, respectively. As of December 31, 2021 and 2020, capitalized software development costs, net of accumulated amortization, totaled $18.3 million and $16.4 million, respectively, and are included in property, equipment and software, net on the Consolidated Balance Sheets.</w:t>
      </w:r>
    </w:p>
    <w:p>
      <w:pPr>
        <w:spacing w:after="0" w:line="16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Amortization expense for capitalized software development costs for the years ended December 31, 2021, 2020 and 2019 was $5.9 million, $5.3 million and $4.1 million, respectively, and are included in depreciation and amortization on the Consolidated Statements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Other intangible assets are initially recorded at cost or fair value when acquired in connection with a business combination. The carrying value of an intangible asset acquired in an asset acquisition may subsequently be increased for contingent consideration when due to the seller and such amounts can be estimated. </w:t>
      </w:r>
      <w:r>
        <w:rPr>
          <w:rFonts w:ascii="Arial" w:cs="Arial" w:eastAsia="Arial" w:hAnsi="Arial"/>
          <w:sz w:val="18"/>
          <w:szCs w:val="18"/>
          <w:color w:val="212529"/>
        </w:rPr>
        <w:t>The portion of any unpaid purchase price that is contingent on future activities is not initially recorded by the Company on the date of</w:t>
      </w:r>
      <w:r>
        <w:rPr>
          <w:rFonts w:ascii="Arial" w:cs="Arial" w:eastAsia="Arial" w:hAnsi="Arial"/>
          <w:sz w:val="18"/>
          <w:szCs w:val="18"/>
          <w:color w:val="auto"/>
        </w:rPr>
        <w:t xml:space="preserve"> </w:t>
      </w:r>
      <w:r>
        <w:rPr>
          <w:rFonts w:ascii="Arial" w:cs="Arial" w:eastAsia="Arial" w:hAnsi="Arial"/>
          <w:sz w:val="18"/>
          <w:szCs w:val="18"/>
          <w:color w:val="212529"/>
        </w:rPr>
        <w:t>acquisition. Rather,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4" w:name="page55"/>
    <w:bookmarkEnd w:id="54"/>
    <w:p>
      <w:pPr>
        <w:ind w:right="280"/>
        <w:spacing w:after="0" w:line="311" w:lineRule="auto"/>
        <w:rPr>
          <w:sz w:val="20"/>
          <w:szCs w:val="20"/>
          <w:color w:val="auto"/>
        </w:rPr>
      </w:pPr>
      <w:r>
        <w:rPr>
          <w:rFonts w:ascii="Arial" w:cs="Arial" w:eastAsia="Arial" w:hAnsi="Arial"/>
          <w:sz w:val="16"/>
          <w:szCs w:val="16"/>
          <w:color w:val="212529"/>
        </w:rPr>
        <w:t xml:space="preserve">recognizes contingent consideration when it becomes probable and estimable. </w:t>
      </w:r>
      <w:r>
        <w:rPr>
          <w:rFonts w:ascii="Arial" w:cs="Arial" w:eastAsia="Arial" w:hAnsi="Arial"/>
          <w:sz w:val="16"/>
          <w:szCs w:val="16"/>
          <w:color w:val="000000"/>
        </w:rPr>
        <w:t>All of the Company's intangible assets, except goodwill and money</w:t>
      </w:r>
      <w:r>
        <w:rPr>
          <w:rFonts w:ascii="Arial" w:cs="Arial" w:eastAsia="Arial" w:hAnsi="Arial"/>
          <w:sz w:val="16"/>
          <w:szCs w:val="16"/>
          <w:color w:val="212529"/>
        </w:rPr>
        <w:t xml:space="preserve"> </w:t>
      </w:r>
      <w:r>
        <w:rPr>
          <w:rFonts w:ascii="Arial" w:cs="Arial" w:eastAsia="Arial" w:hAnsi="Arial"/>
          <w:sz w:val="16"/>
          <w:szCs w:val="16"/>
          <w:color w:val="000000"/>
        </w:rPr>
        <w:t>transmission licenses, have finite lives and are subject to amortization. Intangible assets consist of acquired merchant portfolios, customer relationships, ISO and referral partner relationships, residual buyouts, trade names, technology, non-compete agreements and money transmission licenses.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Intangible Asset</w:t>
            </w:r>
          </w:p>
        </w:tc>
        <w:tc>
          <w:tcPr>
            <w:tcW w:w="5540" w:type="dxa"/>
            <w:vAlign w:val="bottom"/>
            <w:vMerge w:val="restart"/>
          </w:tcPr>
          <w:p>
            <w:pPr>
              <w:ind w:left="560"/>
              <w:spacing w:after="0"/>
              <w:rPr>
                <w:sz w:val="20"/>
                <w:szCs w:val="20"/>
                <w:color w:val="auto"/>
              </w:rPr>
            </w:pPr>
            <w:r>
              <w:rPr>
                <w:rFonts w:ascii="Arial" w:cs="Arial" w:eastAsia="Arial" w:hAnsi="Arial"/>
                <w:sz w:val="18"/>
                <w:szCs w:val="18"/>
                <w:b w:val="1"/>
                <w:bCs w:val="1"/>
                <w:color w:val="auto"/>
              </w:rPr>
              <w:t>Nature</w:t>
            </w:r>
          </w:p>
        </w:tc>
        <w:tc>
          <w:tcPr>
            <w:tcW w:w="170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Estimated Useful</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vMerge w:val="continue"/>
          </w:tcPr>
          <w:p>
            <w:pPr>
              <w:spacing w:after="0"/>
              <w:rPr>
                <w:sz w:val="19"/>
                <w:szCs w:val="19"/>
                <w:color w:val="auto"/>
              </w:rPr>
            </w:pPr>
          </w:p>
        </w:tc>
        <w:tc>
          <w:tcPr>
            <w:tcW w:w="5540" w:type="dxa"/>
            <w:vAlign w:val="bottom"/>
            <w:tcBorders>
              <w:bottom w:val="single" w:sz="8" w:color="auto"/>
            </w:tcBorders>
            <w:vMerge w:val="continue"/>
          </w:tcPr>
          <w:p>
            <w:pPr>
              <w:spacing w:after="0"/>
              <w:rPr>
                <w:sz w:val="19"/>
                <w:szCs w:val="19"/>
                <w:color w:val="auto"/>
              </w:rPr>
            </w:pPr>
          </w:p>
        </w:tc>
        <w:tc>
          <w:tcPr>
            <w:tcW w:w="17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ISO and Referral Partner Relationships</w:t>
            </w:r>
          </w:p>
        </w:tc>
        <w:tc>
          <w:tcPr>
            <w:tcW w:w="55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acquired relationships with ISOs and referral partners</w:t>
            </w:r>
          </w:p>
        </w:tc>
        <w:tc>
          <w:tcPr>
            <w:tcW w:w="17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7"/>
              </w:rPr>
              <w:t>11 - 25 years</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Residual Buyouts</w:t>
            </w:r>
          </w:p>
        </w:tc>
        <w:tc>
          <w:tcPr>
            <w:tcW w:w="5540" w:type="dxa"/>
            <w:vAlign w:val="bottom"/>
          </w:tcPr>
          <w:p>
            <w:pPr>
              <w:ind w:left="560"/>
              <w:spacing w:after="0"/>
              <w:rPr>
                <w:sz w:val="20"/>
                <w:szCs w:val="20"/>
                <w:color w:val="auto"/>
              </w:rPr>
            </w:pPr>
            <w:r>
              <w:rPr>
                <w:rFonts w:ascii="Arial" w:cs="Arial" w:eastAsia="Arial" w:hAnsi="Arial"/>
                <w:sz w:val="18"/>
                <w:szCs w:val="18"/>
                <w:color w:val="auto"/>
              </w:rPr>
              <w:t>surrender of rights to receive commissions by ISOs</w:t>
            </w:r>
          </w:p>
        </w:tc>
        <w:tc>
          <w:tcPr>
            <w:tcW w:w="1700" w:type="dxa"/>
            <w:vAlign w:val="bottom"/>
          </w:tcPr>
          <w:p>
            <w:pPr>
              <w:jc w:val="center"/>
              <w:ind w:left="50"/>
              <w:spacing w:after="0"/>
              <w:rPr>
                <w:sz w:val="20"/>
                <w:szCs w:val="20"/>
                <w:color w:val="auto"/>
              </w:rPr>
            </w:pPr>
            <w:r>
              <w:rPr>
                <w:rFonts w:ascii="Arial" w:cs="Arial" w:eastAsia="Arial" w:hAnsi="Arial"/>
                <w:sz w:val="18"/>
                <w:szCs w:val="18"/>
                <w:color w:val="auto"/>
                <w:w w:val="89"/>
              </w:rPr>
              <w:t>3 - 9 years</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55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acquired customer relationships</w:t>
            </w:r>
          </w:p>
        </w:tc>
        <w:tc>
          <w:tcPr>
            <w:tcW w:w="17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2 - 15 years</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Merchant Portfolios</w:t>
            </w:r>
          </w:p>
        </w:tc>
        <w:tc>
          <w:tcPr>
            <w:tcW w:w="5540" w:type="dxa"/>
            <w:vAlign w:val="bottom"/>
          </w:tcPr>
          <w:p>
            <w:pPr>
              <w:ind w:left="560"/>
              <w:spacing w:after="0"/>
              <w:rPr>
                <w:sz w:val="20"/>
                <w:szCs w:val="20"/>
                <w:color w:val="auto"/>
              </w:rPr>
            </w:pPr>
            <w:r>
              <w:rPr>
                <w:rFonts w:ascii="Arial" w:cs="Arial" w:eastAsia="Arial" w:hAnsi="Arial"/>
                <w:sz w:val="18"/>
                <w:szCs w:val="18"/>
                <w:color w:val="auto"/>
              </w:rPr>
              <w:t>acquired rights to a portfolio of merchants</w:t>
            </w:r>
          </w:p>
        </w:tc>
        <w:tc>
          <w:tcPr>
            <w:tcW w:w="1700" w:type="dxa"/>
            <w:vAlign w:val="bottom"/>
          </w:tcPr>
          <w:p>
            <w:pPr>
              <w:jc w:val="center"/>
              <w:ind w:left="50"/>
              <w:spacing w:after="0"/>
              <w:rPr>
                <w:sz w:val="20"/>
                <w:szCs w:val="20"/>
                <w:color w:val="auto"/>
              </w:rPr>
            </w:pPr>
            <w:r>
              <w:rPr>
                <w:rFonts w:ascii="Arial" w:cs="Arial" w:eastAsia="Arial" w:hAnsi="Arial"/>
                <w:sz w:val="18"/>
                <w:szCs w:val="18"/>
                <w:color w:val="auto"/>
                <w:w w:val="88"/>
              </w:rPr>
              <w:t>5 - 10 years</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55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acquired proprietary software and website domains</w:t>
            </w:r>
          </w:p>
        </w:tc>
        <w:tc>
          <w:tcPr>
            <w:tcW w:w="17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7 - 10 years</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Trade Names and Non-compete Agreements</w:t>
            </w:r>
          </w:p>
        </w:tc>
        <w:tc>
          <w:tcPr>
            <w:tcW w:w="5540" w:type="dxa"/>
            <w:vAlign w:val="bottom"/>
          </w:tcPr>
          <w:p>
            <w:pPr>
              <w:ind w:left="560"/>
              <w:spacing w:after="0"/>
              <w:rPr>
                <w:sz w:val="20"/>
                <w:szCs w:val="20"/>
                <w:color w:val="auto"/>
              </w:rPr>
            </w:pPr>
            <w:r>
              <w:rPr>
                <w:rFonts w:ascii="Arial" w:cs="Arial" w:eastAsia="Arial" w:hAnsi="Arial"/>
                <w:sz w:val="18"/>
                <w:szCs w:val="18"/>
                <w:color w:val="auto"/>
              </w:rPr>
              <w:t>acquired trade names and non-compete agreements</w:t>
            </w:r>
          </w:p>
        </w:tc>
        <w:tc>
          <w:tcPr>
            <w:tcW w:w="1700" w:type="dxa"/>
            <w:vAlign w:val="bottom"/>
          </w:tcPr>
          <w:p>
            <w:pPr>
              <w:jc w:val="center"/>
              <w:ind w:left="50"/>
              <w:spacing w:after="0"/>
              <w:rPr>
                <w:sz w:val="20"/>
                <w:szCs w:val="20"/>
                <w:color w:val="auto"/>
              </w:rPr>
            </w:pPr>
            <w:r>
              <w:rPr>
                <w:rFonts w:ascii="Arial" w:cs="Arial" w:eastAsia="Arial" w:hAnsi="Arial"/>
                <w:sz w:val="18"/>
                <w:szCs w:val="18"/>
                <w:color w:val="auto"/>
                <w:w w:val="88"/>
              </w:rPr>
              <w:t>5 - 12 years</w:t>
            </w:r>
          </w:p>
        </w:tc>
        <w:tc>
          <w:tcPr>
            <w:tcW w:w="0" w:type="dxa"/>
            <w:vAlign w:val="bottom"/>
          </w:tcPr>
          <w:p>
            <w:pPr>
              <w:spacing w:after="0"/>
              <w:rPr>
                <w:sz w:val="1"/>
                <w:szCs w:val="1"/>
                <w:color w:val="auto"/>
              </w:rPr>
            </w:pPr>
          </w:p>
        </w:tc>
      </w:tr>
      <w:tr>
        <w:trPr>
          <w:trHeight w:val="176"/>
        </w:trPr>
        <w:tc>
          <w:tcPr>
            <w:tcW w:w="37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Money Transmission Licenses</w:t>
            </w:r>
          </w:p>
        </w:tc>
        <w:tc>
          <w:tcPr>
            <w:tcW w:w="554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w w:val="94"/>
              </w:rPr>
              <w:t>acquired licenses to collect, store and send money in the U.S. and</w:t>
            </w:r>
          </w:p>
        </w:tc>
        <w:tc>
          <w:tcPr>
            <w:tcW w:w="1700" w:type="dxa"/>
            <w:vAlign w:val="bottom"/>
            <w:vMerge w:val="restart"/>
            <w:shd w:val="clear" w:color="auto" w:fill="CCEEFF"/>
          </w:tcPr>
          <w:p>
            <w:pPr>
              <w:jc w:val="center"/>
              <w:ind w:left="50"/>
              <w:spacing w:after="0"/>
              <w:rPr>
                <w:sz w:val="20"/>
                <w:szCs w:val="20"/>
                <w:color w:val="auto"/>
              </w:rPr>
            </w:pPr>
            <w:r>
              <w:rPr>
                <w:rFonts w:ascii="Arial" w:cs="Arial" w:eastAsia="Arial" w:hAnsi="Arial"/>
                <w:sz w:val="18"/>
                <w:szCs w:val="18"/>
                <w:color w:val="auto"/>
                <w:w w:val="94"/>
              </w:rPr>
              <w:t>indefinite</w:t>
            </w:r>
          </w:p>
        </w:tc>
        <w:tc>
          <w:tcPr>
            <w:tcW w:w="0" w:type="dxa"/>
            <w:vAlign w:val="bottom"/>
          </w:tcPr>
          <w:p>
            <w:pPr>
              <w:spacing w:after="0"/>
              <w:rPr>
                <w:sz w:val="1"/>
                <w:szCs w:val="1"/>
                <w:color w:val="auto"/>
              </w:rPr>
            </w:pPr>
          </w:p>
        </w:tc>
      </w:tr>
      <w:tr>
        <w:trPr>
          <w:trHeight w:val="135"/>
        </w:trPr>
        <w:tc>
          <w:tcPr>
            <w:tcW w:w="3780" w:type="dxa"/>
            <w:vAlign w:val="bottom"/>
            <w:vMerge w:val="continue"/>
            <w:shd w:val="clear" w:color="auto" w:fill="CCEEFF"/>
          </w:tcPr>
          <w:p>
            <w:pPr>
              <w:spacing w:after="0"/>
              <w:rPr>
                <w:sz w:val="11"/>
                <w:szCs w:val="11"/>
                <w:color w:val="auto"/>
              </w:rPr>
            </w:pPr>
          </w:p>
        </w:tc>
        <w:tc>
          <w:tcPr>
            <w:tcW w:w="5540" w:type="dxa"/>
            <w:vAlign w:val="bottom"/>
            <w:vMerge w:val="restart"/>
            <w:shd w:val="clear" w:color="auto" w:fill="CCEEFF"/>
          </w:tcPr>
          <w:p>
            <w:pPr>
              <w:ind w:left="560"/>
              <w:spacing w:after="0"/>
              <w:rPr>
                <w:sz w:val="20"/>
                <w:szCs w:val="20"/>
                <w:color w:val="auto"/>
              </w:rPr>
            </w:pPr>
            <w:r>
              <w:rPr>
                <w:rFonts w:ascii="Arial" w:cs="Arial" w:eastAsia="Arial" w:hAnsi="Arial"/>
                <w:sz w:val="18"/>
                <w:szCs w:val="18"/>
                <w:color w:val="auto"/>
              </w:rPr>
              <w:t>Puerto Rico</w:t>
            </w:r>
          </w:p>
        </w:tc>
        <w:tc>
          <w:tcPr>
            <w:tcW w:w="17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780" w:type="dxa"/>
            <w:vAlign w:val="bottom"/>
            <w:shd w:val="clear" w:color="auto" w:fill="CCEEFF"/>
          </w:tcPr>
          <w:p>
            <w:pPr>
              <w:spacing w:after="0"/>
              <w:rPr>
                <w:sz w:val="8"/>
                <w:szCs w:val="8"/>
                <w:color w:val="auto"/>
              </w:rPr>
            </w:pPr>
          </w:p>
        </w:tc>
        <w:tc>
          <w:tcPr>
            <w:tcW w:w="5540" w:type="dxa"/>
            <w:vAlign w:val="bottom"/>
            <w:vMerge w:val="continue"/>
            <w:shd w:val="clear" w:color="auto" w:fill="CCEEFF"/>
          </w:tcPr>
          <w:p>
            <w:pPr>
              <w:spacing w:after="0"/>
              <w:rPr>
                <w:sz w:val="8"/>
                <w:szCs w:val="8"/>
                <w:color w:val="auto"/>
              </w:rPr>
            </w:pPr>
          </w:p>
        </w:tc>
        <w:tc>
          <w:tcPr>
            <w:tcW w:w="17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right="60"/>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The Company reviews its long-lived assets for impairment whenever events or changes in circumstances indicate the carrying value of an asset may not be recoverable. For long-lived assets, except goodwill, an impairment loss is indicated when the undiscounted future cash flows estimated to be generated by the asset group are not sufficient to recover the carrying value of the asset group. If indicated, the loss is measured as the excess of carrying value over the asset groups' fair value, as determined based on discounted future cash flows. The Company concluded there were no indications of impairment for the years ended December 31, 2021 and 2019. For the year ended December 31, 2020, the Company recognized an impairment charge of $1.8 million for a residual buyout intangible asset. See </w:t>
      </w:r>
      <w:hyperlink w:anchor="page72">
        <w:r>
          <w:rPr>
            <w:rFonts w:ascii="Arial" w:cs="Arial" w:eastAsia="Arial" w:hAnsi="Arial"/>
            <w:sz w:val="17"/>
            <w:szCs w:val="17"/>
            <w:u w:val="single" w:color="auto"/>
            <w:color w:val="0000FF"/>
          </w:rPr>
          <w:t>Note 8, Goodwill and Other Intangible Assets</w:t>
        </w:r>
      </w:hyperlink>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right="140"/>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The Company tests goodwill for impairment on an annual basis, or when events occur or circumstances indicate the fair value of a reporting unit is below its carrying value. If the fair value of a reporting unit is less than its carrying value, an impairment loss is recorded to the extent that implied fair value of the goodwill within the reporting unit is less than its carrying value. See </w:t>
      </w:r>
      <w:hyperlink w:anchor="page72">
        <w:r>
          <w:rPr>
            <w:rFonts w:ascii="Arial" w:cs="Arial" w:eastAsia="Arial" w:hAnsi="Arial"/>
            <w:sz w:val="17"/>
            <w:szCs w:val="17"/>
            <w:u w:val="single" w:color="auto"/>
            <w:color w:val="0000FF"/>
          </w:rPr>
          <w:t>Note 8, Goodwill and Other Intangible Assets</w:t>
        </w:r>
      </w:hyperlink>
      <w:r>
        <w:rPr>
          <w:rFonts w:ascii="Arial" w:cs="Arial" w:eastAsia="Arial" w:hAnsi="Arial"/>
          <w:sz w:val="17"/>
          <w:szCs w:val="17"/>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 xml:space="preserve">The Company adopted Accounting Standards Update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and its related interpretations, codified as ASC 842 ("ASC 842"), as of January 1, 2021, applying the optional transition approach available whereby the new lease standard is applied at the adoption date recognizing a cumulative-effect adjustment to the opening balance of retained earnings in the period of adoption, if applicable, and prior periods are not restated. Upon adoption the Company recorded right-of-use ("ROU") assets of approximately $7.4 million and related operating lease obligations of approximately $8.4 million. There was no impact to the opening balance of retained earnings.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Under ASC 842</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evaluates lease and service arrangements at lease inception to determine if a lease is or contains a lease. Lease arrangements are evaluated at their commencement date to determine classification as operating or finance. Operating leases are reported as part of other noncurrent assets, accounts payable and accrued expenses and other noncurrent liabilities on the Company's Consolidated Balance Sheets. Finance leases, if applicable, are reported as part of property, equipment and software, net, and debt on the Company's Consolidated Balance Sheets. Leases with a term of twelve months or less are not included on the Company's Balance Sheets. The Company does not separate lease and non-lease components. Certain estimates and assumptions are made when determining the value of ROU assets and the related liabilities, including when establishing the lease term and discount rates and variable lease payments (e.g., rent escalations tied to changes in the Producer Price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55" w:name="page56"/>
    <w:bookmarkEnd w:id="55"/>
    <w:p>
      <w:pPr>
        <w:ind w:right="20"/>
        <w:spacing w:after="0" w:line="257" w:lineRule="auto"/>
        <w:rPr>
          <w:sz w:val="20"/>
          <w:szCs w:val="20"/>
          <w:color w:val="auto"/>
        </w:rPr>
      </w:pPr>
      <w:r>
        <w:rPr>
          <w:rFonts w:ascii="Arial" w:cs="Arial" w:eastAsia="Arial" w:hAnsi="Arial"/>
          <w:sz w:val="18"/>
          <w:szCs w:val="18"/>
          <w:color w:val="auto"/>
        </w:rPr>
        <w:t>The lease term for all of the Company's leases includes the non-cancelable period of the lease adjusted for any renewal or termination options the Company is reasonably certain to exercise. The lease payment stream includes any rent escalation that is required under certain lease agreements. The Company's leases generally do not provide an implicit rate of interest, nor is it readily determinable by the Company, and as such the Company uses its incremental borrowing rate in determining the discounted value of the lease payments. Lease expense and depreciation expense, if applicable, are recognized on a straight-line basis over the term of the lease.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to the Adoption of ASC 842</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has multiple operating leases related to office space. Operating leases do not involve transfer of risks and rewards of ownership of the leased asset to the lessee, therefore the Company expenses the costs of its operating leases. The Company may make various alterations (leasehold improvements) to the office space and capitalize these costs as part of property and equipment. Leasehold improvements are generally amortized on a straight-line basis over the useful life of the improvement or the term of the lease, whichever is shorter.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Assets and Customer Account Balances and Related Obligations</w:t>
      </w:r>
    </w:p>
    <w:p>
      <w:pPr>
        <w:spacing w:after="0" w:line="225" w:lineRule="exact"/>
        <w:rPr>
          <w:sz w:val="20"/>
          <w:szCs w:val="20"/>
          <w:color w:val="auto"/>
        </w:rPr>
      </w:pPr>
    </w:p>
    <w:p>
      <w:pPr>
        <w:ind w:right="620"/>
        <w:spacing w:after="0" w:line="263" w:lineRule="auto"/>
        <w:rPr>
          <w:rFonts w:ascii="Arial" w:cs="Arial" w:eastAsia="Arial" w:hAnsi="Arial"/>
          <w:sz w:val="18"/>
          <w:szCs w:val="18"/>
          <w:color w:val="0000FF"/>
        </w:rPr>
      </w:pPr>
      <w:r>
        <w:rPr>
          <w:rFonts w:ascii="Arial" w:cs="Arial" w:eastAsia="Arial" w:hAnsi="Arial"/>
          <w:sz w:val="18"/>
          <w:szCs w:val="18"/>
          <w:color w:val="auto"/>
        </w:rPr>
        <w:t xml:space="preserve">Settlement assets and customer account balances and the related obligations recognized on the Company's Consolidated Balance Sheets represent </w:t>
      </w:r>
      <w:hyperlink w:anchor="page69">
        <w:r>
          <w:rPr>
            <w:rFonts w:ascii="Arial" w:cs="Arial" w:eastAsia="Arial" w:hAnsi="Arial"/>
            <w:sz w:val="18"/>
            <w:szCs w:val="18"/>
            <w:color w:val="auto"/>
          </w:rPr>
          <w:t xml:space="preserve">intermediary balances arising in the Company's settlement process for merchants and other customers. See </w:t>
        </w:r>
        <w:r>
          <w:rPr>
            <w:rFonts w:ascii="Arial" w:cs="Arial" w:eastAsia="Arial" w:hAnsi="Arial"/>
            <w:sz w:val="18"/>
            <w:szCs w:val="18"/>
            <w:u w:val="single" w:color="auto"/>
            <w:color w:val="0000FF"/>
          </w:rPr>
          <w:t>Note 5, Settlement Assets and Customer</w:t>
        </w:r>
      </w:hyperlink>
      <w:r>
        <w:rPr>
          <w:rFonts w:ascii="Arial" w:cs="Arial" w:eastAsia="Arial" w:hAnsi="Arial"/>
          <w:sz w:val="18"/>
          <w:szCs w:val="18"/>
          <w:color w:val="auto"/>
        </w:rPr>
        <w:t xml:space="preserve"> </w:t>
      </w:r>
      <w:hyperlink w:anchor="page69">
        <w:r>
          <w:rPr>
            <w:rFonts w:ascii="Arial" w:cs="Arial" w:eastAsia="Arial" w:hAnsi="Arial"/>
            <w:sz w:val="18"/>
            <w:szCs w:val="18"/>
            <w:u w:val="single" w:color="auto"/>
            <w:color w:val="0000FF"/>
          </w:rPr>
          <w:t>Account Balances and Related Obligations</w:t>
        </w:r>
        <w:r>
          <w:rPr>
            <w:rFonts w:ascii="Arial" w:cs="Arial" w:eastAsia="Arial" w:hAnsi="Arial"/>
            <w:sz w:val="18"/>
            <w:szCs w:val="18"/>
            <w:color w:val="000000"/>
          </w:rPr>
          <w:t>.</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and Modification Costs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Eligible debt issuance costs associated with the Company's credit facilities are deferred and amortized to interest expense over the term of the related debt using the effective interest method. Debt issuance costs associated with Company's term debt are presented on the Company's Consolidated Balance Sheets as a direct reduction in the carrying value of the associated debt liability. Debt modification costs represents amounts paid to third parties to modify existing debt agreements when those amounts are not eligible for capitalization.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uses the acquisition method of accounting for business combinations which requires assets acquired and liabilities assumed to be recognized at their fair values on the acquisition date. Goodwill represents the excess of the purchase price over the fair value of the net assets acquired. The fair values of the assets acquired and liabilities assumed are determined based upon the valuation of the acquired business and involves making significant estimates and assumptions based on facts and circumstances that existed as of the acquisition date. The Company uses a measurement period following the acquisition date to gather information that existed as of the acquisition date that is needed to determine the fair value of the assets acquired and liabilities assumed. The measurement period ends once all information is obtained, but no later than one year from the acquisition date.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225" w:lineRule="exact"/>
        <w:rPr>
          <w:sz w:val="20"/>
          <w:szCs w:val="20"/>
          <w:color w:val="auto"/>
        </w:rPr>
      </w:pPr>
    </w:p>
    <w:p>
      <w:pPr>
        <w:jc w:val="both"/>
        <w:ind w:right="280"/>
        <w:spacing w:after="0" w:line="286" w:lineRule="auto"/>
        <w:rPr>
          <w:rFonts w:ascii="Arial" w:cs="Arial" w:eastAsia="Arial" w:hAnsi="Arial"/>
          <w:sz w:val="17"/>
          <w:szCs w:val="17"/>
          <w:color w:val="0000FF"/>
        </w:rPr>
      </w:pPr>
      <w:r>
        <w:rPr>
          <w:rFonts w:ascii="Arial" w:cs="Arial" w:eastAsia="Arial" w:hAnsi="Arial"/>
          <w:sz w:val="17"/>
          <w:szCs w:val="17"/>
          <w:color w:val="auto"/>
        </w:rPr>
        <w:t xml:space="preserve">The Company previously issued non-voting profit-sharing interests in three of its subsidiaries that were formed in 2019 or 2018 to acquire the operating </w:t>
      </w:r>
      <w:hyperlink w:anchor="page64">
        <w:r>
          <w:rPr>
            <w:rFonts w:ascii="Arial" w:cs="Arial" w:eastAsia="Arial" w:hAnsi="Arial"/>
            <w:sz w:val="17"/>
            <w:szCs w:val="17"/>
            <w:color w:val="auto"/>
          </w:rPr>
          <w:t xml:space="preserve">assets of certain businesses, which were deemed to be NCIs. As of December 31, 2021, the Company's NCIs have all been fully redeemed. See </w:t>
        </w:r>
        <w:r>
          <w:rPr>
            <w:rFonts w:ascii="Arial" w:cs="Arial" w:eastAsia="Arial" w:hAnsi="Arial"/>
            <w:sz w:val="17"/>
            <w:szCs w:val="17"/>
            <w:u w:val="single" w:color="auto"/>
            <w:color w:val="0000FF"/>
          </w:rPr>
          <w:t>Note 3,</w:t>
        </w:r>
      </w:hyperlink>
      <w:r>
        <w:rPr>
          <w:rFonts w:ascii="Arial" w:cs="Arial" w:eastAsia="Arial" w:hAnsi="Arial"/>
          <w:sz w:val="17"/>
          <w:szCs w:val="17"/>
          <w:color w:val="auto"/>
        </w:rPr>
        <w:t xml:space="preserve"> </w:t>
      </w:r>
      <w:hyperlink w:anchor="page64">
        <w:r>
          <w:rPr>
            <w:rFonts w:ascii="Arial" w:cs="Arial" w:eastAsia="Arial" w:hAnsi="Arial"/>
            <w:sz w:val="17"/>
            <w:szCs w:val="17"/>
            <w:u w:val="single" w:color="auto"/>
            <w:color w:val="0000FF"/>
          </w:rPr>
          <w:t>Acquisitions</w:t>
        </w:r>
        <w:r>
          <w:rPr>
            <w:rFonts w:ascii="Arial" w:cs="Arial" w:eastAsia="Arial" w:hAnsi="Arial"/>
            <w:sz w:val="17"/>
            <w:szCs w:val="17"/>
            <w:color w:val="0000FF"/>
          </w:rPr>
          <w:t xml:space="preserve"> </w:t>
        </w:r>
        <w:r>
          <w:rPr>
            <w:rFonts w:ascii="Arial" w:cs="Arial" w:eastAsia="Arial" w:hAnsi="Arial"/>
            <w:sz w:val="17"/>
            <w:szCs w:val="17"/>
            <w:color w:val="000000"/>
          </w:rPr>
          <w:t>and</w:t>
        </w:r>
        <w:r>
          <w:rPr>
            <w:rFonts w:ascii="Arial" w:cs="Arial" w:eastAsia="Arial" w:hAnsi="Arial"/>
            <w:sz w:val="17"/>
            <w:szCs w:val="17"/>
            <w:color w:val="0000FF"/>
          </w:rPr>
          <w:t xml:space="preserve"> </w:t>
        </w:r>
      </w:hyperlink>
      <w:hyperlink w:anchor="page70">
        <w:r>
          <w:rPr>
            <w:rFonts w:ascii="Arial" w:cs="Arial" w:eastAsia="Arial" w:hAnsi="Arial"/>
            <w:sz w:val="17"/>
            <w:szCs w:val="17"/>
            <w:u w:val="single" w:color="auto"/>
            <w:color w:val="0000FF"/>
          </w:rPr>
          <w:t xml:space="preserve">Note 6, Disposal of Business </w:t>
        </w:r>
      </w:hyperlink>
      <w:hyperlink w:anchor="page64">
        <w:r>
          <w:rPr>
            <w:rFonts w:ascii="Arial" w:cs="Arial" w:eastAsia="Arial" w:hAnsi="Arial"/>
            <w:sz w:val="17"/>
            <w:szCs w:val="17"/>
            <w:color w:val="000000"/>
          </w:rPr>
          <w:t>for more details related to the redemptions in 2021 and 2020.</w:t>
        </w:r>
      </w:hyperlink>
    </w:p>
    <w:p>
      <w:pPr>
        <w:spacing w:after="0" w:line="165" w:lineRule="exact"/>
        <w:rPr>
          <w:rFonts w:ascii="Arial" w:cs="Arial" w:eastAsia="Arial" w:hAnsi="Arial"/>
          <w:sz w:val="17"/>
          <w:szCs w:val="17"/>
          <w:color w:val="0000FF"/>
        </w:rPr>
      </w:pPr>
    </w:p>
    <w:p>
      <w:pPr>
        <w:ind w:right="100"/>
        <w:spacing w:after="0" w:line="263" w:lineRule="auto"/>
        <w:rPr>
          <w:sz w:val="20"/>
          <w:szCs w:val="20"/>
          <w:color w:val="auto"/>
        </w:rPr>
      </w:pPr>
      <w:r>
        <w:rPr>
          <w:rFonts w:ascii="Arial" w:cs="Arial" w:eastAsia="Arial" w:hAnsi="Arial"/>
          <w:sz w:val="18"/>
          <w:szCs w:val="18"/>
          <w:color w:val="auto"/>
        </w:rPr>
        <w:t>To estimate the initial fair value of a profit-sharing interest, the Company utilized future cash flow scenarios with a focus on those cash flow scenarios that could result in future distributions to the NCIs. Profits or losses are attributed to an NCI based on the hypothetical-liquidation-at-book-value method that utilizes the terms of the profit-sharing agreement between the Company and the NCIs.</w:t>
      </w:r>
    </w:p>
    <w:p>
      <w:pPr>
        <w:spacing w:after="0" w:line="200" w:lineRule="exact"/>
        <w:rPr>
          <w:rFonts w:ascii="Arial" w:cs="Arial" w:eastAsia="Arial" w:hAnsi="Arial"/>
          <w:sz w:val="17"/>
          <w:szCs w:val="17"/>
          <w:color w:val="0000FF"/>
        </w:rPr>
      </w:pPr>
    </w:p>
    <w:p>
      <w:pPr>
        <w:spacing w:after="0" w:line="200" w:lineRule="exact"/>
        <w:rPr>
          <w:rFonts w:ascii="Arial" w:cs="Arial" w:eastAsia="Arial" w:hAnsi="Arial"/>
          <w:sz w:val="17"/>
          <w:szCs w:val="17"/>
          <w:color w:val="0000FF"/>
        </w:rPr>
      </w:pPr>
    </w:p>
    <w:p>
      <w:pPr>
        <w:spacing w:after="0" w:line="200" w:lineRule="exact"/>
        <w:rPr>
          <w:rFonts w:ascii="Arial" w:cs="Arial" w:eastAsia="Arial" w:hAnsi="Arial"/>
          <w:sz w:val="17"/>
          <w:szCs w:val="17"/>
          <w:color w:val="0000FF"/>
        </w:rPr>
      </w:pPr>
    </w:p>
    <w:p>
      <w:pPr>
        <w:spacing w:after="0" w:line="200" w:lineRule="exact"/>
        <w:rPr>
          <w:rFonts w:ascii="Arial" w:cs="Arial" w:eastAsia="Arial" w:hAnsi="Arial"/>
          <w:sz w:val="17"/>
          <w:szCs w:val="17"/>
          <w:color w:val="0000FF"/>
        </w:rPr>
      </w:pPr>
    </w:p>
    <w:p>
      <w:pPr>
        <w:spacing w:after="0" w:line="302" w:lineRule="exact"/>
        <w:rPr>
          <w:rFonts w:ascii="Arial" w:cs="Arial" w:eastAsia="Arial" w:hAnsi="Arial"/>
          <w:sz w:val="17"/>
          <w:szCs w:val="17"/>
          <w:color w:val="0000FF"/>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rFonts w:ascii="Arial" w:cs="Arial" w:eastAsia="Arial" w:hAnsi="Arial"/>
          <w:sz w:val="17"/>
          <w:szCs w:val="17"/>
          <w:color w:val="0000FF"/>
        </w:rPr>
      </w:pPr>
      <w:r>
        <w:rPr>
          <w:rFonts w:ascii="Arial" w:cs="Arial" w:eastAsia="Arial" w:hAnsi="Arial"/>
          <w:sz w:val="17"/>
          <w:szCs w:val="17"/>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6" w:name="page57"/>
    <w:bookmarkEnd w:id="56"/>
    <w:p>
      <w:pPr>
        <w:jc w:val="both"/>
        <w:ind w:right="60"/>
        <w:spacing w:after="0" w:line="263" w:lineRule="auto"/>
        <w:rPr>
          <w:sz w:val="20"/>
          <w:szCs w:val="20"/>
          <w:color w:val="auto"/>
        </w:rPr>
      </w:pPr>
      <w:r>
        <w:rPr>
          <w:rFonts w:ascii="Arial" w:cs="Arial" w:eastAsia="Arial" w:hAnsi="Arial"/>
          <w:sz w:val="18"/>
          <w:szCs w:val="18"/>
          <w:color w:val="auto"/>
        </w:rPr>
        <w:t>Based on the LLC agreements for these three subsidiaries, in certain instances the NCIs are entitled to certain earnings of the respective subsidiary. Prior to 2020, no earnings were attributable to any NCIs. All material earnings attributable to the NCIs for the year ended December 31, 2020 were simultaneously distributed to the NCIs.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Residual Commissions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Accrued residual commissions consist of amounts due to ISOs and independent sales agents based on a percentage of the net revenues generated from the Company's merchant customers. Percentages vary based on the program type and transaction volume of each merchant. Residual commission expenses were $318.9 million, $240.2 million and $213.8 million, respectively, for the years ended December 31, 2021, 2020 and 2019, and are included in costs of services in the accompanying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ISO Deposit and Loss Reserve</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ISOs may partner with the Company in an exclusive partner program in which ISOs are given negotiated pricing in exchange for bearing risk of loss. Through the arrangement, the Company accepts deposits on behalf of the ISO and a reserve account is established by the Company. All amounts maintained by the Company are included in the accompanying Consolidated Balance Sheets as other liabilities, which are directly offset by restricted cash accounts owned by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Company recognizes the cost resulting from all stock-based payment transactions in the financial statements at grant date fair value. Stock-based compensation expense is recognized over the requisite service period and is reflected in salary and employee benefits expense on the Company's Consolidated Statements of Operations. Awards generally vest over two or three years and may not vest evenly over the vesting period. The effects of forfeitures are recognized as they occur.</w:t>
      </w:r>
    </w:p>
    <w:p>
      <w:pPr>
        <w:spacing w:after="0" w:line="18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Company measures a liability award under a stock-based payment arrangement based on the award's fair value remeasured at each reporting date until the date of settlement. Compensation cost for each period until settlement is based on the change (or a portion of the change, depending on the percentage of the requisite service that has been rendered at the reporting date) in the fair value of the instrument for each reporting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Under the Company's 2018 Equity Incentive Plan, the Company determines the fair value of stock options using the Black-Scholes option pricing model, which requires the use of the following subjective assumptions:</w:t>
      </w:r>
    </w:p>
    <w:p>
      <w:pPr>
        <w:spacing w:after="0" w:line="170" w:lineRule="exact"/>
        <w:rPr>
          <w:sz w:val="20"/>
          <w:szCs w:val="20"/>
          <w:color w:val="auto"/>
        </w:rPr>
      </w:pPr>
    </w:p>
    <w:p>
      <w:pPr>
        <w:spacing w:after="0" w:line="311" w:lineRule="auto"/>
        <w:rPr>
          <w:sz w:val="20"/>
          <w:szCs w:val="20"/>
          <w:color w:val="auto"/>
        </w:rPr>
      </w:pPr>
      <w:r>
        <w:rPr>
          <w:rFonts w:ascii="Arial" w:cs="Arial" w:eastAsia="Arial" w:hAnsi="Arial"/>
          <w:sz w:val="16"/>
          <w:szCs w:val="16"/>
          <w:i w:val="1"/>
          <w:iCs w:val="1"/>
          <w:color w:val="auto"/>
        </w:rPr>
        <w:t xml:space="preserve">Expected volatility – </w:t>
      </w:r>
      <w:r>
        <w:rPr>
          <w:rFonts w:ascii="Arial" w:cs="Arial" w:eastAsia="Arial" w:hAnsi="Arial"/>
          <w:sz w:val="16"/>
          <w:szCs w:val="16"/>
          <w:color w:val="auto"/>
        </w:rPr>
        <w:t>Measure of the amount by which a stock price has fluctuated or is expected to fluctuate. Due to the relatively short amount of time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common stock (Nasdaq: PRTH) has traded on a public market, the Company uses volatility data for the common stocks of a peer group of comparable public companies. An increase in the expected volatility will increase the fair value of the stock option and related compensation expense.</w:t>
      </w:r>
    </w:p>
    <w:p>
      <w:pPr>
        <w:spacing w:after="0" w:line="14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i w:val="1"/>
          <w:iCs w:val="1"/>
          <w:color w:val="auto"/>
        </w:rPr>
        <w:t xml:space="preserve">Risk-free interest rate – </w:t>
      </w:r>
      <w:r>
        <w:rPr>
          <w:rFonts w:ascii="Arial" w:cs="Arial" w:eastAsia="Arial" w:hAnsi="Arial"/>
          <w:sz w:val="17"/>
          <w:szCs w:val="17"/>
          <w:color w:val="auto"/>
        </w:rPr>
        <w:t>U.S. Treasury rate for a stripped-principal treasury note as of the grant date having a term equal to the expected term of the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 An increase in the risk-free interest rate will increase the fair value of the stock option and related compensation expense.</w:t>
      </w:r>
    </w:p>
    <w:p>
      <w:pPr>
        <w:spacing w:after="0" w:line="14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 xml:space="preserve">Expected term – </w:t>
      </w:r>
      <w:r>
        <w:rPr>
          <w:rFonts w:ascii="Arial" w:cs="Arial" w:eastAsia="Arial" w:hAnsi="Arial"/>
          <w:sz w:val="17"/>
          <w:szCs w:val="17"/>
          <w:color w:val="auto"/>
        </w:rPr>
        <w:t>Period of time over which the stock options granted are expected to remain outstanding. As a newly public company, the Company lacks</w:t>
      </w:r>
      <w:r>
        <w:rPr>
          <w:rFonts w:ascii="Arial" w:cs="Arial" w:eastAsia="Arial" w:hAnsi="Arial"/>
          <w:sz w:val="17"/>
          <w:szCs w:val="17"/>
          <w:i w:val="1"/>
          <w:iCs w:val="1"/>
          <w:color w:val="auto"/>
        </w:rPr>
        <w:t xml:space="preserve"> </w:t>
      </w:r>
      <w:r>
        <w:rPr>
          <w:rFonts w:ascii="Arial" w:cs="Arial" w:eastAsia="Arial" w:hAnsi="Arial"/>
          <w:sz w:val="17"/>
          <w:szCs w:val="17"/>
          <w:color w:val="auto"/>
        </w:rPr>
        <w:t>sufficient exercise information for its stock option plan. Accordingly, the Company uses a method permitted by the Securities and Exchange Commission ("SEC") whereby the expected term is estimated to be the mid-point between the vesting dates and the expiration dates of the stock option grants. An increase in the expected term will increase the fair value of the stock option and the related compensation expense.</w:t>
      </w:r>
    </w:p>
    <w:p>
      <w:pPr>
        <w:spacing w:after="0" w:line="171"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i w:val="1"/>
          <w:iCs w:val="1"/>
          <w:color w:val="auto"/>
        </w:rPr>
        <w:t xml:space="preserve">Dividend yield – </w:t>
      </w:r>
      <w:r>
        <w:rPr>
          <w:rFonts w:ascii="Arial" w:cs="Arial" w:eastAsia="Arial" w:hAnsi="Arial"/>
          <w:sz w:val="16"/>
          <w:szCs w:val="16"/>
          <w:color w:val="auto"/>
        </w:rPr>
        <w:t>The Company uses an amount of zero as the Company has paid no cash or stock dividends and does not anticipate doing so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foreseeable future. An increase in the dividend yield will decrease the fair value of the stock option and the related compensation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If a participant terminates employment with the Company, vested options may be exercised for a short period of time while unvested options are forfeited.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in any event, a stock option will expire ten years from the date of grant.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Time-based restricted stock awards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fair value of time-based restricted stock awards is determined based on the quoted closing price of the Company's common stock on the date of grant and is recognized as compensation expense over the vesting term of the awards.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Performance-based restricted stock awards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accounts for its performance-based restricted stock awards based on the quoted closing price of the Company's common stock on the date of grant, adjusted for any market-based vesting criteria, and records stock-based compensation expense over the vesting term of the awards based on the probability that the performance criteria will be achieved. The performance goals may be work-related goals for the individual recipient and/or based on certain corporate performance goals. The Company reassesses the probability of vesting at each reporting period and prospectively adjusts stock-based compensation expense based on its probability assessment. Additionally, if performance goals are set or reset on an annual basis, compensation cost is recognized in any reporting period only for performance-based restricted stock awards in which the performance goals have been established and communicated to the award recipient.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Repurchased Stock</w:t>
      </w:r>
    </w:p>
    <w:p>
      <w:pPr>
        <w:spacing w:after="0" w:line="225" w:lineRule="exact"/>
        <w:rPr>
          <w:sz w:val="20"/>
          <w:szCs w:val="20"/>
          <w:color w:val="auto"/>
        </w:rPr>
      </w:pPr>
    </w:p>
    <w:p>
      <w:pPr>
        <w:ind w:right="80"/>
        <w:spacing w:after="0" w:line="259" w:lineRule="auto"/>
        <w:rPr>
          <w:rFonts w:ascii="Arial" w:cs="Arial" w:eastAsia="Arial" w:hAnsi="Arial"/>
          <w:sz w:val="18"/>
          <w:szCs w:val="18"/>
          <w:color w:val="0000FF"/>
        </w:rPr>
      </w:pPr>
      <w:r>
        <w:rPr>
          <w:rFonts w:ascii="Arial" w:cs="Arial" w:eastAsia="Arial" w:hAnsi="Arial"/>
          <w:sz w:val="18"/>
          <w:szCs w:val="18"/>
          <w:color w:val="212529"/>
        </w:rPr>
        <w:t xml:space="preserve">Pursuant to the provisions of ASC 505-30, </w:t>
      </w:r>
      <w:r>
        <w:rPr>
          <w:rFonts w:ascii="Arial" w:cs="Arial" w:eastAsia="Arial" w:hAnsi="Arial"/>
          <w:sz w:val="18"/>
          <w:szCs w:val="18"/>
          <w:i w:val="1"/>
          <w:iCs w:val="1"/>
          <w:color w:val="212529"/>
        </w:rPr>
        <w:t>Treasury Stock</w:t>
      </w:r>
      <w:r>
        <w:rPr>
          <w:rFonts w:ascii="Arial" w:cs="Arial" w:eastAsia="Arial" w:hAnsi="Arial"/>
          <w:sz w:val="18"/>
          <w:szCs w:val="18"/>
          <w:color w:val="212529"/>
        </w:rPr>
        <w:t xml:space="preserve">, the Company has elected to apply the cost method when accounting for treasury stock resulting from the repurchase of its common stock. Under the cost method, the gross cost of the shares reacquired is charged to a contra equity account, treasury stock. The equity accounts that were originally credited for the original share issuance, common stock and additional paid-in capital, remain intact. See </w:t>
      </w:r>
      <w:hyperlink w:anchor="page86">
        <w:r>
          <w:rPr>
            <w:rFonts w:ascii="Arial" w:cs="Arial" w:eastAsia="Arial" w:hAnsi="Arial"/>
            <w:sz w:val="18"/>
            <w:szCs w:val="18"/>
            <w:u w:val="single" w:color="auto"/>
            <w:color w:val="0000FF"/>
          </w:rPr>
          <w:t>Note 16, Stockholders' Deficit</w:t>
        </w:r>
      </w:hyperlink>
      <w:r>
        <w:rPr>
          <w:rFonts w:ascii="Arial" w:cs="Arial" w:eastAsia="Arial" w:hAnsi="Arial"/>
          <w:sz w:val="18"/>
          <w:szCs w:val="18"/>
          <w:color w:val="212529"/>
        </w:rPr>
        <w:t>.</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212529"/>
        </w:rPr>
        <w:t>If the treasury shares are ever reissued in the future, proceeds in excess of repurchased cost will be credited to additional paid-in capital. Any deficiency will be charged to retained earnings (accumulated deficit), unless additional paid-in capital from previous treasury stock transactions exists, in which case the deficiency will be charged to that account, with any excess charged to retained earnings (accumulated deficit). If treasury stock is reissued in the future, a cost flow assumption (e.g., FIFO, LIFO or specific identification) will be adopted to compute excesses and deficiencies upon subsequent share reissuance.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Share</w:t>
      </w:r>
    </w:p>
    <w:p>
      <w:pPr>
        <w:spacing w:after="0" w:line="22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Basic earnings (loss) per share ("EPS") is computed by dividing net income (loss) available to common stockholders by the weighted-average number of shares of common stock outstanding during the period, excluding the effects of any potentially dilutive securities. Diluted EPS gives effect to the potential dilution, if any, that could occur if securities or other contracts to issue common stock were exercised or converted into common stock, using the more dilutive of the two-class method or if-converted method. Diluted EPS excludes potential shares of common stock if their effect is anti-dilutive. If there is a net loss in any period, basic and diluted EPS are computed in the same manner.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accounts for income taxes under the asset and liability method. Under this method, deferred tax assets and liabilities are determined based on differences between financial reporting and tax bases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recognizes an uncertain tax position in its financial statements when it concludes that a tax position is more likely than not to be sustained upon examination based solely on its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w:t>
      </w:r>
    </w:p>
    <w:p>
      <w:pPr>
        <w:sectPr>
          <w:pgSz w:w="11900" w:h="16838" w:orient="portrait"/>
          <w:cols w:equalWidth="0" w:num="1">
            <w:col w:w="11220"/>
          </w:cols>
          <w:pgMar w:left="320" w:top="14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type w:val="continuous"/>
        </w:sectPr>
      </w:pPr>
    </w:p>
    <w:bookmarkStart w:id="58" w:name="page59"/>
    <w:bookmarkEnd w:id="58"/>
    <w:p>
      <w:pPr>
        <w:ind w:right="500"/>
        <w:spacing w:after="0" w:line="277" w:lineRule="auto"/>
        <w:rPr>
          <w:sz w:val="20"/>
          <w:szCs w:val="20"/>
          <w:color w:val="auto"/>
        </w:rPr>
      </w:pPr>
      <w:r>
        <w:rPr>
          <w:rFonts w:ascii="Arial" w:cs="Arial" w:eastAsia="Arial" w:hAnsi="Arial"/>
          <w:sz w:val="18"/>
          <w:szCs w:val="18"/>
          <w:color w:val="auto"/>
        </w:rPr>
        <w:t>probability basis. The full impact of any change in recognition or measurement is reflected in the period in which such change occurs. The Company recognized interest and penalties associated with uncertain tax positions as a component of income tax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 measures certain assets and liabilities at fair value. 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to prioritize the inputs used to measure fair value and maximizes the use of observable inputs and minimizes the use of unobservable inputs. The three levels of inputs used to measure fair value are as follows: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market prices in active markets for identical assets or liabilities as of the reporting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2 – Observable market-based inputs or unobservable inputs that are corroborated by market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fair values of the Company's merchant portfolios, assets and liabilities acquired in mergers and business combinations, and contingent consideration are primarily based on Level 3 inputs and are generally estimated based upon valuation techniques that include discounted cash flow analysis based on cash flow projections and, for years beyond the projection period, estimates based on assumed growth rates. Assumptions are also made regarding appropriate discount rates, perpetual growth rates, and capital expenditures, among others. In certain circumstances, the discounted cash flow analysis is corroborated by a market-based approach that utilizes comparable company public trading values and, where available, values observed in public market transactions.</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carrying values of accounts and notes receivable, accounts payable and accrued expenses, long-term debt and cash, including settlement assets and the associated deposit liabilities, approximate their fair values due to either the short-term nature of such instruments or the fact that the interest rate of the debt is based upon current market rates. The Company does not currently have any fair value estimates that are required to be remeasured at the end of each reporting period on a recurring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Company's reporting currency is the U.S. dollar. Assets and liabilities denominated in a foreign currency are translated into U.S. dollars at the current exchange rate on the last day of the reporting period. Revenues and expenses are translated using the average exchange rate in effect during the reporting period. Foreign exchange translation and transaction gains and losses were not material for the periods presented and are included in the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an EGC, the Company made an election under Section 107(b)(1) of the JOBS Act to take advantage of the extended transition period provided in Section 7(a)(2)(B) of the Securities Act, for complying with new or revised accounting standards and has been following requirements applicable to the private companies for adopting new and updated accounting standards. On December 31, 2021, the Company ceased to qualify as an EGC, and accordingly adopted new accounting standards when applicable for non-EGC, smaller reporting company filers.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(ASC 842)</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codified as ASC 842. Under this new guidance, lessees are required to recognize for all leases (with the exception of short-term leases): 1) a lease liability equal to the lessee's obligation to make lease payments arising from a lease, measured on a discounted basis and 2) a ROU asset which will represent the lessee's right to use, or control the use of, a specified asset for the lease term. On December 31, 2021, we ceased to qualify as an EGC, and therefore, we adopted ASC 842 and its related interpretations as of January 1, 2021. In the adoption of ASC 842,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59" w:name="page60"/>
    <w:bookmarkEnd w:id="59"/>
    <w:p>
      <w:pPr>
        <w:ind w:right="80"/>
        <w:spacing w:after="0" w:line="289" w:lineRule="auto"/>
        <w:rPr>
          <w:sz w:val="20"/>
          <w:szCs w:val="20"/>
          <w:color w:val="auto"/>
        </w:rPr>
      </w:pPr>
      <w:r>
        <w:rPr>
          <w:rFonts w:ascii="Arial" w:cs="Arial" w:eastAsia="Arial" w:hAnsi="Arial"/>
          <w:sz w:val="16"/>
          <w:szCs w:val="16"/>
          <w:color w:val="auto"/>
        </w:rPr>
        <w:t xml:space="preserve">used the optional transition approach available under ASU 2018-11, </w:t>
      </w:r>
      <w:r>
        <w:rPr>
          <w:rFonts w:ascii="Arial" w:cs="Arial" w:eastAsia="Arial" w:hAnsi="Arial"/>
          <w:sz w:val="16"/>
          <w:szCs w:val="16"/>
          <w:i w:val="1"/>
          <w:iCs w:val="1"/>
          <w:color w:val="auto"/>
        </w:rPr>
        <w:t>Leases.</w:t>
      </w:r>
      <w:r>
        <w:rPr>
          <w:rFonts w:ascii="Arial" w:cs="Arial" w:eastAsia="Arial" w:hAnsi="Arial"/>
          <w:sz w:val="16"/>
          <w:szCs w:val="16"/>
          <w:color w:val="auto"/>
        </w:rPr>
        <w:t xml:space="preserve"> Under the optional transition approach, which the new lease standard is applied at the adoption date recognizing a cumulative-effect adjustment to the opening balance of retained earnings in the period of adoption, if applicable, and prior periods are not restated. The Company elected to adopt the package of practical expedients pursuant to which it has not reassessed: 1) whether existing or expired contracts contain a lease; 2) lease classification for existing or expired leases; or 3) the accounting for initial direct costs that were previously capitalized. The Company has also elected the practical expedients available under the standard and has made accounting policy elections to: 1) exclude short-term leases from the balance sheets; and 2) not separate lease and non-lease components. The Company did not elect the practical expedient to use hindsight in determining lease terms for existing leases and when assessing existing ROU assets for impairment. Upon adoption we recognized approximately $7.4 million for ROU assets and approximately $8.4 million for the related operating lease obligations. There was no impact to the opening balance of retained earnings. The Company does not expect the new accounting standard to have a material effect on future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 Incurred in Cloud Computing Arrangements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Customer's Accounting for Implementation Costs Incurred in a Cloud Computing Arrangement That Is 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Service Contract </w:t>
      </w:r>
      <w:r>
        <w:rPr>
          <w:rFonts w:ascii="Arial" w:cs="Arial" w:eastAsia="Arial" w:hAnsi="Arial"/>
          <w:sz w:val="17"/>
          <w:szCs w:val="17"/>
          <w:color w:val="auto"/>
        </w:rPr>
        <w:t>("ASU 2015-15"), which aligns the requirements for capitalizing implementation costs incurred in a hosting arrangement that is a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with the requirements for capitalizing implementation costs incurred to develop or obtain internal-use software (and hosting arrangements that include an internal-use software license). The Company adopted ASU 2018-15 on January 1, 2021, electing to apply the amendments prospectively to all implementation costs incurred after adoption. The adoption of this ASU did not impact the Company's Consolidated Financial Statements, as there were no implementation costs incurred for hosting arrangements that are service contracts during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Simplifying the Accounting for Income Taxes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xml:space="preserve"> ("ASU 2019-12"), which is intended to enhance and simplify various aspects of the accounting for income taxes. The amendments in this update remove certain exceptions to the general principles in ASC 740 related to the approach for intra-period tax allocation, the methodology for calculating income taxes in an interim period and the recognition of deferred tax liabilities for outside basis differences. ASU 2019-12 also clarifies and amends existing guidance to improve consistency in the application of the accounting for franchise taxes, enacted changes in tax laws or rates and transactions that result in a step-up in the tax basis of goodwill. The adoption of ASU 2019-12 on January 1, 2021 did not have a material effect on our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Testing (ASU 2017-04)</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xml:space="preserve"> ("ASU 2017-04"). ASU 2017-04 eliminates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impacted reporting unit. ASU 2017-04 will not change the current guidance for completing Step 1 of the goodwill impairment test, and an entity will still be able to perform the current optional qualitative goodwill impairment assessment before determining whether to proceed to Step 1. The Company adopted ASU 2017-04 on January 1, 2021, and there was no impact to the Company's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 Pending Adoption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standards are pending adoption and will likely apply to the Company in future periods based on the Company's current business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Facilitation of the Effects of Reference Rate Reform on Financial Reporting</w:t>
      </w:r>
      <w:r>
        <w:rPr>
          <w:rFonts w:ascii="Arial" w:cs="Arial" w:eastAsia="Arial" w:hAnsi="Arial"/>
          <w:sz w:val="18"/>
          <w:szCs w:val="18"/>
          <w:color w:val="auto"/>
        </w:rPr>
        <w:t>, which provides temporary optional expedients and exceptions to the GAAP guidance on contract modifications and hedge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0" w:name="page61"/>
    <w:bookmarkEnd w:id="60"/>
    <w:p>
      <w:pPr>
        <w:ind w:right="40"/>
        <w:spacing w:after="0" w:line="254" w:lineRule="auto"/>
        <w:rPr>
          <w:sz w:val="20"/>
          <w:szCs w:val="20"/>
          <w:color w:val="auto"/>
        </w:rPr>
      </w:pPr>
      <w:r>
        <w:rPr>
          <w:rFonts w:ascii="Arial" w:cs="Arial" w:eastAsia="Arial" w:hAnsi="Arial"/>
          <w:sz w:val="18"/>
          <w:szCs w:val="18"/>
          <w:color w:val="auto"/>
        </w:rPr>
        <w:t xml:space="preserve">accounting to ease the financial reporting burdens of the expected market transition from the London Interbank Offered Rate ("LIBOR") and other interbank offered rates to alternative reference rates, such as the Secured Overnight Financial Rate. If certain criteria are met, entities can elect not to apply certain modification accounting requirements to contracts affected by what the guidance calls reference rate reform. An entity that makes this election would not have to remeasure the contract at the modification date or reassess a previous accounting determination. In January 2021, the FASB issued </w:t>
      </w:r>
      <w:r>
        <w:rPr>
          <w:rFonts w:ascii="Arial" w:cs="Arial" w:eastAsia="Arial" w:hAnsi="Arial"/>
          <w:sz w:val="18"/>
          <w:szCs w:val="18"/>
          <w:i w:val="1"/>
          <w:iCs w:val="1"/>
          <w:color w:val="auto"/>
        </w:rPr>
        <w:t>ASU</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2021-01, Reference Rate Reform (Topic 848), Scope </w:t>
      </w:r>
      <w:r>
        <w:rPr>
          <w:rFonts w:ascii="Arial" w:cs="Arial" w:eastAsia="Arial" w:hAnsi="Arial"/>
          <w:sz w:val="18"/>
          <w:szCs w:val="18"/>
          <w:color w:val="auto"/>
        </w:rPr>
        <w:t>("ASU 2021-01"), which clarifies that certain optional expedients and exceptions in Topic 848 for</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modifications and hedge accounting apply to derivatives that are affected by the discounting transition. These updates can be adopted at any time before December 31, 2022. The Company is currently evaluating the potential impact that ASU 2021-01 may have on the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("ASU 2016-13"). This new guidance will change how entities account for credit impairment for trade and other receivables, as well as for certain financial 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 loss (or allowance) is recognized upon initial recognition of the asset that reflects all future events that leads to a loss being realized, regardless of whether it is probable that the future event will occur. The "incurred loss" model considers past events and current conditions, while the "expected loss" model includes expectations for the future which have yet to occur. The standard will require entities to record a cumulative-effect adjustment to the balance sheet as of the beginning of the first reporting period in which the guidance is effective. The Company is currently evaluating the potential impact that this update may have on the timing of recognizing future provisions for expected losses on the Company's accounts receivable and notes receivable. Since the Company is a smaller reporting company, the Company must adopt this new standard no later than the beginning of 2023 for annual and interim reporting periods.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 Accounting for Contract Assets and Contract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("ASU 2021-08"), which requires entities to recognize and measure contract assets and liabilities acquired in a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in accordance with ASC 606, as if the acquirer had originated the contracts. Generally this will result in the acquirer recognizing and measuring the acquired contract assets and liabilities consistent with the manner by which they were recognized and measured by the acquiree. This update is effective for the Company on January 1, 2023, including interim periods within those fiscal years. The impact that ASU 2021-08 may have on the Company's Consolidated Financial Statements will depend on the circumstances of any business combination that may occur after adoption.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substantial portion of the Company's revenues and receivables are attributable to merchants. For the years ended December 31, 2021, 2020 and 2019, no individual merchant customer accounted for 10% or more of the Company's consolidated revenues. Most of the Company's merchant customers were referred to the Company by an ISO or other referral partners. If the Company's agreement with an ISO allows the ISO to have merchant portability rights, the ISO can move the underlying merchant relationships to another merchant acquirer upon notice to the Company and completion of a "wind down" period. For the years ended December 31, 2021, 2020 and 2019, merchants referred by one ISO organization with merchant portability rights generated revenue within the Company's SMB Payments reportable segment that represented approximately 22%, 21% and 18%, respectively, of the Company's consolidated revenues.</w:t>
      </w:r>
    </w:p>
    <w:p>
      <w:pPr>
        <w:spacing w:after="0" w:line="1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majority of the Company's cash and restricted cash is held in certain FIs, substantially all of which is in excess of federal deposit insurance corporation limits. The Company does not believe it is exposed to any significant credit risk from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Certain prior year amounts in these Consolidated Financial Statements have been reclassified to conform to the current year presentation, with no net effect on the Company's operating income, income (loss) before income tax expense (benefit), net income (loss), stockholders' deficit.</w:t>
      </w:r>
    </w:p>
    <w:p>
      <w:pPr>
        <w:spacing w:after="0" w:line="14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reclassified certain cash flows related to settlement assets and customer account balances and the related obligations from net cash provided by operating activities to net cash provided by (used in) financing activities within the Consolidated Statements of Cash Flows. Prior period amounts have been reclassified to conform to the current period presentation. These changes have no impact on our previously reported consolidated net income, financial position or net increase in cash and cash equivalents.</w:t>
      </w:r>
    </w:p>
    <w:p>
      <w:pPr>
        <w:spacing w:after="0" w:line="18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current period presentation classifies all changes in settlement and customer account balance obligations on our Consolidated Statements of Cash Flows as net cash provided by (used in) financing activities. The current period presentation provides a more meaningful representation of the cash flows related to the movement of settlement assets and customer account balances due to the restrictions on and use of those funds.</w:t>
      </w:r>
    </w:p>
    <w:p>
      <w:pPr>
        <w:spacing w:after="0" w:line="1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tables present the effects of the changes on the presentation of these cash flows to the previously reported 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52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4"/>
          </w:tcPr>
          <w:p>
            <w:pPr>
              <w:jc w:val="right"/>
              <w:ind w:right="1150"/>
              <w:spacing w:after="0"/>
              <w:rPr>
                <w:sz w:val="20"/>
                <w:szCs w:val="20"/>
                <w:color w:val="auto"/>
              </w:rPr>
            </w:pPr>
            <w:r>
              <w:rPr>
                <w:rFonts w:ascii="Arial" w:cs="Arial" w:eastAsia="Arial" w:hAnsi="Arial"/>
                <w:sz w:val="18"/>
                <w:szCs w:val="18"/>
                <w:b w:val="1"/>
                <w:bCs w:val="1"/>
                <w:color w:val="auto"/>
              </w:rPr>
              <w:t>Years Ended December 31,</w:t>
            </w:r>
          </w:p>
        </w:tc>
      </w:tr>
      <w:tr>
        <w:trPr>
          <w:trHeight w:val="223"/>
        </w:trPr>
        <w:tc>
          <w:tcPr>
            <w:tcW w:w="67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2019</w:t>
            </w: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5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Historically reported</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47,072</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39,364</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w:t>
            </w:r>
          </w:p>
        </w:tc>
        <w:tc>
          <w:tcPr>
            <w:tcW w:w="5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(27,284)</w:t>
            </w:r>
          </w:p>
        </w:tc>
      </w:tr>
      <w:tr>
        <w:trPr>
          <w:trHeight w:val="223"/>
        </w:trPr>
        <w:tc>
          <w:tcPr>
            <w:tcW w:w="6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Reclassified</w:t>
            </w: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12,202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12,080</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5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Historically reported</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(175,813)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75,017</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w:t>
            </w:r>
          </w:p>
        </w:tc>
        <w:tc>
          <w:tcPr>
            <w:tcW w:w="5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27,284</w:t>
            </w:r>
          </w:p>
        </w:tc>
      </w:tr>
      <w:tr>
        <w:trPr>
          <w:trHeight w:val="223"/>
        </w:trPr>
        <w:tc>
          <w:tcPr>
            <w:tcW w:w="6700" w:type="dxa"/>
            <w:vAlign w:val="bottom"/>
          </w:tcPr>
          <w:p>
            <w:pPr>
              <w:ind w:left="240"/>
              <w:spacing w:after="0"/>
              <w:rPr>
                <w:sz w:val="20"/>
                <w:szCs w:val="20"/>
                <w:color w:val="auto"/>
              </w:rPr>
            </w:pPr>
            <w:r>
              <w:rPr>
                <w:rFonts w:ascii="Arial" w:cs="Arial" w:eastAsia="Arial" w:hAnsi="Arial"/>
                <w:sz w:val="18"/>
                <w:szCs w:val="18"/>
                <w:b w:val="1"/>
                <w:bCs w:val="1"/>
                <w:color w:val="auto"/>
              </w:rPr>
              <w:t>Reclassified</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(140,943)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102,301</w:t>
            </w:r>
          </w:p>
        </w:tc>
      </w:tr>
      <w:tr>
        <w:trPr>
          <w:trHeight w:val="21"/>
        </w:trPr>
        <w:tc>
          <w:tcPr>
            <w:tcW w:w="6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Leases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The Company adopted ASC 842 and its related interpretations effective January 1, 2021, using the optional transition approach available under ASU 2018-11, </w:t>
      </w:r>
      <w:r>
        <w:rPr>
          <w:rFonts w:ascii="Arial" w:cs="Arial" w:eastAsia="Arial" w:hAnsi="Arial"/>
          <w:sz w:val="18"/>
          <w:szCs w:val="18"/>
          <w:i w:val="1"/>
          <w:iCs w:val="1"/>
          <w:color w:val="auto"/>
        </w:rPr>
        <w:t>Leases</w:t>
      </w:r>
      <w:r>
        <w:rPr>
          <w:rFonts w:ascii="Arial" w:cs="Arial" w:eastAsia="Arial" w:hAnsi="Arial"/>
          <w:sz w:val="18"/>
          <w:szCs w:val="18"/>
          <w:color w:val="auto"/>
        </w:rPr>
        <w:t>, under which the new lease standard is applied at the adoption date recognizing a cumulative-effect adjustment to the opening balance of retained earnings, if applicable, in the period of adoption and prior periods are not restated.</w:t>
      </w:r>
    </w:p>
    <w:p>
      <w:pPr>
        <w:spacing w:after="0" w:line="18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Company's leases consist primarily of real estate leases for office space, which are classified as operating leases. Lease expense for the Company's operating leases is recognized on a straight-line basis over the term of the lease. The Company did not have any finance leases at January 1, 2021 or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As of December 31, 2021, ROU assets and lease liabilities consisted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weighted-average data)</w:t>
            </w:r>
          </w:p>
        </w:tc>
        <w:tc>
          <w:tcPr>
            <w:tcW w:w="428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 Classification</w:t>
            </w:r>
          </w:p>
        </w:tc>
        <w:tc>
          <w:tcPr>
            <w:tcW w:w="260" w:type="dxa"/>
            <w:vAlign w:val="bottom"/>
          </w:tcPr>
          <w:p>
            <w:pPr>
              <w:spacing w:after="0"/>
              <w:rPr>
                <w:sz w:val="20"/>
                <w:szCs w:val="20"/>
                <w:color w:val="auto"/>
              </w:rPr>
            </w:pPr>
          </w:p>
        </w:tc>
        <w:tc>
          <w:tcPr>
            <w:tcW w:w="204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December 31, 2021</w:t>
            </w:r>
          </w:p>
        </w:tc>
      </w:tr>
      <w:tr>
        <w:trPr>
          <w:trHeight w:val="210"/>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ROU Assets:</w:t>
            </w:r>
          </w:p>
        </w:tc>
        <w:tc>
          <w:tcPr>
            <w:tcW w:w="4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Operating lease ROU assets</w:t>
            </w: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6,262</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197"/>
        </w:trPr>
        <w:tc>
          <w:tcPr>
            <w:tcW w:w="4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Lease Obligations:</w:t>
            </w:r>
          </w:p>
        </w:tc>
        <w:tc>
          <w:tcPr>
            <w:tcW w:w="4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Operating lease obligations - current</w:t>
            </w: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130"/>
              <w:spacing w:after="0"/>
              <w:rPr>
                <w:sz w:val="20"/>
                <w:szCs w:val="20"/>
                <w:color w:val="auto"/>
              </w:rPr>
            </w:pPr>
            <w:r>
              <w:rPr>
                <w:rFonts w:ascii="Arial" w:cs="Arial" w:eastAsia="Arial" w:hAnsi="Arial"/>
                <w:sz w:val="18"/>
                <w:szCs w:val="18"/>
                <w:color w:val="auto"/>
              </w:rPr>
              <w:t>1,723</w:t>
            </w: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obligations - noncurrent</w:t>
            </w: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5,596</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Total operating lease obligations</w:t>
            </w:r>
          </w:p>
        </w:tc>
        <w:tc>
          <w:tcPr>
            <w:tcW w:w="4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7,319</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37"/>
        </w:trPr>
        <w:tc>
          <w:tcPr>
            <w:tcW w:w="4660" w:type="dxa"/>
            <w:vAlign w:val="bottom"/>
            <w:shd w:val="clear" w:color="auto" w:fill="CCEEFF"/>
          </w:tcPr>
          <w:p>
            <w:pPr>
              <w:spacing w:after="0"/>
              <w:rPr>
                <w:sz w:val="20"/>
                <w:szCs w:val="20"/>
                <w:color w:val="auto"/>
              </w:rPr>
            </w:pPr>
          </w:p>
        </w:tc>
        <w:tc>
          <w:tcPr>
            <w:tcW w:w="4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4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4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6.88 %</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year ended December 31, 2021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43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Financial Statement Classification</w:t>
            </w:r>
          </w:p>
        </w:tc>
        <w:tc>
          <w:tcPr>
            <w:tcW w:w="240" w:type="dxa"/>
            <w:vAlign w:val="bottom"/>
          </w:tcPr>
          <w:p>
            <w:pPr>
              <w:spacing w:after="0"/>
              <w:rPr>
                <w:sz w:val="17"/>
                <w:szCs w:val="17"/>
                <w:color w:val="auto"/>
              </w:rPr>
            </w:pPr>
          </w:p>
        </w:tc>
        <w:tc>
          <w:tcPr>
            <w:tcW w:w="19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29"/>
        </w:trPr>
        <w:tc>
          <w:tcPr>
            <w:tcW w:w="4720" w:type="dxa"/>
            <w:vAlign w:val="bottom"/>
            <w:vMerge w:val="continue"/>
          </w:tcPr>
          <w:p>
            <w:pPr>
              <w:spacing w:after="0"/>
              <w:rPr>
                <w:sz w:val="19"/>
                <w:szCs w:val="19"/>
                <w:color w:val="auto"/>
              </w:rPr>
            </w:pPr>
          </w:p>
        </w:tc>
        <w:tc>
          <w:tcPr>
            <w:tcW w:w="43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December 31, 2021</w:t>
            </w: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Operating lease expense </w:t>
            </w:r>
            <w:r>
              <w:rPr>
                <w:rFonts w:ascii="Arial" w:cs="Arial" w:eastAsia="Arial" w:hAnsi="Arial"/>
                <w:sz w:val="23"/>
                <w:szCs w:val="23"/>
                <w:color w:val="auto"/>
                <w:vertAlign w:val="superscript"/>
              </w:rPr>
              <w:t>(1)</w:t>
            </w:r>
          </w:p>
        </w:tc>
        <w:tc>
          <w:tcPr>
            <w:tcW w:w="4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4080" w:firstLine="8"/>
        <w:spacing w:after="0" w:line="507" w:lineRule="auto"/>
        <w:tabs>
          <w:tab w:leader="none" w:pos="181"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Excludes short-term lease expense which was immaterial for the year ended December 31, 2021. Cash paid for amounts included in the measurement of lease liabilities was as follows:</w:t>
      </w:r>
    </w:p>
    <w:tbl>
      <w:tblPr>
        <w:tblLayout w:type="fixed"/>
        <w:tblInd w:w="0" w:type="dxa"/>
        <w:tblCellMar>
          <w:top w:w="0" w:type="dxa"/>
          <w:left w:w="0" w:type="dxa"/>
          <w:bottom w:w="0" w:type="dxa"/>
          <w:right w:w="0" w:type="dxa"/>
        </w:tblCellMar>
      </w:tblPr>
      <w:tr>
        <w:trPr>
          <w:trHeight w:val="182"/>
        </w:trPr>
        <w:tc>
          <w:tcPr>
            <w:tcW w:w="47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43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Financial Statement Classification</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tcPr>
          <w:p>
            <w:pPr>
              <w:jc w:val="right"/>
              <w:ind w:right="550"/>
              <w:spacing w:after="0" w:line="182" w:lineRule="exact"/>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0"/>
        </w:trPr>
        <w:tc>
          <w:tcPr>
            <w:tcW w:w="4720" w:type="dxa"/>
            <w:vAlign w:val="bottom"/>
            <w:vMerge w:val="continue"/>
          </w:tcPr>
          <w:p>
            <w:pPr>
              <w:spacing w:after="0"/>
              <w:rPr>
                <w:sz w:val="19"/>
                <w:szCs w:val="19"/>
                <w:color w:val="auto"/>
              </w:rPr>
            </w:pPr>
          </w:p>
        </w:tc>
        <w:tc>
          <w:tcPr>
            <w:tcW w:w="43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270"/>
              <w:spacing w:after="0"/>
              <w:rPr>
                <w:sz w:val="20"/>
                <w:szCs w:val="20"/>
                <w:color w:val="auto"/>
              </w:rPr>
            </w:pPr>
            <w:r>
              <w:rPr>
                <w:rFonts w:ascii="Arial" w:cs="Arial" w:eastAsia="Arial" w:hAnsi="Arial"/>
                <w:sz w:val="18"/>
                <w:szCs w:val="18"/>
                <w:b w:val="1"/>
                <w:bCs w:val="1"/>
                <w:color w:val="auto"/>
                <w:w w:val="91"/>
              </w:rPr>
              <w:t>December 31, 2021</w:t>
            </w: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4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527"/>
        </w:trPr>
        <w:tc>
          <w:tcPr>
            <w:tcW w:w="4720" w:type="dxa"/>
            <w:vAlign w:val="bottom"/>
          </w:tcPr>
          <w:p>
            <w:pPr>
              <w:spacing w:after="0"/>
              <w:rPr>
                <w:sz w:val="20"/>
                <w:szCs w:val="20"/>
                <w:color w:val="auto"/>
              </w:rPr>
            </w:pPr>
            <w:r>
              <w:rPr>
                <w:rFonts w:ascii="Arial" w:cs="Arial" w:eastAsia="Arial" w:hAnsi="Arial"/>
                <w:sz w:val="18"/>
                <w:szCs w:val="18"/>
                <w:i w:val="1"/>
                <w:iCs w:val="1"/>
                <w:color w:val="auto"/>
              </w:rPr>
              <w:t>Lease Commitments</w:t>
            </w:r>
          </w:p>
        </w:tc>
        <w:tc>
          <w:tcPr>
            <w:tcW w:w="4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060" w:type="dxa"/>
            <w:vAlign w:val="bottom"/>
            <w:gridSpan w:val="3"/>
          </w:tcPr>
          <w:p>
            <w:pPr>
              <w:spacing w:after="0"/>
              <w:rPr>
                <w:sz w:val="20"/>
                <w:szCs w:val="20"/>
                <w:color w:val="auto"/>
              </w:rPr>
            </w:pPr>
            <w:r>
              <w:rPr>
                <w:rFonts w:ascii="Arial" w:cs="Arial" w:eastAsia="Arial" w:hAnsi="Arial"/>
                <w:sz w:val="18"/>
                <w:szCs w:val="18"/>
                <w:color w:val="auto"/>
                <w:w w:val="94"/>
              </w:rPr>
              <w:t>Future minimum lease payments for the Company's real estate operating leases at December 31, 2021 were as follows: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47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4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4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Amount Due</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2023</w:t>
            </w:r>
          </w:p>
        </w:tc>
        <w:tc>
          <w:tcPr>
            <w:tcW w:w="4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2025</w:t>
            </w:r>
          </w:p>
        </w:tc>
        <w:tc>
          <w:tcPr>
            <w:tcW w:w="4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4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Amount representing interest</w:t>
            </w:r>
          </w:p>
        </w:tc>
        <w:tc>
          <w:tcPr>
            <w:tcW w:w="4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future minimum lease payments, net of interest</w:t>
            </w:r>
          </w:p>
        </w:tc>
        <w:tc>
          <w:tcPr>
            <w:tcW w:w="4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7,319</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the Company had not committed to any additional future obligations for leases that have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color w:val="auto"/>
        </w:rPr>
        <w:t>Future minimum lease commitments under non-cancelable operating leases with initial or remaining terms in excess of one year were as follows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2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4"/>
        </w:trPr>
        <w:tc>
          <w:tcPr>
            <w:tcW w:w="922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300" w:type="dxa"/>
            <w:vAlign w:val="bottom"/>
          </w:tcPr>
          <w:p>
            <w:pPr>
              <w:spacing w:after="0"/>
              <w:rPr>
                <w:sz w:val="20"/>
                <w:szCs w:val="20"/>
                <w:color w:val="auto"/>
              </w:rPr>
            </w:pPr>
          </w:p>
        </w:tc>
        <w:tc>
          <w:tcPr>
            <w:tcW w:w="1720" w:type="dxa"/>
            <w:vAlign w:val="bottom"/>
          </w:tcPr>
          <w:p>
            <w:pPr>
              <w:jc w:val="right"/>
              <w:ind w:right="430"/>
              <w:spacing w:after="0"/>
              <w:rPr>
                <w:sz w:val="20"/>
                <w:szCs w:val="20"/>
                <w:color w:val="auto"/>
              </w:rPr>
            </w:pPr>
            <w:r>
              <w:rPr>
                <w:rFonts w:ascii="Arial" w:cs="Arial" w:eastAsia="Arial" w:hAnsi="Arial"/>
                <w:sz w:val="18"/>
                <w:szCs w:val="18"/>
                <w:b w:val="1"/>
                <w:bCs w:val="1"/>
                <w:color w:val="auto"/>
              </w:rPr>
              <w:t>Amount Due</w:t>
            </w:r>
          </w:p>
        </w:tc>
      </w:tr>
      <w:tr>
        <w:trPr>
          <w:trHeight w:val="223"/>
        </w:trPr>
        <w:tc>
          <w:tcPr>
            <w:tcW w:w="9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r>
      <w:tr>
        <w:trPr>
          <w:trHeight w:val="230"/>
        </w:trPr>
        <w:tc>
          <w:tcPr>
            <w:tcW w:w="912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1,307</w:t>
            </w:r>
          </w:p>
        </w:tc>
      </w:tr>
      <w:tr>
        <w:trPr>
          <w:trHeight w:val="229"/>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r>
      <w:tr>
        <w:trPr>
          <w:trHeight w:val="229"/>
        </w:trPr>
        <w:tc>
          <w:tcPr>
            <w:tcW w:w="912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1,394</w:t>
            </w:r>
          </w:p>
        </w:tc>
      </w:tr>
      <w:tr>
        <w:trPr>
          <w:trHeight w:val="230"/>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r>
      <w:tr>
        <w:trPr>
          <w:trHeight w:val="229"/>
        </w:trPr>
        <w:tc>
          <w:tcPr>
            <w:tcW w:w="9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w:t>
            </w:r>
          </w:p>
        </w:tc>
      </w:tr>
      <w:tr>
        <w:trPr>
          <w:trHeight w:val="248"/>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9,168</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Total rent expense for the years ended December 31, 2020 and 2019 was $2.5 million and $2.0 million, respectively, which is included in selling, general and administrative expenses in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9700" w:firstLine="8"/>
        <w:spacing w:after="0" w:line="566" w:lineRule="auto"/>
        <w:tabs>
          <w:tab w:leader="none" w:pos="305"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 Finxera Acquisition</w:t>
      </w:r>
    </w:p>
    <w:p>
      <w:pPr>
        <w:ind w:right="20"/>
        <w:spacing w:after="0" w:line="259" w:lineRule="auto"/>
        <w:rPr>
          <w:sz w:val="20"/>
          <w:szCs w:val="20"/>
          <w:color w:val="auto"/>
        </w:rPr>
      </w:pPr>
      <w:r>
        <w:rPr>
          <w:rFonts w:ascii="Arial" w:cs="Arial" w:eastAsia="Arial" w:hAnsi="Arial"/>
          <w:sz w:val="18"/>
          <w:szCs w:val="18"/>
          <w:color w:val="auto"/>
        </w:rPr>
        <w:t>On September 17, 2021 (the "Closing Date"), the Company completed its acquisition of 100% of the equity interests of Finxera Holdings, Inc. ("Finxera"). Finxera is a provider of deposit account management and licensed money transmission services in the U.S. The acquisition will allow the Company to offer clients turn-key merchant services, payment facilitation, card issuing, automated payables, virtual banking, e-wallet tools, risk management, underwriting and compliance on a single platform.</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transaction was funded with the Company's cash on hand, proceeds from the issuance of the redeemable senior preferred stock and debt, and the issuance of common equity shares to the sellers.</w:t>
      </w:r>
    </w:p>
    <w:p>
      <w:pPr>
        <w:spacing w:after="0" w:line="1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acquisition was accounted for as a business combination using the acquisition method of accounting, under which the assets acquired and liabilities assumed were recognized at their fair values as of the Closing Date, with the excess of the fair value of consideration transferred over the fair value of the net assets acquired recognized as goodwill. The fair values of the assets acquired and liabilities assumed as of the Closing Date were estimated by management based on the valuation of the Finxera business using the discounted cash flow method and other factors specific to certain assets and liabilities. The preliminary purchase price allocation is set forth in the table below and is expected to be finalized as soon as practicable, but no later than one year from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4" w:name="page65"/>
    <w:bookmarkEnd w:id="64"/>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Consideration: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Equity instruments</w:t>
      </w:r>
      <w:r>
        <w:rPr>
          <w:rFonts w:ascii="Arial" w:cs="Arial" w:eastAsia="Arial" w:hAnsi="Arial"/>
          <w:sz w:val="23"/>
          <w:szCs w:val="23"/>
          <w:color w:val="auto"/>
          <w:vertAlign w:val="superscript"/>
        </w:rPr>
        <w:t>(1)</w:t>
      </w:r>
    </w:p>
    <w:p>
      <w:pPr>
        <w:ind w:left="20"/>
        <w:spacing w:after="0"/>
        <w:rPr>
          <w:sz w:val="20"/>
          <w:szCs w:val="20"/>
          <w:color w:val="auto"/>
        </w:rPr>
      </w:pPr>
      <w:r>
        <w:rPr>
          <w:rFonts w:ascii="Arial" w:cs="Arial" w:eastAsia="Arial" w:hAnsi="Arial"/>
          <w:sz w:val="18"/>
          <w:szCs w:val="18"/>
          <w:color w:val="auto"/>
        </w:rPr>
        <w:t>Less: cash and restricted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Total purchase consideration, net of cash and restricted cash acquired</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Recognized amounts of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Prepaid expenses and other current 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portion of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Settlement assets and customer account balances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equipment and software,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Intangible assets, net</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Other noncurrent assets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Settlement and customer account obligations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income taxes,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noncurrent liabilities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purchase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379,220</w:t>
            </w:r>
          </w:p>
        </w:tc>
      </w:tr>
      <w:tr>
        <w:trPr>
          <w:trHeight w:val="229"/>
        </w:trPr>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34,388</w:t>
            </w:r>
          </w:p>
        </w:tc>
      </w:tr>
      <w:tr>
        <w:trPr>
          <w:trHeight w:val="230"/>
        </w:trPr>
        <w:tc>
          <w:tcPr>
            <w:tcW w:w="8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(6,598)</w:t>
            </w:r>
          </w:p>
        </w:tc>
      </w:tr>
      <w:tr>
        <w:trPr>
          <w:trHeight w:val="223"/>
        </w:trPr>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407,010</w:t>
            </w: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641"/>
        </w:trPr>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385</w:t>
            </w:r>
          </w:p>
        </w:tc>
      </w:tr>
      <w:tr>
        <w:trPr>
          <w:trHeight w:val="230"/>
        </w:trPr>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5,198</w:t>
            </w:r>
          </w:p>
        </w:tc>
      </w:tr>
      <w:tr>
        <w:trPr>
          <w:trHeight w:val="229"/>
        </w:trPr>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784</w:t>
            </w:r>
          </w:p>
        </w:tc>
      </w:tr>
      <w:tr>
        <w:trPr>
          <w:trHeight w:val="230"/>
        </w:trPr>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498,811</w:t>
            </w:r>
          </w:p>
        </w:tc>
      </w:tr>
      <w:tr>
        <w:trPr>
          <w:trHeight w:val="229"/>
        </w:trPr>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712</w:t>
            </w:r>
          </w:p>
        </w:tc>
      </w:tr>
      <w:tr>
        <w:trPr>
          <w:trHeight w:val="229"/>
        </w:trPr>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245,104</w:t>
            </w:r>
          </w:p>
        </w:tc>
      </w:tr>
      <w:tr>
        <w:trPr>
          <w:trHeight w:val="230"/>
        </w:trPr>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211,400</w:t>
            </w:r>
          </w:p>
        </w:tc>
      </w:tr>
      <w:tr>
        <w:trPr>
          <w:trHeight w:val="229"/>
        </w:trPr>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955</w:t>
            </w:r>
          </w:p>
        </w:tc>
      </w:tr>
      <w:tr>
        <w:trPr>
          <w:trHeight w:val="229"/>
        </w:trPr>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(7,837)</w:t>
            </w:r>
          </w:p>
        </w:tc>
      </w:tr>
      <w:tr>
        <w:trPr>
          <w:trHeight w:val="230"/>
        </w:trPr>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(498,811)</w:t>
            </w:r>
          </w:p>
        </w:tc>
      </w:tr>
      <w:tr>
        <w:trPr>
          <w:trHeight w:val="229"/>
        </w:trPr>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(44,311)</w:t>
            </w:r>
          </w:p>
        </w:tc>
      </w:tr>
      <w:tr>
        <w:trPr>
          <w:trHeight w:val="230"/>
        </w:trPr>
        <w:tc>
          <w:tcPr>
            <w:tcW w:w="8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(5,380)</w:t>
            </w:r>
          </w:p>
        </w:tc>
      </w:tr>
      <w:tr>
        <w:trPr>
          <w:trHeight w:val="223"/>
        </w:trPr>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407,010</w:t>
            </w: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80" w:space="720"/>
            <w:col w:w="2240"/>
          </w:cols>
          <w:pgMar w:left="320" w:top="1440" w:right="339" w:bottom="1440" w:gutter="0" w:footer="0" w:header="0"/>
        </w:sectPr>
      </w:pPr>
    </w:p>
    <w:p>
      <w:pPr>
        <w:spacing w:after="0" w:line="96" w:lineRule="exact"/>
        <w:rPr>
          <w:sz w:val="20"/>
          <w:szCs w:val="20"/>
          <w:color w:val="auto"/>
        </w:rPr>
      </w:pPr>
    </w:p>
    <w:p>
      <w:pPr>
        <w:ind w:left="660" w:right="120" w:hanging="328"/>
        <w:spacing w:after="0" w:line="227" w:lineRule="auto"/>
        <w:tabs>
          <w:tab w:leader="none" w:pos="64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The fair value of the 7,551,354 shares of PRTH common stock that were issued was determined based on their market price at the time of closing adjusted for an appropriate liquidity discount due to trading restrictions under Securities Rule 144.</w:t>
      </w:r>
    </w:p>
    <w:p>
      <w:pPr>
        <w:ind w:left="660" w:right="60" w:hanging="328"/>
        <w:spacing w:after="0" w:line="219" w:lineRule="auto"/>
        <w:tabs>
          <w:tab w:leader="none" w:pos="64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The intangible assets acquired consist of $154.9 million for referral partner relationships, $34.3 million for technology, $20.1 million for customer relationships and $2.1 million for money transmission licenses.</w:t>
      </w:r>
    </w:p>
    <w:p>
      <w:pPr>
        <w:spacing w:after="0" w:line="20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Goodwill of $245.1 million arising from the acquisition primarily consists of the expected synergies and other benefits from combining operations. Approximately $8.7 million of the goodwill attributable to the acquisition is expected to be deductible for income tax purposes. The goodwill was allocated 100% to the Company's Enterprise Payments reportable segment.</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2020, Finxera acquired two businesses for which the purchase price included contingent consideration valued at $6.1 million. The contingent consideration payable is comprised of earnout opportunities equal to 50% of certain revenues earned from the customers assumed in these acquisitions. The associated earnout opportunities are to be measured and paid every six months and expire at various dates through December 31, 2023. As of December 31, 2021, $0.1 million of the $6.1 million of total contingent consideration has been paid to the sellers. At December 31, 2021, there was $6.0 million accrued, of which $1.0 million and $5.0 million was included in accounts payable and accrued expenses and other noncurrent liabilities, respectively, on the Company's Consolidated Balance Sheet.</w:t>
      </w:r>
    </w:p>
    <w:p>
      <w:pPr>
        <w:spacing w:after="0" w:line="19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Company's Consolidated Financial Statements include the operating results of Finxera from the Closing Date through December 31, 2021, which are reported as part of the Enterprise Payments reportable segment. Revenues and operating income from Finxera during this period were $19.4 million and $4.3 million, respectively.</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the year ended December 31, 2021 we incurred $9.3 million, in acquisition related costs, which primarily consisted of consulting, legal, accounting and valuation expenses. These expenses were recorded in selling, general and administrative expenses in the Company's Consolidated Statements of Operations.</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following unaudited pro forma financial information presents results as if the acquisition occurred on January 1, 2020. The historical consolidated financial information of the Company and Finxera has been adjusted in the pro forma information to give effect to pro forma events that are directly attributable to the transaction and are factually supportable. The unaudited pro forma results do not reflect events that have occurred or may occur after the transaction, including the impact of any synergies expected to result from the acquisition. Accordingly, the unaudited pro forma financial information is not necessarily indicative</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5" w:name="page66"/>
    <w:bookmarkEnd w:id="65"/>
    <w:p>
      <w:pPr>
        <w:ind w:right="140"/>
        <w:spacing w:after="0" w:line="277" w:lineRule="auto"/>
        <w:rPr>
          <w:sz w:val="20"/>
          <w:szCs w:val="20"/>
          <w:color w:val="auto"/>
        </w:rPr>
      </w:pPr>
      <w:r>
        <w:rPr>
          <w:rFonts w:ascii="Arial" w:cs="Arial" w:eastAsia="Arial" w:hAnsi="Arial"/>
          <w:sz w:val="18"/>
          <w:szCs w:val="18"/>
          <w:color w:val="auto"/>
        </w:rPr>
        <w:t>of the results of operations as they would have been had the transaction occurred on January 1, 2020, nor is it necessarily an indication of future operating results.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3"/>
              </w:rPr>
              <w:t>Years Ended December 31,</w:t>
            </w:r>
          </w:p>
        </w:tc>
      </w:tr>
      <w:tr>
        <w:trPr>
          <w:trHeight w:val="223"/>
        </w:trPr>
        <w:tc>
          <w:tcPr>
            <w:tcW w:w="84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463,823</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21,619</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32,548</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Wholesale Payments, Inc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April 28, 2021, a subsidiary of the Company completed its acquisition of certain residual portfolio rights for a purchase price of $42.4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$24.8 million of post-closing payments and earn-out payments based on meeting certain attrition thresholds over a three-year period from the date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acquisition. The transaction did not meet the definition of a business, therefore it was accounted for as an asset acquisition under which the cost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 was allocated to the acquired assets based on relative fair values. As of December 31, 2021, the sellers earned $3.8 million of the $24.8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was paid during the third quarter of 2021, increasing the total purchase price recorded at December 31, 2021 to $46.2 million, which was recorded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residual buyout intangible assets with a seven-year useful life amortized on a straight-line basis. As this is an asset acquisition, additional purchase price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accounted for when payment to the seller becomes probable and is added to the carrying value of the asset. The seller's note payable to the Company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$3.0 million and an advance of $2.0 million outstanding at the time of the purchase was netted against the initial purchase price, resulting in cash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$41.2 million being paid by the Company to the seller, which was funded from cash proceeds from the issuance of the redeemable senior preferred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cash on hand.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C&amp;H Financial Services, Inc</w:t>
      </w:r>
      <w:r>
        <w:rPr>
          <w:rFonts w:ascii="Arial" w:cs="Arial" w:eastAsia="Arial" w:hAnsi="Arial"/>
          <w:sz w:val="18"/>
          <w:szCs w:val="18"/>
          <w:color w:val="auto"/>
        </w:rPr>
        <w:t>.</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June 25, 2021, a subsidiary of the Company acquired certain assets and assumed certain related liabilities under an asset purchase agreement. The acquisition was accounted for as a business combination using the acquisition method of accounting. Prior to this acquisition, the business was an ISO partner of the Company where it developed expertise in software-integrated payment services, as well as marketing programs for specific verticals such as automotive and youth sports. This business is reported within the Company's SMB Payments reportable segment. The initial purchase price for the net assets was $35.0 million in cash and a total purchase price of not more than $60.0 million including post-closing payments and earn-out payments based on certain gross profit and revenue achievements over a three-year period from the date of acquisition. The acquisition date fair value of the contingent consideration was $4.7 million, which increased the total purchase price to $39.7 million. The seller's note payable to the Company of $0.5 million at the time of purchase was netted against the initial purchase price, resulting in cash of $34.5 million being paid by the Company to the seller, which was funded from a $30.0 million draw down of the revolving credit facility under the Credit and Guaranty Agreement held by the Company and $4.5 million cash on hand. Transaction costs were not material and were expensed. The preliminary purchase price allocation is set forth in the table below and is expected to be finalized as soon as practicable, but no later than one year from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6" w:name="page67"/>
    <w:bookmarkEnd w:id="6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equipment and software, net and other current assets</w:t>
            </w: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Goodwill</w:t>
            </w: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13,804</w:t>
            </w:r>
          </w:p>
        </w:tc>
      </w:tr>
      <w:tr>
        <w:trPr>
          <w:trHeight w:val="230"/>
        </w:trPr>
        <w:tc>
          <w:tcPr>
            <w:tcW w:w="9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Intangible assets, net</w:t>
            </w:r>
            <w:r>
              <w:rPr>
                <w:rFonts w:ascii="Arial" w:cs="Arial" w:eastAsia="Arial" w:hAnsi="Arial"/>
                <w:sz w:val="23"/>
                <w:szCs w:val="23"/>
                <w:color w:val="auto"/>
                <w:vertAlign w:val="superscript"/>
              </w:rPr>
              <w:t>(1)</w:t>
            </w: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25,400</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purchase price</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39,700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right="80" w:hanging="328"/>
        <w:spacing w:after="0" w:line="227" w:lineRule="auto"/>
        <w:tabs>
          <w:tab w:leader="none" w:pos="64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The intangible assets acquired consist of $20.2 million for merchant portfolio intangible assets with a ten-year useful life and $5.2 million for ISO partner relationships with a twelve-year useful life.</w:t>
      </w:r>
    </w:p>
    <w:p>
      <w:pPr>
        <w:spacing w:after="0" w:line="202"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goodwill for the Wholesale Payments, Inc. asset acquisition and the C&amp;H Financial Services, Inc. business combination is deductible by the Company for income tax purposes. Based on their purchase prices and pre-acquisition operating results and assets, these two businesses acquired by the Company in 2021, as described above, did not meet the materiality requirements for pro forma disclosures individually or collectively.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YapStone, Inc.</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212529"/>
        </w:rPr>
        <w:t>In March 2019, the Company, through one of its subsidiaries, Priority Real Estate Technology, LLC ("</w:t>
      </w:r>
      <w:r>
        <w:rPr>
          <w:rFonts w:ascii="Arial" w:cs="Arial" w:eastAsia="Arial" w:hAnsi="Arial"/>
          <w:sz w:val="18"/>
          <w:szCs w:val="18"/>
          <w:color w:val="000000"/>
        </w:rPr>
        <w:t>PRET")</w:t>
      </w:r>
      <w:r>
        <w:rPr>
          <w:rFonts w:ascii="Arial" w:cs="Arial" w:eastAsia="Arial" w:hAnsi="Arial"/>
          <w:sz w:val="18"/>
          <w:szCs w:val="18"/>
          <w:color w:val="212529"/>
        </w:rPr>
        <w:t>, acquired certain assets and assumed certain related liabilities from YapStone, Inc. under an asset purchase and contribution agreement. The purchase price for the YapStone net assets was $65.0 million in cash plus a non-controlling interest ("NCI") in PRET issued to YapStone, Inc. with a fair value that was estimated to be approximately $5.7 million. The total purchase price was assigned to customer relationships, except for $1.0 million and $1.2 million which were assigned to a software license agreement and a services agreement, respectively. The $65.0 million of cash was funded from the Company's Senior Credit Facility. PRET is part of the Company's Enterprise Payments reportable segment.</w:t>
      </w:r>
    </w:p>
    <w:p>
      <w:pPr>
        <w:spacing w:after="0" w:line="192" w:lineRule="exact"/>
        <w:rPr>
          <w:sz w:val="20"/>
          <w:szCs w:val="20"/>
          <w:color w:val="auto"/>
        </w:rPr>
      </w:pPr>
    </w:p>
    <w:p>
      <w:pPr>
        <w:jc w:val="both"/>
        <w:ind w:right="180"/>
        <w:spacing w:after="0" w:line="259" w:lineRule="auto"/>
        <w:rPr>
          <w:rFonts w:ascii="Arial" w:cs="Arial" w:eastAsia="Arial" w:hAnsi="Arial"/>
          <w:sz w:val="18"/>
          <w:szCs w:val="18"/>
          <w:color w:val="212529"/>
        </w:rPr>
      </w:pPr>
      <w:r>
        <w:rPr>
          <w:rFonts w:ascii="Arial" w:cs="Arial" w:eastAsia="Arial" w:hAnsi="Arial"/>
          <w:sz w:val="18"/>
          <w:szCs w:val="18"/>
          <w:color w:val="212529"/>
        </w:rPr>
        <w:t xml:space="preserve">During the third quarter of 2020, substantially all of the YapStone net assets were sold to a third party (see </w:t>
      </w:r>
      <w:hyperlink w:anchor="page70">
        <w:r>
          <w:rPr>
            <w:rFonts w:ascii="Arial" w:cs="Arial" w:eastAsia="Arial" w:hAnsi="Arial"/>
            <w:sz w:val="18"/>
            <w:szCs w:val="18"/>
            <w:u w:val="single" w:color="auto"/>
            <w:color w:val="0000FF"/>
          </w:rPr>
          <w:t>Note 6, Disposal of Business</w:t>
        </w:r>
      </w:hyperlink>
      <w:r>
        <w:rPr>
          <w:rFonts w:ascii="Arial" w:cs="Arial" w:eastAsia="Arial" w:hAnsi="Arial"/>
          <w:sz w:val="18"/>
          <w:szCs w:val="18"/>
          <w:color w:val="000000"/>
        </w:rPr>
        <w:t>).</w:t>
      </w:r>
      <w:r>
        <w:rPr>
          <w:rFonts w:ascii="Arial" w:cs="Arial" w:eastAsia="Arial" w:hAnsi="Arial"/>
          <w:sz w:val="18"/>
          <w:szCs w:val="18"/>
          <w:color w:val="212529"/>
        </w:rPr>
        <w:t xml:space="preserve"> Approximately </w:t>
      </w:r>
      <w:r>
        <w:rPr>
          <w:rFonts w:ascii="Arial" w:cs="Arial" w:eastAsia="Arial" w:hAnsi="Arial"/>
          <w:sz w:val="18"/>
          <w:szCs w:val="18"/>
          <w:color w:val="000000"/>
        </w:rPr>
        <w:t xml:space="preserve">$45.1 million </w:t>
      </w:r>
      <w:r>
        <w:rPr>
          <w:rFonts w:ascii="Arial" w:cs="Arial" w:eastAsia="Arial" w:hAnsi="Arial"/>
          <w:sz w:val="18"/>
          <w:szCs w:val="18"/>
          <w:color w:val="212529"/>
        </w:rPr>
        <w:t>of PRET's 2020 earnings through the disposal date, which were primarily composed of the gain recognized on the sale, were attributed and</w:t>
      </w:r>
      <w:r>
        <w:rPr>
          <w:rFonts w:ascii="Arial" w:cs="Arial" w:eastAsia="Arial" w:hAnsi="Arial"/>
          <w:sz w:val="18"/>
          <w:szCs w:val="18"/>
          <w:color w:val="000000"/>
        </w:rPr>
        <w:t xml:space="preserve"> </w:t>
      </w:r>
      <w:r>
        <w:rPr>
          <w:rFonts w:ascii="Arial" w:cs="Arial" w:eastAsia="Arial" w:hAnsi="Arial"/>
          <w:sz w:val="18"/>
          <w:szCs w:val="18"/>
          <w:color w:val="212529"/>
        </w:rPr>
        <w:t>distributed in cash to the NCI during the third quarter of 2020 pursuant to the profit-sharing agreement between the Company and the NCI. At the time of the sale, the NCI was also redeemed in cash for its $5.7 million interest in PRET.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212529"/>
        </w:rPr>
        <w:t>For the year ended December 31, 2019, no earnings of PRET were allocated to the NCI.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212529"/>
        </w:rPr>
        <w:t>Residual Portfolio Rights Acquired</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212529"/>
        </w:rPr>
        <w:t>On March 15, 2019, a subsidiary of the Company paid $15.2 million cash to acquire certain residual portfolio rights. Of the $15.2 million, $5.0 million was funded from the term loan under Senior Credit Agreement, $10.0 million was funded from the revolving credit facility under the Senior Credit Agreement, and cash on hand was used to fund the remaining amount. This acquisition became part of the Company's SMB Payments reportable segment. The purchase price was subject to a potential increase of up to $6.4 million in accordance with the terms of the agreement between the Company and the sellers over a three-year period. Additional purchase price is accounted for when payment to the seller becomes probable and is added to the carrying value of the asset and amortization expense is adjusted to reflect the new carrying value at the original purchase date. The first period for determining contingent consideration ended in March 2020, and the Company paid the seller $2.1 million of additional cash consideration, partially offset by an amount owed to the Company by the seller. In 2021, the Company paid the seller an additional $2.1 million for the second period for determining contingent consideration that ended in March 2021, which had been recorded as a contingent consideration liability at December 31, 2020. T</w:t>
      </w:r>
      <w:r>
        <w:rPr>
          <w:rFonts w:ascii="Arial" w:cs="Arial" w:eastAsia="Arial" w:hAnsi="Arial"/>
          <w:sz w:val="17"/>
          <w:szCs w:val="17"/>
          <w:color w:val="000000"/>
        </w:rPr>
        <w:t>he remaining $2.1 million will be</w:t>
      </w:r>
      <w:r>
        <w:rPr>
          <w:rFonts w:ascii="Arial" w:cs="Arial" w:eastAsia="Arial" w:hAnsi="Arial"/>
          <w:sz w:val="17"/>
          <w:szCs w:val="17"/>
          <w:color w:val="212529"/>
        </w:rPr>
        <w:t xml:space="preserve"> </w:t>
      </w:r>
      <w:r>
        <w:rPr>
          <w:rFonts w:ascii="Arial" w:cs="Arial" w:eastAsia="Arial" w:hAnsi="Arial"/>
          <w:sz w:val="17"/>
          <w:szCs w:val="17"/>
          <w:color w:val="000000"/>
        </w:rPr>
        <w:t>payable in the first quarter of 2022 if certain criteria are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auto"/>
        </w:rPr>
        <w:t>Merchant Portfolio Rights and Reseller Agreement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October 2019, the Company simultaneously entered into two agreements with another entity. These two related agreements assign to the Company certain perpetual rights to a merchant portfolio and form a five-year reseller arrangement whereby the Company will offer and sell to its customer base certain online services to be fulfilled by the other entity. No cash consideration was paid to, or received from, the other entity at execution of either agreement. It was not initially determinable if the Company would have to pay any amount as consideration for the merchant portfolio rights due to the provisions of the related reseller agreement. The Company does not anticipate any net losses under the two contracts. Subsequent cash payments from the Company to the other entity for the merchant portfolio rights are determined based on a combination of: 1) the actual financial performance of the acquired merchant portfolio rights; and 2) actual sales and variable wholesale costs for the online services sold by the Company under the reseller arrangement. Prior to December 31, 2020, amounts paid to the other entity were accounted for as either standard costs of the services sold by the Company under the five-year reseller agreement or consideration for the merchant portfolio rights.</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of December 31, 2020, the Company determined it had accumulated the additional data and historical experience that it deems necessary in order to reasonably estimate an amount of cash that the Company believes it will ultimately have to transfer as remaining consideration for the merchant portfolio rights. Accordingly, at December 31, 2021 and 2020 the Company had accrued approximately $2.4 million and $6.2 million of estimated remaining cash consideration and additional accumulated costs for the merchant portfolio, respectively. At December 31, 2021 and 2020 the Company had recorded aggregate costs, including both actual costs and estimated remaining consideration, totaling $11.1 million. Amortization expense was adjusted to reflect the new carrying value at the original purchase date. As of December 31, 2021 and 2020, accumulated amortization was $5.0 million and $2.8 million, respectively. The merchant portfolio has an estimated remaining life of 2.75 years at December 31, 2021.</w:t>
      </w:r>
    </w:p>
    <w:p>
      <w:pPr>
        <w:spacing w:after="0" w:line="17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will continue to review its estimate of the remaining consideration to be funded and adjust the value of the intangible asset and accrual for its obligation accordingly.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w:t>
      </w:r>
      <w:r>
        <w:rPr>
          <w:rFonts w:ascii="Arial" w:cs="Arial" w:eastAsia="Arial" w:hAnsi="Arial"/>
          <w:sz w:val="18"/>
          <w:szCs w:val="18"/>
          <w:color w:val="212529"/>
        </w:rPr>
        <w:t>table presents a disaggregation of our consolidated revenues by type for the years ended December 31, 2021, 2020 and 2019:</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5"/>
              </w:rPr>
              <w:t>Years Ended December 31,</w:t>
            </w:r>
          </w:p>
        </w:tc>
        <w:tc>
          <w:tcPr>
            <w:tcW w:w="5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r>
      <w:tr>
        <w:trPr>
          <w:trHeight w:val="22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2019</w:t>
            </w:r>
          </w:p>
        </w:tc>
      </w:tr>
      <w:tr>
        <w:trPr>
          <w:trHeight w:val="21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Type:</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0"/>
        </w:trPr>
        <w:tc>
          <w:tcPr>
            <w:tcW w:w="4480" w:type="dxa"/>
            <w:vAlign w:val="bottom"/>
          </w:tcPr>
          <w:p>
            <w:pPr>
              <w:ind w:left="220"/>
              <w:spacing w:after="0"/>
              <w:rPr>
                <w:sz w:val="20"/>
                <w:szCs w:val="20"/>
                <w:color w:val="auto"/>
              </w:rPr>
            </w:pPr>
            <w:r>
              <w:rPr>
                <w:rFonts w:ascii="Arial" w:cs="Arial" w:eastAsia="Arial" w:hAnsi="Arial"/>
                <w:sz w:val="18"/>
                <w:szCs w:val="18"/>
                <w:color w:val="auto"/>
              </w:rPr>
              <w:t>Merchant card fees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468,764</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377,346</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339,450</w:t>
            </w:r>
          </w:p>
        </w:tc>
      </w:tr>
      <w:tr>
        <w:trPr>
          <w:trHeight w:val="229"/>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Outsourced services and other services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28,712</w:t>
            </w:r>
          </w:p>
        </w:tc>
      </w:tr>
      <w:tr>
        <w:trPr>
          <w:trHeight w:val="230"/>
        </w:trPr>
        <w:tc>
          <w:tcPr>
            <w:tcW w:w="4480" w:type="dxa"/>
            <w:vAlign w:val="bottom"/>
          </w:tcPr>
          <w:p>
            <w:pPr>
              <w:ind w:left="220"/>
              <w:spacing w:after="0"/>
              <w:rPr>
                <w:sz w:val="20"/>
                <w:szCs w:val="20"/>
                <w:color w:val="auto"/>
              </w:rPr>
            </w:pPr>
            <w:r>
              <w:rPr>
                <w:rFonts w:ascii="Arial" w:cs="Arial" w:eastAsia="Arial" w:hAnsi="Arial"/>
                <w:sz w:val="18"/>
                <w:szCs w:val="18"/>
                <w:color w:val="auto"/>
              </w:rPr>
              <w:t>Money transmission services revenue</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19,415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w:t>
            </w:r>
          </w:p>
        </w:tc>
      </w:tr>
      <w:tr>
        <w:trPr>
          <w:trHeight w:val="223"/>
        </w:trPr>
        <w:tc>
          <w:tcPr>
            <w:tcW w:w="448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Total revenues</w:t>
            </w:r>
            <w:r>
              <w:rPr>
                <w:rFonts w:ascii="Arial" w:cs="Arial" w:eastAsia="Arial" w:hAnsi="Arial"/>
                <w:sz w:val="23"/>
                <w:szCs w:val="23"/>
                <w:color w:val="auto"/>
                <w:vertAlign w:val="superscript"/>
              </w:rPr>
              <w:t>(1)(2)</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514,901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404,342</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371,854</w:t>
            </w:r>
          </w:p>
        </w:tc>
      </w:tr>
      <w:tr>
        <w:trPr>
          <w:trHeight w:val="20"/>
        </w:trPr>
        <w:tc>
          <w:tcPr>
            <w:tcW w:w="4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right="300" w:hanging="328"/>
        <w:spacing w:after="0" w:line="251" w:lineRule="auto"/>
        <w:tabs>
          <w:tab w:leader="none" w:pos="648"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Includes contracts with an original duration of one year or less and variable consideration under a stand-ready series of distinct days of service. The aggregate fixed consideration portion of customer contracts with an initial contract duration greater than one year is not material.</w:t>
      </w:r>
    </w:p>
    <w:p>
      <w:pPr>
        <w:spacing w:after="0" w:line="1" w:lineRule="exact"/>
        <w:rPr>
          <w:rFonts w:ascii="Arial" w:cs="Arial" w:eastAsia="Arial" w:hAnsi="Arial"/>
          <w:sz w:val="21"/>
          <w:szCs w:val="21"/>
          <w:color w:val="auto"/>
          <w:vertAlign w:val="superscript"/>
        </w:rPr>
      </w:pPr>
    </w:p>
    <w:p>
      <w:pPr>
        <w:ind w:left="660" w:right="560" w:hanging="328"/>
        <w:spacing w:after="0" w:line="248" w:lineRule="auto"/>
        <w:tabs>
          <w:tab w:leader="none" w:pos="648"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Approximately $0.7 million, $0.8 million and $0.6 million of interest income for the years ended December 31, 2021, 2020 and 2019, respectively, is included in other income, net on the Company's Consolidated Statements of Operations and not reflected in the table above.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revenues were not material 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Contract Assets and Contract Liabilities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Material contract assets and liabilities are presented net at the individual contract level in the Consolidated Balance Sheets and are classified as current or noncurrent based on the nature of the underlying contractual rights and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212529"/>
        </w:rPr>
        <w:t>Supplemental balance sheet information related to contracts from customers as of December 31, 2021 and 2020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860" w:type="dxa"/>
            <w:vAlign w:val="bottom"/>
            <w:gridSpan w:val="2"/>
          </w:tcPr>
          <w:p>
            <w:pPr>
              <w:ind w:left="460"/>
              <w:spacing w:after="0"/>
              <w:rPr>
                <w:sz w:val="20"/>
                <w:szCs w:val="20"/>
                <w:color w:val="auto"/>
              </w:rPr>
            </w:pPr>
            <w:r>
              <w:rPr>
                <w:rFonts w:ascii="Arial" w:cs="Arial" w:eastAsia="Arial" w:hAnsi="Arial"/>
                <w:sz w:val="18"/>
                <w:szCs w:val="18"/>
                <w:b w:val="1"/>
                <w:bCs w:val="1"/>
                <w:color w:val="auto"/>
              </w:rPr>
              <w:t>Consolidated Balance Sheet Location</w:t>
            </w:r>
          </w:p>
        </w:tc>
        <w:tc>
          <w:tcPr>
            <w:tcW w:w="18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Pr>
          <w:p>
            <w:pPr>
              <w:spacing w:after="0"/>
              <w:rPr>
                <w:sz w:val="20"/>
                <w:szCs w:val="20"/>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 2020</w:t>
            </w:r>
          </w:p>
        </w:tc>
      </w:tr>
      <w:tr>
        <w:trPr>
          <w:trHeight w:val="210"/>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Contract liabilities, net (current)</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Customer deposits and advance payments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1,494</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212529"/>
        </w:rPr>
        <w:t xml:space="preserve">Substantially all of these balances are recognized as revenue within 12 months. </w:t>
      </w:r>
      <w:r>
        <w:rPr>
          <w:rFonts w:ascii="Arial" w:cs="Arial" w:eastAsia="Arial" w:hAnsi="Arial"/>
          <w:sz w:val="17"/>
          <w:szCs w:val="17"/>
          <w:color w:val="000000"/>
        </w:rPr>
        <w:t>Net contract assets were not material for any period presented.</w:t>
      </w:r>
    </w:p>
    <w:p>
      <w:pPr>
        <w:spacing w:after="0" w:line="2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Impairment losses recognized on receivables or contract assets arising from the Company's contracts with customers were not material for the years ended December 31, 2021, 2020 or 2019.</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Settlement Assets and Customer Account Balances and Related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SMB Payments Segment</w:t>
      </w:r>
    </w:p>
    <w:p>
      <w:pPr>
        <w:spacing w:after="0" w:line="22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212529"/>
        </w:rPr>
        <w:t xml:space="preserve">In the Company's SMB Payments reportable segment, funds settlement refers to the process of transferring funds for sales and credits between card issuers and merchants. The standards of the card networks require possession of funds during the settlement process by a member bank which controls the clearing transactions. Since settlement funds are required to be in the possession of a member bank until the merchant is funded, these funds are not assets of the Company and the associated obligations related to these funds are not liabilities of the Company. Therefore, neither is recognized in the Company's Consolidated Balance Sheets. Member banks held merchant funds of $102.1 million </w:t>
      </w:r>
      <w:r>
        <w:rPr>
          <w:rFonts w:ascii="Arial" w:cs="Arial" w:eastAsia="Arial" w:hAnsi="Arial"/>
          <w:sz w:val="16"/>
          <w:szCs w:val="16"/>
          <w:color w:val="000000"/>
        </w:rPr>
        <w:t>and $103.8 million at December 31, 2021 and 2020, respectively.</w:t>
      </w:r>
    </w:p>
    <w:p>
      <w:pPr>
        <w:spacing w:after="0" w:line="16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Exception items include items such as customer chargeback amounts received from merchants and other losses. Under agreements between the Company and its merchant customers, the merchants assume liability for such chargebacks and losses. If the Company is ultimately unable to collect amounts from the merchants for any charges or losses due to merchant fraud, insolvency, bankruptcy or any other reason, it may be liable for these charges. In order to mitigate the risk of such liability, the Company may: 1) require certain merchants to establish and maintain reserves designed to protect the Company from such charges or losses under its risk-based underwriting policy; and 2) engage with certain ISOs in partner programs in which the ISOs assume liability for these charges or losses. A merchant reserve account is funded by the merchant and held by the member bank during the term of the merchant agreement. Unused merchant reserves are returned to the merchant after termination of the merchant agreement or in certain instances upon a reassessment of risks during the term of the merchant agreement.</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Exception items that become the liability of the Company are recorded as merchant losses, a component of costs of services in the Consolidated Statements of Operations. Exception items that the Company is still attempting to collect from the merchants through the funds settlement process or merchant reserves are recognized as settlement assets and customer account balances in the Company's Consolidated Balance Sheets, with an offsetting reserve for those amounts the Company estimates it will not be able to recover. Expenses for merchant losses for the years ended December 31, 2021, 2020 and 2019 were $2.8 million, $4.1 million and $3.1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B2B Payments Segment</w:t>
      </w:r>
    </w:p>
    <w:p>
      <w:pPr>
        <w:spacing w:after="0" w:line="22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In the Company's B2B Payments segment, the Company earns revenues from certain of its services by processing transactions for FIs and other business customers. Customers transfer funds to the Company, which are held in either company-owned bank accounts controlled by the Company or bank-owned For the Benefit Of ("FBO") accounts controlled by the banks, until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t>time as the transactions are settled with the customer payees. Amounts due to customer payees that are held by the Company in Company-owned bank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accounts are included in restricted cash. Amounts due to customer payees that are held in bank-owned FBO accounts are not assets of the Company.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the associated obligations related to these funds are not liabilities of the Company; therefore, neither is recognized in the Company's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 Sheets. Bank-owned FBO accounts held funds of $45.5 million at December 31, 2021. Company-owned bank accounts held $21.4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$72.9 million at December 31, 2021 and 2020, respectively; which are included in restricted cash and settlement obligations in the Company's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Balance Sheets.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Payments Segment</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the Company's Enterprise Payments segment, revenue is derived primarily from enrollment fees, monthly subscription fees, transaction-based fees and licensed money transmission services fees. As part of its licensed money transmission services, the Company accepts deposits from consumers and subscribers which are held in bank accounts maintained by the Company on behalf of consumers and subscribers. After accepting deposits, the Company is allowed to invest available balances in these accounts in certain permitted investments, and the return on such investments contributes to the Company's net cash inflows. These balances are payable on demand. As such, the Company recorded these balances and related obligations as current assets and current liabilities. The nature of these balances are cash and cash equivalents but they are not available for day-to-day operations of the Company. Therefore, the Company has classified these balances as settlement assets and customer account balances and the related obligations as settlement and customer account obligations in the Company's Consolidated Balance Sheets.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settlement assets and customer account balances and settlement and customer account obligations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2021</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09"/>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Settlement Assets:</w:t>
            </w: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Card settlements due from merchants, net of estimated losses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753</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Customer Account Balances: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468,934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Time deposits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Total settlement assets and customer account balances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479,471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753</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3"/>
        </w:trPr>
        <w:tc>
          <w:tcPr>
            <w:tcW w:w="7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Settlement and Customer Account Obligations:</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account obligations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8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Due to customer payees</w:t>
            </w:r>
            <w:r>
              <w:rPr>
                <w:rFonts w:ascii="Arial" w:cs="Arial" w:eastAsia="Arial" w:hAnsi="Arial"/>
                <w:sz w:val="23"/>
                <w:szCs w:val="23"/>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72,878</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settlement and customer account obligations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500,291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72,878</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The related assets are included in restricted cash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Disposal of Business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September 1, 2020, PRET entered into an agreement to sell certain assets from PRET's real estate services business. The buyer also agreed to assume certain obligations associated with the assets. The transaction was completed on September 22, 2020 after receiving regulatory approval. Prior to execution of the agreement, the buyer was not a related party of PRET or the Company.</w:t>
      </w:r>
    </w:p>
    <w:p>
      <w:pPr>
        <w:spacing w:after="0" w:line="18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The assets subject to the agreement were substantially the same assets that PRET acquired in March 2019 from YapStone, Inc. These assets constituted PRET's RentPayment component, which was part of the Enterprise Payments reporting unit, operating segment and reportable segment. These assets consist of contracts with customers, an assembled workforce, technology-related assets, Internet domains, trade names and trademarks. The buyer also assumed obligations under an in-place and off-balance-sheet operating lease for office space. Since PRET's acquisition of these assets from YapStone, Inc. in March 2019, PRET and the Company have made operational changes that resulted in these assets becoming a business as defined by the provisions of ASU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before their sale</w:t>
      </w:r>
      <w:r>
        <w:rPr>
          <w:rFonts w:ascii="Arial" w:cs="Arial" w:eastAsia="Arial" w:hAnsi="Arial"/>
          <w:sz w:val="16"/>
          <w:szCs w:val="16"/>
          <w:i w:val="1"/>
          <w:iCs w:val="1"/>
          <w:color w:val="auto"/>
        </w:rPr>
        <w:t>.</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7"/>
          <w:szCs w:val="17"/>
          <w:color w:val="auto"/>
        </w:rPr>
        <w:t>Proceeds received by PRET were $179.4 million, net of $0.6 million for a working capital adjustment. The gain amounted to $107.2 million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cash consideration from buyer</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r>
      <w:tr>
        <w:trPr>
          <w:trHeight w:val="229"/>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working capital adjustment paid in cash</w:t>
            </w: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r>
      <w:tr>
        <w:trPr>
          <w:trHeight w:val="223"/>
        </w:trPr>
        <w:tc>
          <w:tcPr>
            <w:tcW w:w="9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proceeds from buyer</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179,416</w:t>
            </w:r>
          </w:p>
        </w:tc>
      </w:tr>
      <w:tr>
        <w:trPr>
          <w:trHeight w:val="229"/>
        </w:trPr>
        <w:tc>
          <w:tcPr>
            <w:tcW w:w="9420" w:type="dxa"/>
            <w:vAlign w:val="bottom"/>
          </w:tcPr>
          <w:p>
            <w:pPr>
              <w:ind w:left="20"/>
              <w:spacing w:after="0"/>
              <w:rPr>
                <w:sz w:val="20"/>
                <w:szCs w:val="20"/>
                <w:color w:val="auto"/>
              </w:rPr>
            </w:pPr>
            <w:r>
              <w:rPr>
                <w:rFonts w:ascii="Arial" w:cs="Arial" w:eastAsia="Arial" w:hAnsi="Arial"/>
                <w:sz w:val="18"/>
                <w:szCs w:val="18"/>
                <w:color w:val="auto"/>
              </w:rPr>
              <w:t>Transaction costs incurred</w:t>
            </w: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(5,383)</w:t>
            </w:r>
          </w:p>
        </w:tc>
      </w:tr>
      <w:tr>
        <w:trPr>
          <w:trHeight w:val="230"/>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sold:</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9420" w:type="dxa"/>
            <w:vAlign w:val="bottom"/>
          </w:tcPr>
          <w:p>
            <w:pPr>
              <w:ind w:left="140"/>
              <w:spacing w:after="0"/>
              <w:rPr>
                <w:sz w:val="20"/>
                <w:szCs w:val="20"/>
                <w:color w:val="auto"/>
              </w:rPr>
            </w:pPr>
            <w:r>
              <w:rPr>
                <w:rFonts w:ascii="Arial" w:cs="Arial" w:eastAsia="Arial" w:hAnsi="Arial"/>
                <w:sz w:val="18"/>
                <w:szCs w:val="18"/>
                <w:color w:val="auto"/>
              </w:rPr>
              <w:t>Intangible assets</w:t>
            </w: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(62,158)</w:t>
            </w:r>
          </w:p>
        </w:tc>
      </w:tr>
      <w:tr>
        <w:trPr>
          <w:trHeight w:val="229"/>
        </w:trPr>
        <w:tc>
          <w:tcPr>
            <w:tcW w:w="9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 sold, net of obligations assumed</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r>
      <w:tr>
        <w:trPr>
          <w:trHeight w:val="230"/>
        </w:trPr>
        <w:tc>
          <w:tcPr>
            <w:tcW w:w="9420" w:type="dxa"/>
            <w:vAlign w:val="bottom"/>
          </w:tcPr>
          <w:p>
            <w:pPr>
              <w:ind w:left="20"/>
              <w:spacing w:after="0"/>
              <w:rPr>
                <w:sz w:val="20"/>
                <w:szCs w:val="20"/>
                <w:color w:val="auto"/>
              </w:rPr>
            </w:pPr>
            <w:r>
              <w:rPr>
                <w:rFonts w:ascii="Arial" w:cs="Arial" w:eastAsia="Arial" w:hAnsi="Arial"/>
                <w:sz w:val="18"/>
                <w:szCs w:val="18"/>
                <w:color w:val="auto"/>
              </w:rPr>
              <w:t>Goodwill assigned to business sale</w:t>
            </w: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(2,683)</w:t>
            </w:r>
          </w:p>
        </w:tc>
      </w:tr>
      <w:tr>
        <w:trPr>
          <w:trHeight w:val="229"/>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6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r>
      <w:tr>
        <w:trPr>
          <w:trHeight w:val="223"/>
        </w:trPr>
        <w:tc>
          <w:tcPr>
            <w:tcW w:w="9420" w:type="dxa"/>
            <w:vAlign w:val="bottom"/>
          </w:tcPr>
          <w:p>
            <w:pPr>
              <w:ind w:left="680"/>
              <w:spacing w:after="0"/>
              <w:rPr>
                <w:sz w:val="20"/>
                <w:szCs w:val="20"/>
                <w:color w:val="auto"/>
              </w:rPr>
            </w:pPr>
            <w:r>
              <w:rPr>
                <w:rFonts w:ascii="Arial" w:cs="Arial" w:eastAsia="Arial" w:hAnsi="Arial"/>
                <w:sz w:val="18"/>
                <w:szCs w:val="18"/>
                <w:b w:val="1"/>
                <w:bCs w:val="1"/>
                <w:color w:val="auto"/>
              </w:rPr>
              <w:t>Pre-tax gain on sale of business</w:t>
            </w: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107,239</w:t>
            </w:r>
          </w:p>
        </w:tc>
      </w:tr>
      <w:tr>
        <w:trPr>
          <w:trHeight w:val="20"/>
        </w:trPr>
        <w:tc>
          <w:tcPr>
            <w:tcW w:w="9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PRET is a limited liability company and is a pass-through entity for income tax purposes. Income tax expenses associated with the gain attributable to the stockholders of the Company were estimated to be approximately $12.3 million.</w:t>
      </w:r>
    </w:p>
    <w:p>
      <w:pPr>
        <w:spacing w:after="0" w:line="170"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Allocation of net proceeds, after transaction costs, to the PRET members included return of each member's invested capital in PRET and excess proceeds were distributed in accordance with the distribution provisions of the PRET LLC governing agreement. The Company's invested capital amounted to $71.8 million, which included the assets sold, goodwill and other intangible assets. The NCI's invested capital was $5.7 million. Approximately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$51.4 million and $45.1 million of the excess proceeds were distributed to the Company and the NCI, respectively. The initial allocation of net proceeds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remained subject to final adjustment by the PRET members at December 31, 2020. During the first quarter of 2021, it was determined that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$0.5 million of the excess proceeds was due to the NCI, which was included in other expenses, net on the Company's Consolidated Statement of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2021.</w:t>
      </w:r>
    </w:p>
    <w:p>
      <w:pPr>
        <w:spacing w:after="0" w:line="211" w:lineRule="exact"/>
        <w:rPr>
          <w:sz w:val="20"/>
          <w:szCs w:val="20"/>
          <w:color w:val="auto"/>
        </w:rPr>
      </w:pPr>
    </w:p>
    <w:p>
      <w:pPr>
        <w:ind w:right="3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As disclosed in </w:t>
      </w:r>
      <w:hyperlink w:anchor="page76">
        <w:r>
          <w:rPr>
            <w:rFonts w:ascii="Arial" w:cs="Arial" w:eastAsia="Arial" w:hAnsi="Arial"/>
            <w:sz w:val="18"/>
            <w:szCs w:val="18"/>
            <w:u w:val="single" w:color="auto"/>
            <w:color w:val="0000FF"/>
          </w:rPr>
          <w:t>Note 11, Debt Obligations</w:t>
        </w:r>
      </w:hyperlink>
      <w:r>
        <w:rPr>
          <w:rFonts w:ascii="Arial" w:cs="Arial" w:eastAsia="Arial" w:hAnsi="Arial"/>
          <w:sz w:val="18"/>
          <w:szCs w:val="18"/>
          <w:color w:val="auto"/>
        </w:rPr>
        <w:t>, $106.5 million of cash received by the Company was used on September 25, 2020 to reduce the outstanding balance of the term loan facility under the Company's Senior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Obligation</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buyer assumed an in-place operating lease in Dallas, Texas which was set to expire on November 1, 2024. The Company had not adopted ASC 842 at the time of this transaction, therefore this lease obligation was not reflected in the Company's Consolidated Balance Sheet prior to the assumption by the buyer. The Company was relieved of minimum lease payment obligations totaling $0.5 million for the remainder of the lease term in connection with this transaction.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Continuing Operations</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Based on historical financial results, the Company does not believe the sale of the RentPayment component represents a strategic shift. As such, the Company will not classify or report the business that was sold as discontinued operations in its Consolidated Financial Statements for any reporting period. The Company will continue to serve the rental property market through its ongoing PRET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color w:val="auto"/>
        </w:rPr>
        <w:t>Pro Forma Information</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unaudited pro forma information is provided for the business (the RentPayment component) that was sold, excluding the gain recognized on the sale transaction: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11,694</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1,825</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2,275</w:t>
            </w:r>
          </w:p>
        </w:tc>
      </w:tr>
      <w:tr>
        <w:trPr>
          <w:trHeight w:val="229"/>
        </w:trPr>
        <w:tc>
          <w:tcPr>
            <w:tcW w:w="7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w:t>
            </w:r>
            <w:r>
              <w:rPr>
                <w:rFonts w:ascii="Arial" w:cs="Arial" w:eastAsia="Arial" w:hAnsi="Arial"/>
                <w:sz w:val="23"/>
                <w:szCs w:val="23"/>
                <w:color w:val="auto"/>
                <w:vertAlign w:val="superscript"/>
              </w:rPr>
              <w:t>(1)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r>
      <w:tr>
        <w:trPr>
          <w:trHeight w:val="229"/>
        </w:trPr>
        <w:tc>
          <w:tcPr>
            <w:tcW w:w="7640" w:type="dxa"/>
            <w:vAlign w:val="bottom"/>
          </w:tcPr>
          <w:p>
            <w:pPr>
              <w:ind w:left="20"/>
              <w:spacing w:after="0" w:line="230" w:lineRule="exact"/>
              <w:rPr>
                <w:sz w:val="20"/>
                <w:szCs w:val="20"/>
                <w:color w:val="auto"/>
              </w:rPr>
            </w:pPr>
            <w:r>
              <w:rPr>
                <w:rFonts w:ascii="Arial" w:cs="Arial" w:eastAsia="Arial" w:hAnsi="Arial"/>
                <w:sz w:val="18"/>
                <w:szCs w:val="18"/>
                <w:color w:val="auto"/>
              </w:rPr>
              <w:t>Net income attributable to common stockholders</w:t>
            </w:r>
            <w:r>
              <w:rPr>
                <w:rFonts w:ascii="Arial" w:cs="Arial" w:eastAsia="Arial" w:hAnsi="Arial"/>
                <w:sz w:val="23"/>
                <w:szCs w:val="23"/>
                <w:color w:val="auto"/>
                <w:vertAlign w:val="superscript"/>
              </w:rPr>
              <w:t>(2)</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1,725</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2,218</w:t>
            </w:r>
          </w:p>
        </w:tc>
      </w:tr>
      <w:tr>
        <w:trPr>
          <w:trHeight w:val="230"/>
        </w:trPr>
        <w:tc>
          <w:tcPr>
            <w:tcW w:w="7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Basic and diluted earnings per common share</w:t>
            </w:r>
            <w:r>
              <w:rPr>
                <w:rFonts w:ascii="Arial" w:cs="Arial" w:eastAsia="Arial" w:hAnsi="Arial"/>
                <w:sz w:val="23"/>
                <w:szCs w:val="23"/>
                <w:color w:val="auto"/>
                <w:vertAlign w:val="superscript"/>
              </w:rPr>
              <w:t>(2)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bl>
    <w:p>
      <w:pPr>
        <w:spacing w:after="0" w:line="296" w:lineRule="exact"/>
        <w:rPr>
          <w:sz w:val="20"/>
          <w:szCs w:val="20"/>
          <w:color w:val="auto"/>
        </w:rPr>
      </w:pPr>
    </w:p>
    <w:p>
      <w:pPr>
        <w:ind w:left="660" w:right="40" w:hanging="328"/>
        <w:spacing w:after="0" w:line="234" w:lineRule="auto"/>
        <w:tabs>
          <w:tab w:leader="none" w:pos="648" w:val="left"/>
        </w:tabs>
        <w:numPr>
          <w:ilvl w:val="1"/>
          <w:numId w:val="24"/>
        </w:numPr>
        <w:rPr>
          <w:rFonts w:ascii="Arial" w:cs="Arial" w:eastAsia="Arial" w:hAnsi="Arial"/>
          <w:sz w:val="23"/>
          <w:szCs w:val="23"/>
          <w:color w:val="auto"/>
          <w:vertAlign w:val="superscript"/>
        </w:rPr>
      </w:pPr>
      <w:r>
        <w:rPr>
          <w:rFonts w:ascii="Arial" w:cs="Arial" w:eastAsia="Arial" w:hAnsi="Arial"/>
          <w:sz w:val="18"/>
          <w:szCs w:val="18"/>
          <w:color w:val="auto"/>
        </w:rPr>
        <w:t>Pro forma income tax expense was based on the following consolidated effective tax rates of Priority Technology Holdings, Inc.: 5.5% and 2.5% for the years ended December 31, 2020 and 2019, respectively. These rates exclude the effect of the $107.2 million net gain on the sale recognized during the year ended December 31, 2020.</w:t>
      </w:r>
    </w:p>
    <w:p>
      <w:pPr>
        <w:ind w:left="660" w:right="220" w:hanging="328"/>
        <w:spacing w:after="0" w:line="219" w:lineRule="auto"/>
        <w:tabs>
          <w:tab w:leader="none" w:pos="648" w:val="left"/>
        </w:tabs>
        <w:numPr>
          <w:ilvl w:val="1"/>
          <w:numId w:val="24"/>
        </w:numPr>
        <w:rPr>
          <w:rFonts w:ascii="Arial" w:cs="Arial" w:eastAsia="Arial" w:hAnsi="Arial"/>
          <w:sz w:val="23"/>
          <w:szCs w:val="23"/>
          <w:color w:val="auto"/>
          <w:vertAlign w:val="superscript"/>
        </w:rPr>
      </w:pPr>
      <w:r>
        <w:rPr>
          <w:rFonts w:ascii="Arial" w:cs="Arial" w:eastAsia="Arial" w:hAnsi="Arial"/>
          <w:sz w:val="18"/>
          <w:szCs w:val="18"/>
          <w:color w:val="auto"/>
        </w:rPr>
        <w:t>Prior to the September 2020 sale transaction that resulted in the gain on the sale, no earnings or losses of the PRET LLC were attributable to the NCIs of PRET.</w:t>
      </w:r>
    </w:p>
    <w:p>
      <w:pPr>
        <w:spacing w:after="0" w:line="200" w:lineRule="exact"/>
        <w:rPr>
          <w:rFonts w:ascii="Arial" w:cs="Arial" w:eastAsia="Arial" w:hAnsi="Arial"/>
          <w:sz w:val="23"/>
          <w:szCs w:val="23"/>
          <w:color w:val="auto"/>
          <w:vertAlign w:val="superscript"/>
        </w:rPr>
      </w:pPr>
    </w:p>
    <w:p>
      <w:pPr>
        <w:spacing w:after="0" w:line="350" w:lineRule="exact"/>
        <w:rPr>
          <w:rFonts w:ascii="Arial" w:cs="Arial" w:eastAsia="Arial" w:hAnsi="Arial"/>
          <w:sz w:val="23"/>
          <w:szCs w:val="23"/>
          <w:color w:val="auto"/>
          <w:vertAlign w:val="superscript"/>
        </w:rPr>
      </w:pPr>
    </w:p>
    <w:p>
      <w:pPr>
        <w:ind w:left="360" w:hanging="352"/>
        <w:spacing w:after="0"/>
        <w:tabs>
          <w:tab w:leader="none" w:pos="3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Notes Receivable</w:t>
      </w:r>
    </w:p>
    <w:p>
      <w:pPr>
        <w:spacing w:after="0" w:line="229" w:lineRule="exact"/>
        <w:rPr>
          <w:sz w:val="20"/>
          <w:szCs w:val="20"/>
          <w:color w:val="auto"/>
        </w:rPr>
      </w:pPr>
    </w:p>
    <w:p>
      <w:pPr>
        <w:ind w:right="10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The Company has notes receivable of $0.4 million and $7.7 million as of December 31, 2021 and 2020, respectively, which are reported as current portion of notes receivable and notes receivable less current portion on the Company's Consolidated Balance Sheets. The notes bear a weighted-average interest rate of 13.8% and 13.1% as of December 31, 2021 and 2020, respectively. The notes receivable are comprised of notes receivable from ISOs. Notes receivable from three other entities were fully repaid during 2021. </w:t>
      </w:r>
      <w:hyperlink w:anchor="page64">
        <w:r>
          <w:rPr>
            <w:rFonts w:ascii="Arial" w:cs="Arial" w:eastAsia="Arial" w:hAnsi="Arial"/>
            <w:sz w:val="18"/>
            <w:szCs w:val="18"/>
            <w:u w:val="single" w:color="auto"/>
            <w:color w:val="0000FF"/>
          </w:rPr>
          <w:t>See Note 3, Acquisitions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85">
        <w:r>
          <w:rPr>
            <w:rFonts w:ascii="Arial" w:cs="Arial" w:eastAsia="Arial" w:hAnsi="Arial"/>
            <w:sz w:val="18"/>
            <w:szCs w:val="18"/>
            <w:u w:val="single" w:color="auto"/>
            <w:color w:val="0000FF"/>
          </w:rPr>
          <w:t>Note 15, Related Party Transactions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about the repayments of these notes receivable.</w:t>
      </w:r>
    </w:p>
    <w:p>
      <w:pPr>
        <w:spacing w:after="0" w:line="18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Under the terms of the agreements with ISOs, the Company preserves the right to hold back residual payments due to the ISOs and to apply such residuals against future payments due to the Company. The note receivable from another entity that was repaid during the fourth quarter of 2021 was secured by business assets and a personal guarantee.</w:t>
      </w:r>
    </w:p>
    <w:p>
      <w:pPr>
        <w:spacing w:after="0" w:line="18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2020, the Company recorded an allowance for doubtful notes receivable of $0.5 million on its Consolidated Balance Sheet, and recognized the related expense within selling, general and administrative expense on its Consolidated Statements of Operations and within other noncash items, net on its Consolidated Statements of Cash Flows for the year ended December 31, 2020. In 2021, the Company determined the balance would not be collected and as such the allowance for doubtful notes receivable was written off. As of December 31, 2021, the Company had no allowance for doubtful notes receivable.</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2021 approximately $0.3 million of the notes receivable balance is due in 2022 and approximately $0.1 million of the balance is due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2" w:name="page73"/>
    <w:bookmarkEnd w:id="72"/>
    <w:p>
      <w:pPr>
        <w:ind w:right="8020" w:firstLine="8"/>
        <w:spacing w:after="0" w:line="503" w:lineRule="auto"/>
        <w:tabs>
          <w:tab w:leader="none" w:pos="315"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Goodwill</w:t>
      </w:r>
    </w:p>
    <w:p>
      <w:pPr>
        <w:ind w:right="180"/>
        <w:spacing w:after="0" w:line="263" w:lineRule="auto"/>
        <w:rPr>
          <w:sz w:val="20"/>
          <w:szCs w:val="20"/>
          <w:color w:val="auto"/>
        </w:rPr>
      </w:pPr>
      <w:r>
        <w:rPr>
          <w:rFonts w:ascii="Arial" w:cs="Arial" w:eastAsia="Arial" w:hAnsi="Arial"/>
          <w:sz w:val="18"/>
          <w:szCs w:val="18"/>
          <w:color w:val="auto"/>
        </w:rPr>
        <w:t>The Company records goodwill upon acquisition of a business when the purchase price is greater than the fair value assigned to the underlying separately identifiable tangible and intangible assets acquired and the liabilities assumed. The Company's goodwill relates to the following reporting units as of December 31, 2021 and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2021</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SMB Payments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120,636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106,832</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Enterprise Payments</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365,740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106,832</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value of goodwill for the years ended December 31, 2021, 2020 and 2019:</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Amount</w:t>
            </w:r>
          </w:p>
        </w:tc>
      </w:tr>
      <w:tr>
        <w:trPr>
          <w:trHeight w:val="223"/>
        </w:trPr>
        <w:tc>
          <w:tcPr>
            <w:tcW w:w="9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109,515</w:t>
            </w:r>
          </w:p>
        </w:tc>
      </w:tr>
      <w:tr>
        <w:trPr>
          <w:trHeight w:val="230"/>
        </w:trPr>
        <w:tc>
          <w:tcPr>
            <w:tcW w:w="968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Changes in the value of goodwill</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109,515</w:t>
            </w:r>
          </w:p>
        </w:tc>
      </w:tr>
      <w:tr>
        <w:trPr>
          <w:trHeight w:val="189"/>
        </w:trPr>
        <w:tc>
          <w:tcPr>
            <w:tcW w:w="9680" w:type="dxa"/>
            <w:vAlign w:val="bottom"/>
            <w:gridSpan w:val="3"/>
          </w:tcPr>
          <w:p>
            <w:pPr>
              <w:ind w:left="140"/>
              <w:spacing w:after="0" w:line="189" w:lineRule="exact"/>
              <w:rPr>
                <w:rFonts w:ascii="Arial" w:cs="Arial" w:eastAsia="Arial" w:hAnsi="Arial"/>
                <w:sz w:val="18"/>
                <w:szCs w:val="18"/>
                <w:color w:val="auto"/>
              </w:rPr>
            </w:pPr>
            <w:r>
              <w:rPr>
                <w:rFonts w:ascii="Arial" w:cs="Arial" w:eastAsia="Arial" w:hAnsi="Arial"/>
                <w:sz w:val="18"/>
                <w:szCs w:val="18"/>
                <w:color w:val="auto"/>
              </w:rPr>
              <w:t>Disposal of Business (</w:t>
            </w:r>
            <w:hyperlink w:anchor="page70">
              <w:r>
                <w:rPr>
                  <w:rFonts w:ascii="Arial" w:cs="Arial" w:eastAsia="Arial" w:hAnsi="Arial"/>
                  <w:sz w:val="18"/>
                  <w:szCs w:val="18"/>
                  <w:color w:val="0000FF"/>
                </w:rPr>
                <w:t>See Note 6. Disposal of Business</w:t>
              </w:r>
            </w:hyperlink>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(2,683)</w:t>
            </w:r>
          </w:p>
        </w:tc>
      </w:tr>
      <w:tr>
        <w:trPr>
          <w:trHeight w:val="21"/>
        </w:trPr>
        <w:tc>
          <w:tcPr>
            <w:tcW w:w="1760" w:type="dxa"/>
            <w:vAlign w:val="bottom"/>
            <w:tcBorders>
              <w:bottom w:val="single" w:sz="8" w:color="CCEEFF"/>
            </w:tcBorders>
          </w:tcPr>
          <w:p>
            <w:pPr>
              <w:spacing w:after="0" w:line="20" w:lineRule="exact"/>
              <w:rPr>
                <w:sz w:val="1"/>
                <w:szCs w:val="1"/>
                <w:color w:val="auto"/>
              </w:rPr>
            </w:pPr>
          </w:p>
        </w:tc>
        <w:tc>
          <w:tcPr>
            <w:tcW w:w="2400" w:type="dxa"/>
            <w:vAlign w:val="bottom"/>
            <w:tcBorders>
              <w:top w:val="single" w:sz="8" w:color="0000FF"/>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9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106,832</w:t>
            </w:r>
          </w:p>
        </w:tc>
      </w:tr>
      <w:tr>
        <w:trPr>
          <w:trHeight w:val="230"/>
        </w:trPr>
        <w:tc>
          <w:tcPr>
            <w:tcW w:w="9680" w:type="dxa"/>
            <w:vAlign w:val="bottom"/>
            <w:gridSpan w:val="3"/>
          </w:tcPr>
          <w:p>
            <w:pPr>
              <w:ind w:left="140"/>
              <w:spacing w:after="0"/>
              <w:rPr>
                <w:sz w:val="20"/>
                <w:szCs w:val="20"/>
                <w:color w:val="auto"/>
              </w:rPr>
            </w:pPr>
            <w:r>
              <w:rPr>
                <w:rFonts w:ascii="Arial" w:cs="Arial" w:eastAsia="Arial" w:hAnsi="Arial"/>
                <w:sz w:val="18"/>
                <w:szCs w:val="18"/>
                <w:color w:val="auto"/>
              </w:rPr>
              <w:t>C&amp;H Financial Services, Inc. acquisition</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13,804</w:t>
            </w:r>
          </w:p>
        </w:tc>
      </w:tr>
      <w:tr>
        <w:trPr>
          <w:trHeight w:val="230"/>
        </w:trPr>
        <w:tc>
          <w:tcPr>
            <w:tcW w:w="9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Finxera acquisition</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245,104</w:t>
            </w:r>
          </w:p>
        </w:tc>
      </w:tr>
      <w:tr>
        <w:trPr>
          <w:trHeight w:val="223"/>
        </w:trPr>
        <w:tc>
          <w:tcPr>
            <w:tcW w:w="9680" w:type="dxa"/>
            <w:vAlign w:val="bottom"/>
            <w:gridSpan w:val="3"/>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365,740</w:t>
            </w:r>
          </w:p>
        </w:tc>
      </w:tr>
      <w:tr>
        <w:trPr>
          <w:trHeight w:val="20"/>
        </w:trPr>
        <w:tc>
          <w:tcPr>
            <w:tcW w:w="1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940"/>
        <w:spacing w:after="0" w:line="342" w:lineRule="auto"/>
        <w:rPr>
          <w:sz w:val="20"/>
          <w:szCs w:val="20"/>
          <w:color w:val="auto"/>
        </w:rPr>
      </w:pPr>
      <w:r>
        <w:rPr>
          <w:rFonts w:ascii="Arial" w:cs="Arial" w:eastAsia="Arial" w:hAnsi="Arial"/>
          <w:sz w:val="16"/>
          <w:szCs w:val="16"/>
          <w:color w:val="auto"/>
        </w:rPr>
        <w:t>In connection with the acquisition of Finxera, $8.7 million of goodwill recorded was deductible for income tax purposes. For all other business combinations consummated during the years ended December 31, 2021 and 2020, goodwill was fully deductible for income tax purposes.</w:t>
      </w:r>
    </w:p>
    <w:p>
      <w:pPr>
        <w:spacing w:after="0" w:line="12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There were no impairment losses for the years ended December 31, 2021, 2020 or 2019. The Company performed its most recent annual goodwill impairment test as of October 1, 2021, using the optional qualitative method. Under the qualitative method, we examined the factors most likely to affect our valuations. As a result, we have concluded that it remains more likely than not that the fair value of each of our reporting units exceeds their carrying amounts. As of December 31, 2021, the Company is not aware of any triggering events that have occurred since October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r>
              <w:rPr>
                <w:rFonts w:ascii="Arial" w:cs="Arial" w:eastAsia="Arial" w:hAnsi="Arial"/>
                <w:sz w:val="18"/>
                <w:szCs w:val="18"/>
                <w:b w:val="1"/>
                <w:bCs w:val="1"/>
                <w:color w:val="auto"/>
              </w:rPr>
              <w:t>Other Intangible Assets</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120" w:type="dxa"/>
            <w:vAlign w:val="bottom"/>
            <w:gridSpan w:val="5"/>
          </w:tcPr>
          <w:p>
            <w:pPr>
              <w:spacing w:after="0"/>
              <w:rPr>
                <w:sz w:val="20"/>
                <w:szCs w:val="20"/>
                <w:color w:val="auto"/>
              </w:rPr>
            </w:pPr>
            <w:r>
              <w:rPr>
                <w:rFonts w:ascii="Arial" w:cs="Arial" w:eastAsia="Arial" w:hAnsi="Arial"/>
                <w:sz w:val="18"/>
                <w:szCs w:val="18"/>
                <w:color w:val="auto"/>
                <w:w w:val="92"/>
              </w:rPr>
              <w:t>At December 31, 2021 and 2020, other intangible assets consisted of the following:</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4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weighted-average data)</w:t>
            </w:r>
          </w:p>
        </w:tc>
        <w:tc>
          <w:tcPr>
            <w:tcW w:w="6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2021</w:t>
            </w: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140" w:type="dxa"/>
            <w:vAlign w:val="bottom"/>
          </w:tcPr>
          <w:p>
            <w:pPr>
              <w:spacing w:after="0"/>
              <w:rPr>
                <w:sz w:val="14"/>
                <w:szCs w:val="14"/>
                <w:color w:val="auto"/>
              </w:rPr>
            </w:pPr>
          </w:p>
        </w:tc>
        <w:tc>
          <w:tcPr>
            <w:tcW w:w="1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96"/>
              </w:rPr>
              <w:t>Gross Carrying Value</w:t>
            </w:r>
          </w:p>
        </w:tc>
        <w:tc>
          <w:tcPr>
            <w:tcW w:w="140" w:type="dxa"/>
            <w:vAlign w:val="bottom"/>
          </w:tcPr>
          <w:p>
            <w:pPr>
              <w:spacing w:after="0"/>
              <w:rPr>
                <w:sz w:val="14"/>
                <w:szCs w:val="14"/>
                <w:color w:val="auto"/>
              </w:rPr>
            </w:pPr>
          </w:p>
        </w:tc>
        <w:tc>
          <w:tcPr>
            <w:tcW w:w="174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4"/>
                <w:szCs w:val="14"/>
                <w:color w:val="auto"/>
              </w:rPr>
            </w:pPr>
          </w:p>
        </w:tc>
        <w:tc>
          <w:tcPr>
            <w:tcW w:w="16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3"/>
              </w:rPr>
              <w:t>Net Carrying Value</w:t>
            </w:r>
          </w:p>
        </w:tc>
        <w:tc>
          <w:tcPr>
            <w:tcW w:w="100" w:type="dxa"/>
            <w:vAlign w:val="bottom"/>
          </w:tcPr>
          <w:p>
            <w:pPr>
              <w:spacing w:after="0"/>
              <w:rPr>
                <w:sz w:val="14"/>
                <w:szCs w:val="14"/>
                <w:color w:val="auto"/>
              </w:rPr>
            </w:pPr>
          </w:p>
        </w:tc>
        <w:tc>
          <w:tcPr>
            <w:tcW w:w="154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8"/>
              </w:rPr>
              <w:t>Weighted-average</w:t>
            </w:r>
          </w:p>
        </w:tc>
        <w:tc>
          <w:tcPr>
            <w:tcW w:w="0" w:type="dxa"/>
            <w:vAlign w:val="bottom"/>
          </w:tcPr>
          <w:p>
            <w:pPr>
              <w:spacing w:after="0"/>
              <w:rPr>
                <w:sz w:val="1"/>
                <w:szCs w:val="1"/>
                <w:color w:val="auto"/>
              </w:rPr>
            </w:pPr>
          </w:p>
        </w:tc>
      </w:tr>
      <w:tr>
        <w:trPr>
          <w:trHeight w:val="229"/>
        </w:trPr>
        <w:tc>
          <w:tcPr>
            <w:tcW w:w="414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3"/>
              </w:rPr>
              <w:t>Useful Life</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6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480"/>
              <w:spacing w:after="0"/>
              <w:rPr>
                <w:sz w:val="20"/>
                <w:szCs w:val="20"/>
                <w:color w:val="auto"/>
              </w:rPr>
            </w:pPr>
            <w:r>
              <w:rPr>
                <w:rFonts w:ascii="Arial" w:cs="Arial" w:eastAsia="Arial" w:hAnsi="Arial"/>
                <w:sz w:val="18"/>
                <w:szCs w:val="18"/>
                <w:color w:val="auto"/>
              </w:rPr>
              <w:t>ISO and referral partner relationships</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175,300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(11,679)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163,621</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14.8</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Residual buyouts</w:t>
            </w:r>
            <w:r>
              <w:rPr>
                <w:rFonts w:ascii="Arial" w:cs="Arial" w:eastAsia="Arial" w:hAnsi="Arial"/>
                <w:sz w:val="23"/>
                <w:szCs w:val="23"/>
                <w:color w:val="auto"/>
                <w:vertAlign w:val="superscript"/>
              </w:rPr>
              <w:t>(1)</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70,039</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6.4</w:t>
            </w:r>
          </w:p>
        </w:tc>
        <w:tc>
          <w:tcPr>
            <w:tcW w:w="0" w:type="dxa"/>
            <w:vAlign w:val="bottom"/>
          </w:tcPr>
          <w:p>
            <w:pPr>
              <w:spacing w:after="0"/>
              <w:rPr>
                <w:sz w:val="1"/>
                <w:szCs w:val="1"/>
                <w:color w:val="auto"/>
              </w:rPr>
            </w:pPr>
          </w:p>
        </w:tc>
      </w:tr>
      <w:tr>
        <w:trPr>
          <w:trHeight w:val="229"/>
        </w:trPr>
        <w:tc>
          <w:tcPr>
            <w:tcW w:w="4140" w:type="dxa"/>
            <w:vAlign w:val="bottom"/>
          </w:tcPr>
          <w:p>
            <w:pPr>
              <w:ind w:left="480"/>
              <w:spacing w:after="0"/>
              <w:rPr>
                <w:sz w:val="20"/>
                <w:szCs w:val="20"/>
                <w:color w:val="auto"/>
              </w:rPr>
            </w:pPr>
            <w:r>
              <w:rPr>
                <w:rFonts w:ascii="Arial" w:cs="Arial" w:eastAsia="Arial" w:hAnsi="Arial"/>
                <w:sz w:val="18"/>
                <w:szCs w:val="18"/>
                <w:color w:val="auto"/>
              </w:rPr>
              <w:t>Customer relationships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95,566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(70,883)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24,683</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8.1</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Merchant portfolios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45,137</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6.7</w:t>
            </w:r>
          </w:p>
        </w:tc>
        <w:tc>
          <w:tcPr>
            <w:tcW w:w="0" w:type="dxa"/>
            <w:vAlign w:val="bottom"/>
          </w:tcPr>
          <w:p>
            <w:pPr>
              <w:spacing w:after="0"/>
              <w:rPr>
                <w:sz w:val="1"/>
                <w:szCs w:val="1"/>
                <w:color w:val="auto"/>
              </w:rPr>
            </w:pPr>
          </w:p>
        </w:tc>
      </w:tr>
      <w:tr>
        <w:trPr>
          <w:trHeight w:val="230"/>
        </w:trPr>
        <w:tc>
          <w:tcPr>
            <w:tcW w:w="4140" w:type="dxa"/>
            <w:vAlign w:val="bottom"/>
          </w:tcPr>
          <w:p>
            <w:pPr>
              <w:ind w:left="480"/>
              <w:spacing w:after="0" w:line="230" w:lineRule="exact"/>
              <w:rPr>
                <w:sz w:val="20"/>
                <w:szCs w:val="20"/>
                <w:color w:val="auto"/>
              </w:rPr>
            </w:pPr>
            <w:r>
              <w:rPr>
                <w:rFonts w:ascii="Arial" w:cs="Arial" w:eastAsia="Arial" w:hAnsi="Arial"/>
                <w:sz w:val="18"/>
                <w:szCs w:val="18"/>
                <w:color w:val="auto"/>
              </w:rPr>
              <w:t>Technology</w:t>
            </w:r>
            <w:r>
              <w:rPr>
                <w:rFonts w:ascii="Arial" w:cs="Arial" w:eastAsia="Arial" w:hAnsi="Arial"/>
                <w:sz w:val="23"/>
                <w:szCs w:val="23"/>
                <w:color w:val="auto"/>
                <w:vertAlign w:val="superscript"/>
              </w:rPr>
              <w:t>(2)</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48,690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(15,039)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33,651</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9.9</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Non-compete agreements</w:t>
            </w:r>
            <w:r>
              <w:rPr>
                <w:rFonts w:ascii="Arial" w:cs="Arial" w:eastAsia="Arial" w:hAnsi="Arial"/>
                <w:sz w:val="23"/>
                <w:szCs w:val="23"/>
                <w:color w:val="auto"/>
                <w:vertAlign w:val="superscript"/>
              </w:rPr>
              <w:t>(2)</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0.0</w:t>
            </w:r>
          </w:p>
        </w:tc>
        <w:tc>
          <w:tcPr>
            <w:tcW w:w="0" w:type="dxa"/>
            <w:vAlign w:val="bottom"/>
          </w:tcPr>
          <w:p>
            <w:pPr>
              <w:spacing w:after="0"/>
              <w:rPr>
                <w:sz w:val="1"/>
                <w:szCs w:val="1"/>
                <w:color w:val="auto"/>
              </w:rPr>
            </w:pPr>
          </w:p>
        </w:tc>
      </w:tr>
      <w:tr>
        <w:trPr>
          <w:trHeight w:val="229"/>
        </w:trPr>
        <w:tc>
          <w:tcPr>
            <w:tcW w:w="4140" w:type="dxa"/>
            <w:vAlign w:val="bottom"/>
          </w:tcPr>
          <w:p>
            <w:pPr>
              <w:ind w:left="480"/>
              <w:spacing w:after="0"/>
              <w:rPr>
                <w:sz w:val="20"/>
                <w:szCs w:val="20"/>
                <w:color w:val="auto"/>
              </w:rPr>
            </w:pPr>
            <w:r>
              <w:rPr>
                <w:rFonts w:ascii="Arial" w:cs="Arial" w:eastAsia="Arial" w:hAnsi="Arial"/>
                <w:sz w:val="18"/>
                <w:szCs w:val="18"/>
                <w:color w:val="auto"/>
              </w:rPr>
              <w:t>Trade names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980</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11.6</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Money transmission licenses</w:t>
            </w:r>
            <w:r>
              <w:rPr>
                <w:rFonts w:ascii="Arial" w:cs="Arial" w:eastAsia="Arial" w:hAnsi="Arial"/>
                <w:sz w:val="23"/>
                <w:szCs w:val="23"/>
                <w:color w:val="auto"/>
                <w:vertAlign w:val="superscript"/>
              </w:rPr>
              <w:t>(3)</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680"/>
              <w:spacing w:after="0"/>
              <w:rPr>
                <w:sz w:val="20"/>
                <w:szCs w:val="20"/>
                <w:color w:val="auto"/>
              </w:rPr>
            </w:pPr>
            <w:r>
              <w:rPr>
                <w:rFonts w:ascii="Arial" w:cs="Arial" w:eastAsia="Arial" w:hAnsi="Arial"/>
                <w:sz w:val="18"/>
                <w:szCs w:val="18"/>
                <w:b w:val="1"/>
                <w:bCs w:val="1"/>
                <w:color w:val="auto"/>
              </w:rPr>
              <w:t>Total gross carrying value</w:t>
            </w:r>
          </w:p>
        </w:tc>
        <w:tc>
          <w:tcPr>
            <w:tcW w:w="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530,157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(189,946)</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340,211</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7"/>
              </w:rPr>
              <w:t>9.7</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Additions to Residual buyouts were offset by certain assets that became fully amortized in 2021 but are still in service.</w:t>
      </w:r>
    </w:p>
    <w:p>
      <w:pPr>
        <w:spacing w:after="0" w:line="1"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Certain assets in the group became fully amortized in 2021 but are still in service.</w:t>
      </w:r>
    </w:p>
    <w:p>
      <w:pPr>
        <w:spacing w:after="0" w:line="2"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These assets have an indefinite useful life.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weighted-average data)</w:t>
            </w:r>
          </w:p>
        </w:tc>
        <w:tc>
          <w:tcPr>
            <w:tcW w:w="6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2020</w:t>
            </w: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140" w:type="dxa"/>
            <w:vAlign w:val="bottom"/>
          </w:tcPr>
          <w:p>
            <w:pPr>
              <w:spacing w:after="0"/>
              <w:rPr>
                <w:sz w:val="14"/>
                <w:szCs w:val="14"/>
                <w:color w:val="auto"/>
              </w:rPr>
            </w:pPr>
          </w:p>
        </w:tc>
        <w:tc>
          <w:tcPr>
            <w:tcW w:w="1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96"/>
              </w:rPr>
              <w:t>Gross Carrying Value</w:t>
            </w:r>
          </w:p>
        </w:tc>
        <w:tc>
          <w:tcPr>
            <w:tcW w:w="140" w:type="dxa"/>
            <w:vAlign w:val="bottom"/>
          </w:tcPr>
          <w:p>
            <w:pPr>
              <w:spacing w:after="0"/>
              <w:rPr>
                <w:sz w:val="14"/>
                <w:szCs w:val="14"/>
                <w:color w:val="auto"/>
              </w:rPr>
            </w:pPr>
          </w:p>
        </w:tc>
        <w:tc>
          <w:tcPr>
            <w:tcW w:w="174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4"/>
                <w:szCs w:val="14"/>
                <w:color w:val="auto"/>
              </w:rPr>
            </w:pPr>
          </w:p>
        </w:tc>
        <w:tc>
          <w:tcPr>
            <w:tcW w:w="16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3"/>
              </w:rPr>
              <w:t>Net Carrying Value</w:t>
            </w:r>
          </w:p>
        </w:tc>
        <w:tc>
          <w:tcPr>
            <w:tcW w:w="100" w:type="dxa"/>
            <w:vAlign w:val="bottom"/>
          </w:tcPr>
          <w:p>
            <w:pPr>
              <w:spacing w:after="0"/>
              <w:rPr>
                <w:sz w:val="14"/>
                <w:szCs w:val="14"/>
                <w:color w:val="auto"/>
              </w:rPr>
            </w:pPr>
          </w:p>
        </w:tc>
        <w:tc>
          <w:tcPr>
            <w:tcW w:w="154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8"/>
              </w:rPr>
              <w:t>Weighted-average</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3"/>
              </w:rPr>
              <w:t>Useful Life</w:t>
            </w: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6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480"/>
              <w:spacing w:after="0"/>
              <w:rPr>
                <w:sz w:val="20"/>
                <w:szCs w:val="20"/>
                <w:color w:val="auto"/>
              </w:rPr>
            </w:pPr>
            <w:r>
              <w:rPr>
                <w:rFonts w:ascii="Arial" w:cs="Arial" w:eastAsia="Arial" w:hAnsi="Arial"/>
                <w:sz w:val="18"/>
                <w:szCs w:val="18"/>
                <w:color w:val="auto"/>
              </w:rPr>
              <w:t>ISO relationships</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15,200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(7,319)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7,881</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23.7</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Residual buyouts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(72,659)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41,700</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6.8</w:t>
            </w:r>
          </w:p>
        </w:tc>
        <w:tc>
          <w:tcPr>
            <w:tcW w:w="0" w:type="dxa"/>
            <w:vAlign w:val="bottom"/>
          </w:tcPr>
          <w:p>
            <w:pPr>
              <w:spacing w:after="0"/>
              <w:rPr>
                <w:sz w:val="1"/>
                <w:szCs w:val="1"/>
                <w:color w:val="auto"/>
              </w:rPr>
            </w:pPr>
          </w:p>
        </w:tc>
      </w:tr>
      <w:tr>
        <w:trPr>
          <w:trHeight w:val="230"/>
        </w:trPr>
        <w:tc>
          <w:tcPr>
            <w:tcW w:w="4140" w:type="dxa"/>
            <w:vAlign w:val="bottom"/>
          </w:tcPr>
          <w:p>
            <w:pPr>
              <w:ind w:left="480"/>
              <w:spacing w:after="0"/>
              <w:rPr>
                <w:sz w:val="20"/>
                <w:szCs w:val="20"/>
                <w:color w:val="auto"/>
              </w:rPr>
            </w:pPr>
            <w:r>
              <w:rPr>
                <w:rFonts w:ascii="Arial" w:cs="Arial" w:eastAsia="Arial" w:hAnsi="Arial"/>
                <w:sz w:val="18"/>
                <w:szCs w:val="18"/>
                <w:color w:val="auto"/>
              </w:rPr>
              <w:t>Customer relationships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40,740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(30,267)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10,473</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11.0</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Merchant portfolios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36,345</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5.5</w:t>
            </w:r>
          </w:p>
        </w:tc>
        <w:tc>
          <w:tcPr>
            <w:tcW w:w="0" w:type="dxa"/>
            <w:vAlign w:val="bottom"/>
          </w:tcPr>
          <w:p>
            <w:pPr>
              <w:spacing w:after="0"/>
              <w:rPr>
                <w:sz w:val="1"/>
                <w:szCs w:val="1"/>
                <w:color w:val="auto"/>
              </w:rPr>
            </w:pPr>
          </w:p>
        </w:tc>
      </w:tr>
      <w:tr>
        <w:trPr>
          <w:trHeight w:val="230"/>
        </w:trPr>
        <w:tc>
          <w:tcPr>
            <w:tcW w:w="4140" w:type="dxa"/>
            <w:vAlign w:val="bottom"/>
          </w:tcPr>
          <w:p>
            <w:pPr>
              <w:ind w:left="480"/>
              <w:spacing w:after="0"/>
              <w:rPr>
                <w:sz w:val="20"/>
                <w:szCs w:val="20"/>
                <w:color w:val="auto"/>
              </w:rPr>
            </w:pPr>
            <w:r>
              <w:rPr>
                <w:rFonts w:ascii="Arial" w:cs="Arial" w:eastAsia="Arial" w:hAnsi="Arial"/>
                <w:sz w:val="18"/>
                <w:szCs w:val="18"/>
                <w:color w:val="auto"/>
              </w:rPr>
              <w:t>Trade names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1,219</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11.6</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Non-compete agreements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3.0</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Technology</w:t>
            </w:r>
          </w:p>
        </w:tc>
        <w:tc>
          <w:tcPr>
            <w:tcW w:w="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6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87"/>
              </w:rPr>
              <w:t>6.1</w:t>
            </w:r>
          </w:p>
        </w:tc>
        <w:tc>
          <w:tcPr>
            <w:tcW w:w="0" w:type="dxa"/>
            <w:vAlign w:val="bottom"/>
          </w:tcPr>
          <w:p>
            <w:pPr>
              <w:spacing w:after="0"/>
              <w:rPr>
                <w:sz w:val="1"/>
                <w:szCs w:val="1"/>
                <w:color w:val="auto"/>
              </w:rPr>
            </w:pPr>
          </w:p>
        </w:tc>
      </w:tr>
      <w:tr>
        <w:trPr>
          <w:trHeight w:val="248"/>
        </w:trPr>
        <w:tc>
          <w:tcPr>
            <w:tcW w:w="41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gross carrying value</w:t>
            </w: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246,765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(148,708)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98,057</w:t>
            </w:r>
          </w:p>
        </w:tc>
        <w:tc>
          <w:tcPr>
            <w:tcW w:w="16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87"/>
              </w:rPr>
              <w:t>8.4</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Amortization expense for intangible assets was $41.2 million, $33.1 million and $32.4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The estimated amortization expense of intangible assets as of December 31, 2021 for the next five years and thereafter is: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22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5"/>
              </w:rPr>
              <w:t>Estimated Amortization</w:t>
            </w:r>
          </w:p>
        </w:tc>
        <w:tc>
          <w:tcPr>
            <w:tcW w:w="0" w:type="dxa"/>
            <w:vAlign w:val="bottom"/>
          </w:tcPr>
          <w:p>
            <w:pPr>
              <w:spacing w:after="0"/>
              <w:rPr>
                <w:sz w:val="1"/>
                <w:szCs w:val="1"/>
                <w:color w:val="auto"/>
              </w:rPr>
            </w:pPr>
          </w:p>
        </w:tc>
      </w:tr>
      <w:tr>
        <w:trPr>
          <w:trHeight w:val="41"/>
        </w:trPr>
        <w:tc>
          <w:tcPr>
            <w:tcW w:w="8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80" w:type="dxa"/>
            <w:vAlign w:val="bottom"/>
          </w:tcPr>
          <w:p>
            <w:pPr>
              <w:spacing w:after="0"/>
              <w:rPr>
                <w:sz w:val="3"/>
                <w:szCs w:val="3"/>
                <w:color w:val="auto"/>
              </w:rPr>
            </w:pPr>
          </w:p>
        </w:tc>
        <w:tc>
          <w:tcPr>
            <w:tcW w:w="2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88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tcPr>
          <w:p>
            <w:pPr>
              <w:jc w:val="right"/>
              <w:ind w:right="790"/>
              <w:spacing w:after="0"/>
              <w:rPr>
                <w:sz w:val="20"/>
                <w:szCs w:val="20"/>
                <w:color w:val="auto"/>
              </w:rPr>
            </w:pPr>
            <w:r>
              <w:rPr>
                <w:rFonts w:ascii="Arial" w:cs="Arial" w:eastAsia="Arial" w:hAnsi="Arial"/>
                <w:sz w:val="18"/>
                <w:szCs w:val="18"/>
                <w:b w:val="1"/>
                <w:bCs w:val="1"/>
                <w:color w:val="auto"/>
              </w:rPr>
              <w:t>Expense</w:t>
            </w:r>
          </w:p>
        </w:tc>
        <w:tc>
          <w:tcPr>
            <w:tcW w:w="0" w:type="dxa"/>
            <w:vAlign w:val="bottom"/>
          </w:tcPr>
          <w:p>
            <w:pPr>
              <w:spacing w:after="0"/>
              <w:rPr>
                <w:sz w:val="1"/>
                <w:szCs w:val="1"/>
                <w:color w:val="auto"/>
              </w:rPr>
            </w:pPr>
          </w:p>
        </w:tc>
      </w:tr>
      <w:tr>
        <w:trPr>
          <w:trHeight w:val="223"/>
        </w:trPr>
        <w:tc>
          <w:tcPr>
            <w:tcW w:w="8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59,262</w:t>
            </w:r>
          </w:p>
        </w:tc>
        <w:tc>
          <w:tcPr>
            <w:tcW w:w="0" w:type="dxa"/>
            <w:vAlign w:val="bottom"/>
          </w:tcPr>
          <w:p>
            <w:pPr>
              <w:spacing w:after="0"/>
              <w:rPr>
                <w:sz w:val="1"/>
                <w:szCs w:val="1"/>
                <w:color w:val="auto"/>
              </w:rPr>
            </w:pPr>
          </w:p>
        </w:tc>
      </w:tr>
      <w:tr>
        <w:trPr>
          <w:trHeight w:val="229"/>
        </w:trPr>
        <w:tc>
          <w:tcPr>
            <w:tcW w:w="876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52,822</w:t>
            </w:r>
          </w:p>
        </w:tc>
        <w:tc>
          <w:tcPr>
            <w:tcW w:w="0" w:type="dxa"/>
            <w:vAlign w:val="bottom"/>
          </w:tcPr>
          <w:p>
            <w:pPr>
              <w:spacing w:after="0"/>
              <w:rPr>
                <w:sz w:val="1"/>
                <w:szCs w:val="1"/>
                <w:color w:val="auto"/>
              </w:rPr>
            </w:pPr>
          </w:p>
        </w:tc>
      </w:tr>
      <w:tr>
        <w:trPr>
          <w:trHeight w:val="229"/>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35,029</w:t>
            </w:r>
          </w:p>
        </w:tc>
        <w:tc>
          <w:tcPr>
            <w:tcW w:w="0" w:type="dxa"/>
            <w:vAlign w:val="bottom"/>
          </w:tcPr>
          <w:p>
            <w:pPr>
              <w:spacing w:after="0"/>
              <w:rPr>
                <w:sz w:val="1"/>
                <w:szCs w:val="1"/>
                <w:color w:val="auto"/>
              </w:rPr>
            </w:pPr>
          </w:p>
        </w:tc>
      </w:tr>
      <w:tr>
        <w:trPr>
          <w:trHeight w:val="230"/>
        </w:trPr>
        <w:tc>
          <w:tcPr>
            <w:tcW w:w="876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28,921</w:t>
            </w:r>
          </w:p>
        </w:tc>
        <w:tc>
          <w:tcPr>
            <w:tcW w:w="0" w:type="dxa"/>
            <w:vAlign w:val="bottom"/>
          </w:tcPr>
          <w:p>
            <w:pPr>
              <w:spacing w:after="0"/>
              <w:rPr>
                <w:sz w:val="1"/>
                <w:szCs w:val="1"/>
                <w:color w:val="auto"/>
              </w:rPr>
            </w:pPr>
          </w:p>
        </w:tc>
      </w:tr>
      <w:tr>
        <w:trPr>
          <w:trHeight w:val="229"/>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28,358</w:t>
            </w:r>
          </w:p>
        </w:tc>
        <w:tc>
          <w:tcPr>
            <w:tcW w:w="0" w:type="dxa"/>
            <w:vAlign w:val="bottom"/>
          </w:tcPr>
          <w:p>
            <w:pPr>
              <w:spacing w:after="0"/>
              <w:rPr>
                <w:sz w:val="1"/>
                <w:szCs w:val="1"/>
                <w:color w:val="auto"/>
              </w:rPr>
            </w:pPr>
          </w:p>
        </w:tc>
      </w:tr>
      <w:tr>
        <w:trPr>
          <w:trHeight w:val="230"/>
        </w:trPr>
        <w:tc>
          <w:tcPr>
            <w:tcW w:w="8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133,719</w:t>
            </w:r>
          </w:p>
        </w:tc>
        <w:tc>
          <w:tcPr>
            <w:tcW w:w="0" w:type="dxa"/>
            <w:vAlign w:val="bottom"/>
          </w:tcPr>
          <w:p>
            <w:pPr>
              <w:spacing w:after="0"/>
              <w:rPr>
                <w:sz w:val="1"/>
                <w:szCs w:val="1"/>
                <w:color w:val="auto"/>
              </w:rPr>
            </w:pPr>
          </w:p>
        </w:tc>
      </w:tr>
      <w:tr>
        <w:trPr>
          <w:trHeight w:val="248"/>
        </w:trPr>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338,111</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Actual amortization expense to be reported in future periods could differ from these estimates as a result of new intangible asset acquisitions, changes in useful lives and other relevant events or circumstances.</w:t>
      </w:r>
    </w:p>
    <w:p>
      <w:pPr>
        <w:spacing w:after="0" w:line="17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 tests intangible assets for impairment when events occur or circumstances indicate that the fair value of an intangible asset or group of intangible assets may be impaired. In the Company's SMB Payments segment, a residual buyout intangible asset with a net carrying value of $2.2 million was deemed to be impaired at December 31, 2020. The fair value of this intangible asset was estimated to be approximately $0.5 million, resulting in the recognition of an impairment charge of $1.8 million, which is included in selling, general and administrative expenses on the Company's Consolidated Statement of Operations for the year ended December 31, 2020. This impairment was the result of diminished cash flows generated by the merchant portfolio.</w:t>
      </w:r>
    </w:p>
    <w:p>
      <w:pPr>
        <w:spacing w:after="0" w:line="19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also considered the market conditions generated by the COVID-19 pandemic and concluded that there were no additional impairment indicators present at December 31, 2021.</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Property, Equipment and Software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equipment and software, net as of December 31, 2021 and 2020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useful lives)</w:t>
            </w:r>
          </w:p>
        </w:tc>
        <w:tc>
          <w:tcPr>
            <w:tcW w:w="18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20"/>
                <w:szCs w:val="20"/>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 2020</w:t>
            </w:r>
          </w:p>
        </w:tc>
        <w:tc>
          <w:tcPr>
            <w:tcW w:w="8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 Useful Life</w:t>
            </w: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8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5 - 10 years</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Equipment</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12,255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10,216</w:t>
            </w:r>
          </w:p>
        </w:tc>
        <w:tc>
          <w:tcPr>
            <w:tcW w:w="8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3 - 8 years</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44,320</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2 - 5 years</w:t>
            </w: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w:t>
            </w:r>
          </w:p>
        </w:tc>
        <w:tc>
          <w:tcPr>
            <w:tcW w:w="8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3 - 10 years</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equipment and software</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63,581</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22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(40,706)</w:t>
            </w:r>
          </w:p>
        </w:tc>
        <w:tc>
          <w:tcPr>
            <w:tcW w:w="8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equipment and software,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22,875</w:t>
            </w:r>
          </w:p>
        </w:tc>
        <w:tc>
          <w:tcPr>
            <w:tcW w:w="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totaled $8.5 million, $7.7 million and $6.6 million for the years ended December 31, 2021, 2020 and 2019, respectively.</w:t>
      </w:r>
    </w:p>
    <w:p>
      <w:pPr>
        <w:spacing w:after="0" w:line="23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Computer software represents purchased software and internally developed back office and merchant interfacing systems used to assist the reporting of merchant processing transactions and other related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5" w:name="page76"/>
    <w:bookmarkEnd w:id="75"/>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Accounts Payable and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accounts payable and accrued expenses that exceeded five percent of total current liabilities at either December 31, 2021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ind w:left="1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2021</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23"/>
        </w:trPr>
        <w:tc>
          <w:tcPr>
            <w:tcW w:w="71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card network fees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8,041</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r>
              <w:rPr>
                <w:rFonts w:ascii="Arial" w:cs="Arial" w:eastAsia="Arial" w:hAnsi="Arial"/>
                <w:sz w:val="18"/>
                <w:szCs w:val="18"/>
                <w:b w:val="1"/>
                <w:bCs w:val="1"/>
                <w:color w:val="auto"/>
              </w:rPr>
              <w:t>11.  Debt Obligations</w:t>
            </w: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60" w:type="dxa"/>
            <w:vAlign w:val="bottom"/>
          </w:tcPr>
          <w:p>
            <w:pPr>
              <w:spacing w:after="0"/>
              <w:rPr>
                <w:sz w:val="20"/>
                <w:szCs w:val="20"/>
                <w:color w:val="auto"/>
              </w:rPr>
            </w:pPr>
            <w:r>
              <w:rPr>
                <w:rFonts w:ascii="Arial" w:cs="Arial" w:eastAsia="Arial" w:hAnsi="Arial"/>
                <w:sz w:val="18"/>
                <w:szCs w:val="18"/>
                <w:color w:val="auto"/>
              </w:rPr>
              <w:t>Outstanding debt obligations as of December 31, 2021 and 2020 consisted of the following:</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3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4"/>
                <w:szCs w:val="24"/>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31, 2020</w:t>
            </w:r>
          </w:p>
        </w:tc>
        <w:tc>
          <w:tcPr>
            <w:tcW w:w="0" w:type="dxa"/>
            <w:vAlign w:val="bottom"/>
          </w:tcPr>
          <w:p>
            <w:pPr>
              <w:spacing w:after="0"/>
              <w:rPr>
                <w:sz w:val="1"/>
                <w:szCs w:val="1"/>
                <w:color w:val="auto"/>
              </w:rPr>
            </w:pPr>
          </w:p>
        </w:tc>
      </w:tr>
      <w:tr>
        <w:trPr>
          <w:trHeight w:val="209"/>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Credit and Guaranty Agreement:</w:t>
            </w:r>
          </w:p>
        </w:tc>
        <w:tc>
          <w:tcPr>
            <w:tcW w:w="1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Term facility - matures April 27, 2027, interest rate of 6.75% at December 31, 2021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616,900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73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Revolving credit facility - $40.0 million line, matures April 27, 2026, interest rate of 5.75% at</w:t>
            </w:r>
          </w:p>
        </w:tc>
        <w:tc>
          <w:tcPr>
            <w:tcW w:w="16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736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December 31, 2021</w:t>
            </w:r>
          </w:p>
        </w:tc>
        <w:tc>
          <w:tcPr>
            <w:tcW w:w="160" w:type="dxa"/>
            <w:vAlign w:val="bottom"/>
            <w:shd w:val="clear" w:color="auto" w:fill="CCEEFF"/>
          </w:tcPr>
          <w:p>
            <w:pPr>
              <w:spacing w:after="0"/>
              <w:rPr>
                <w:sz w:val="11"/>
                <w:szCs w:val="11"/>
                <w:color w:val="auto"/>
              </w:rPr>
            </w:pPr>
          </w:p>
        </w:tc>
        <w:tc>
          <w:tcPr>
            <w:tcW w:w="17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736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Senior Credit Agreement:</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Term facility - Original maturity at January 3, 2023, interest rate of 7.50% at December 31, 2020</w:t>
            </w:r>
          </w:p>
        </w:tc>
        <w:tc>
          <w:tcPr>
            <w:tcW w:w="1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279,417</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Term Loan Agreement:</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3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Term loan - subordinated, original maturity at July 3, 2023, interest rate of 12.50% at December 31,</w:t>
            </w:r>
          </w:p>
        </w:tc>
        <w:tc>
          <w:tcPr>
            <w:tcW w:w="160" w:type="dxa"/>
            <w:vAlign w:val="bottom"/>
            <w:shd w:val="clear" w:color="auto" w:fill="CCEEFF"/>
          </w:tcPr>
          <w:p>
            <w:pPr>
              <w:spacing w:after="0"/>
              <w:rPr>
                <w:sz w:val="15"/>
                <w:szCs w:val="15"/>
                <w:color w:val="auto"/>
              </w:rPr>
            </w:pPr>
          </w:p>
        </w:tc>
        <w:tc>
          <w:tcPr>
            <w:tcW w:w="1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102,623</w:t>
            </w:r>
          </w:p>
        </w:tc>
        <w:tc>
          <w:tcPr>
            <w:tcW w:w="0" w:type="dxa"/>
            <w:vAlign w:val="bottom"/>
          </w:tcPr>
          <w:p>
            <w:pPr>
              <w:spacing w:after="0"/>
              <w:rPr>
                <w:sz w:val="1"/>
                <w:szCs w:val="1"/>
                <w:color w:val="auto"/>
              </w:rPr>
            </w:pPr>
          </w:p>
        </w:tc>
      </w:tr>
      <w:tr>
        <w:trPr>
          <w:trHeight w:val="135"/>
        </w:trPr>
        <w:tc>
          <w:tcPr>
            <w:tcW w:w="736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1"/>
                <w:szCs w:val="11"/>
                <w:color w:val="auto"/>
              </w:rPr>
            </w:pPr>
          </w:p>
        </w:tc>
        <w:tc>
          <w:tcPr>
            <w:tcW w:w="182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7360" w:type="dxa"/>
            <w:vAlign w:val="bottom"/>
            <w:vMerge w:val="continue"/>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172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7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360" w:type="dxa"/>
            <w:vAlign w:val="bottom"/>
          </w:tcPr>
          <w:p>
            <w:pPr>
              <w:ind w:left="260"/>
              <w:spacing w:after="0"/>
              <w:rPr>
                <w:sz w:val="20"/>
                <w:szCs w:val="20"/>
                <w:color w:val="auto"/>
              </w:rPr>
            </w:pPr>
            <w:r>
              <w:rPr>
                <w:rFonts w:ascii="Arial" w:cs="Arial" w:eastAsia="Arial" w:hAnsi="Arial"/>
                <w:sz w:val="18"/>
                <w:szCs w:val="18"/>
                <w:b w:val="1"/>
                <w:bCs w:val="1"/>
                <w:color w:val="auto"/>
              </w:rPr>
              <w:t>Total debt obligations</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631,900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382,040</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 of long-term debt</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(19,442)</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debt discounts and deferred financing costs</w:t>
            </w: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Long-term debt,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604,105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357,873</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Maturities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Based on terms and conditions existing at December 31, 2021, future minimum principal payments for long-term debt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56"/>
        </w:trPr>
        <w:tc>
          <w:tcPr>
            <w:tcW w:w="436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340" w:type="dxa"/>
            <w:vAlign w:val="bottom"/>
          </w:tcPr>
          <w:p>
            <w:pPr>
              <w:spacing w:after="0"/>
              <w:rPr>
                <w:sz w:val="22"/>
                <w:szCs w:val="22"/>
                <w:color w:val="auto"/>
              </w:rPr>
            </w:pPr>
          </w:p>
        </w:tc>
        <w:tc>
          <w:tcPr>
            <w:tcW w:w="1980" w:type="dxa"/>
            <w:vAlign w:val="bottom"/>
            <w:gridSpan w:val="2"/>
          </w:tcPr>
          <w:p>
            <w:pPr>
              <w:ind w:left="240"/>
              <w:spacing w:after="0"/>
              <w:rPr>
                <w:sz w:val="20"/>
                <w:szCs w:val="20"/>
                <w:color w:val="auto"/>
              </w:rPr>
            </w:pPr>
            <w:r>
              <w:rPr>
                <w:rFonts w:ascii="Arial" w:cs="Arial" w:eastAsia="Arial" w:hAnsi="Arial"/>
                <w:sz w:val="18"/>
                <w:szCs w:val="18"/>
                <w:b w:val="1"/>
                <w:bCs w:val="1"/>
                <w:color w:val="auto"/>
              </w:rPr>
              <w:t>Term Facility</w:t>
            </w:r>
          </w:p>
        </w:tc>
        <w:tc>
          <w:tcPr>
            <w:tcW w:w="120" w:type="dxa"/>
            <w:vAlign w:val="bottom"/>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b w:val="1"/>
                <w:bCs w:val="1"/>
                <w:color w:val="auto"/>
              </w:rPr>
              <w:t>Revolving Credit Facility</w:t>
            </w:r>
          </w:p>
        </w:tc>
        <w:tc>
          <w:tcPr>
            <w:tcW w:w="220" w:type="dxa"/>
            <w:vAlign w:val="bottom"/>
          </w:tcPr>
          <w:p>
            <w:pPr>
              <w:spacing w:after="0"/>
              <w:rPr>
                <w:sz w:val="22"/>
                <w:szCs w:val="22"/>
                <w:color w:val="auto"/>
              </w:rPr>
            </w:pPr>
          </w:p>
        </w:tc>
        <w:tc>
          <w:tcPr>
            <w:tcW w:w="200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Total Principal Due</w:t>
            </w:r>
          </w:p>
        </w:tc>
      </w:tr>
      <w:tr>
        <w:trPr>
          <w:trHeight w:val="223"/>
        </w:trPr>
        <w:tc>
          <w:tcPr>
            <w:tcW w:w="4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6,200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6,200</w:t>
            </w: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6,200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6,200</w:t>
            </w: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21,200</w:t>
            </w:r>
          </w:p>
        </w:tc>
      </w:tr>
      <w:tr>
        <w:trPr>
          <w:trHeight w:val="230"/>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After 2026</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585,900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585,900</w:t>
            </w:r>
          </w:p>
        </w:tc>
      </w:tr>
      <w:tr>
        <w:trPr>
          <w:trHeight w:val="248"/>
        </w:trPr>
        <w:tc>
          <w:tcPr>
            <w:tcW w:w="43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616,900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631,900</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Additionally, the Company may be obligated to make certain additional mandatory prepayments after the end of each year based on excess cash flow, as defined in the Credit and Guaranty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Credit and Guaranty Agreement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April 27, 2021, the Company entered into a Credit and Guaranty Agreement with Truist Bank ("Truist") (the "Credit Agreement") which provides for:</w:t>
      </w:r>
    </w:p>
    <w:p>
      <w:pPr>
        <w:spacing w:after="0" w:line="46" w:lineRule="exact"/>
        <w:rPr>
          <w:sz w:val="20"/>
          <w:szCs w:val="20"/>
          <w:color w:val="auto"/>
        </w:rPr>
      </w:pPr>
    </w:p>
    <w:p>
      <w:pPr>
        <w:ind w:right="180" w:firstLine="8"/>
        <w:spacing w:after="0" w:line="273" w:lineRule="auto"/>
        <w:tabs>
          <w:tab w:leader="none" w:pos="195"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$300.0 million senior secured term loan facility (the "initial term loan"); 2) a $290.0 million senior secured delayed draw term loan facility (the "delayed draw term loan") (together, the "term facility"); and 3) a $40.0 million senior secured revolving credit facility. The Credit Agreement was amended on September 17, 2021 to increase the amount of the delayed draw term loan facility by $30.0 million to $320.0 million. The additional delayed draw term loan is part of the same class of term loans made pursuant to the original commitments under the Credit Agreement.</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Outstanding borrowings under the Credit Agreement accrue interest using either a base rate or a LIBOR rate plus an applicable margin per year, subject to a LIBOR rate floor of 1.00% per year. Accrued interest is payable on each interest payment date (as defined in the Credit Agreement). The revolving credit facility incurs an unused commitment fee on any undrawn amount in an amount equal to 0.50% per year of the unused portion. The future applicable interest rate margins may vary based on the Company's Total Net Leverage Ratio in addition to future changes in the underlying market rates for LIBOR and the rate used for base-rate borrowings.</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Prepayments of outstanding principal may be made in permitted increments subject to a 1.00% penalty for certain prepayments made in connection with repricing transactions.</w:t>
      </w:r>
    </w:p>
    <w:p>
      <w:pPr>
        <w:spacing w:after="0" w:line="17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Credit Agreement contains representations and warranties, financial and collateral requirements, mandatory payment events, events of default and affirmative and negative covenants, including covenants that restrict the ability to create liens, pay dividends or distribute assets from the Company's subsidiaries to the Company, merge or consolidate, dispose of assets, incur additional indebtedness, make certain investments or acquisitions, enter into certain transactions (including with affiliates) and to enter into certain leases. The outstanding amount of any loans and any other amounts owed under the Credit Agreement may, after the occurrence of an event of default, at the option of Truist, be declared immediately due and payable. Events of default include the failure of the Company to make principal, premium or interest payment when due, or the failure by the Company to perform or comply with any term or covenant in the Credit Agreement.</w:t>
      </w:r>
    </w:p>
    <w:p>
      <w:pPr>
        <w:spacing w:after="0" w:line="19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the aggregate principal amount of outstanding revolving loans and letters of credit under the Credit Agreement exceeds 35% of the total revolving facility thereunder, the Company is required to comply with certain restrictions on its Total Net Leverage Ratio, which is defined as the ratio of consolidated total debt to Consolidated Adjusted EBITDA (as defined in the Credit Agreement). If applicable, the maximum permitted Total Net Leverage Ratio is: 1) 6.50:1.00 at each quarter ended September 30, 2021 through June 30, 2022; 2) 6.00:1.00 at each quarter ended September 30, 2022 through June 30, 2023; and 3) 5.50:1.00 at each quarter ended September 30, 2023 and thereafter. As of December 31, 2021, the Company is in compliance with its debt covenants.</w:t>
      </w:r>
    </w:p>
    <w:p>
      <w:pPr>
        <w:spacing w:after="0" w:line="192" w:lineRule="exact"/>
        <w:rPr>
          <w:sz w:val="20"/>
          <w:szCs w:val="20"/>
          <w:color w:val="auto"/>
        </w:rPr>
      </w:pPr>
    </w:p>
    <w:p>
      <w:pPr>
        <w:ind w:right="260"/>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Proceeds from the initial term loan were used to partially fund the Refinancing described below. Proceeds from the delayed draw term loan were used to fund the Company's acquisition of Finxera. See </w:t>
      </w:r>
      <w:hyperlink w:anchor="page64">
        <w:r>
          <w:rPr>
            <w:rFonts w:ascii="Arial" w:cs="Arial" w:eastAsia="Arial" w:hAnsi="Arial"/>
            <w:sz w:val="17"/>
            <w:szCs w:val="17"/>
            <w:u w:val="single" w:color="auto"/>
            <w:color w:val="3051F2"/>
          </w:rPr>
          <w:t>Note 3, Acquisitions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additional information related to the acquisition of Finxera.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Credit Agreement and Term Loan Agreement</w:t>
      </w:r>
    </w:p>
    <w:p>
      <w:pPr>
        <w:spacing w:after="0" w:line="229"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On January 3, 2017, the Company refinanced existing long-term debt whereby it entered into a credit agreement with a syndicate of lenders (the "Senior Credit Agreement") consisting of: 1) a $200.0 million term loan; and 2) a $25.0 million revolving credit facility. Also on January 3, 2017, the Company entered into a Credit and Guaranty Agreement (the "Term Loan Agreement") with Goldman Sachs Specialty Lending Group, L.P. ("Goldman Sachs") for an $80.0 million subordinated term loan, the proceeds of which were used to refinance the amounts previously outstanding with Goldman Sachs. The Company determined that the 2017 debt refinancing should be accounted for as a debt extinguishment.</w:t>
      </w:r>
    </w:p>
    <w:p>
      <w:pPr>
        <w:spacing w:after="0" w:line="176"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Senior Credit Agreement and the Term Loan Agreement were amended on November 14, 2017 to allow for loan advances of less than $5.0 million and for certain liens on cash securing the Company's funding obligations under a new product involving a virtual credit card program. This amendment did not affect any of the material terms, conditions or covenants of these agreements. Additionally, the Senior Credit Agreement was amended in January 2018 and December 2018 to increase the term loan by $67.5 million and $130.0 million, respectively. Two amendments were executed in 2019 that concerned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7" w:name="page78"/>
    <w:bookmarkEnd w:id="77"/>
    <w:p>
      <w:pPr>
        <w:ind w:right="420"/>
        <w:spacing w:after="0" w:line="277" w:lineRule="auto"/>
        <w:rPr>
          <w:sz w:val="20"/>
          <w:szCs w:val="20"/>
          <w:color w:val="auto"/>
        </w:rPr>
      </w:pPr>
      <w:r>
        <w:rPr>
          <w:rFonts w:ascii="Arial" w:cs="Arial" w:eastAsia="Arial" w:hAnsi="Arial"/>
          <w:sz w:val="18"/>
          <w:szCs w:val="18"/>
          <w:color w:val="auto"/>
        </w:rPr>
        <w:t>procedural changes to the quarterly and annual reporting for lenders and did not affect any of the material terms, conditions or covenants of the Senior Credit Agreement or the Term Loan Agreement.</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March 2020, a sixth amendment was made to the Senior Credit Agreement and Term Loan Agreement which included (among other updates): 1) changes to the Senior Credit Agreement to allow for certain amounts of interest to be treated as PIK interest and added to the outstanding borrowings balance (similar to what was already allowed by the Term Loan Agreement); and 2) increases to the interest rate margins for these agreements incrementally of 1.00% on June 16, 2020, and 0.50% on each of the following dates; 1) July 16; 2) August 15; and 3) September 14, 2020 because the Company did not make a permitted accelerated principal payment of at least $100.0 million under the term loan facility of the Senior Credit Agreement on or before those dates. The additional interest expense incurred by the Company due to the increases in the applicable margin for the revolving credit facility under the Senior Credit Agreement was paid in cash and such increases for the term facility of the Senior Credit Agreement and the Term Loan Agreement were accounted for as PIK interest.</w:t>
      </w:r>
    </w:p>
    <w:p>
      <w:pPr>
        <w:spacing w:after="0" w:line="19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 September 25, 2020, the Company made the $100.0 million principal prepayment plus an additional $6.5 million principal prepayment to reduce the outstanding indebtedness under the term loan facility of the Senior Credit Agreement. This resulted in simultaneous reductions in the applicable interest rate margins under the Senior Credit Agreement and the Term Loan Agreement, which prospectively eliminated and reversed the applicable margin increases described in the preceding paragraph.</w:t>
      </w:r>
    </w:p>
    <w:p>
      <w:pPr>
        <w:spacing w:after="0" w:line="18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Senior Credit Agreement and the Term Loan Agreement, as amended, contain representations and warranties, financial and collateral requirements, mandatory payment events, events of default, and affirmative and negative covenants, including covenants that restrict the ability to create liens, pay dividends or distribute assets from the Company's subsidiaries to the Company, merge or consolidate, dispose of assets, incur additional indebtedness, make certain investments or acquisitions, enter into certain transactions (including with affiliates) and to enter into certain leases.</w:t>
      </w:r>
    </w:p>
    <w:p>
      <w:pPr>
        <w:spacing w:after="0" w:line="18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Under the terms of the Senior Credit Agreement and the Term Loan Agreement, the future applicable interest rate margins could vary based on the Company's Total Net Leverage Ratio in addition to future changes in the underlying market rates for LIBOR and the rate used for base-rate borrowings. The Senior Credit Agreement and the Term Loan Agreement also have incremental margins that would apply to the future applicable interest rates if the Company was deemed to be in violation of the terms of the credit agreement.</w:t>
      </w:r>
    </w:p>
    <w:p>
      <w:pPr>
        <w:spacing w:after="0" w:line="7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was also required to comply with certain restrictions on its Total Net Leverage Ratio, which is defined as the ratio of consolidated total debt to Consolidated Adjusted EBITDA (as defined in the Senior Credit Agreement and Term Loan Agreement). The maximum permitted Total Net Leverage Ratio was 7.75:1.00 at December 31, 2020 and was 7.71:1.00 at March 31, 2021.</w:t>
      </w:r>
    </w:p>
    <w:p>
      <w:pPr>
        <w:spacing w:after="0" w:line="211"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Under the Senior Credit Agreement, prepayments of outstanding principal could be made in permitted increments with a 1.00% penalty for certain prepayments. Under the Term Loan Agreement, prepayment of outstanding principal was subject to a 4.00% penalty for certain prepayments occurring prior to March 18, 2021 and 2.00% for certain prepayments occurring between March 18, 2021 and March 18, 2022.</w:t>
      </w:r>
    </w:p>
    <w:p>
      <w:pPr>
        <w:spacing w:after="0" w:line="16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Outstanding borrowings under the Senior Credit Agreement accrued interest using either a base rate (as defined) or a LIBOR rate plus an applicable margin, or percentage per year. For the term loan facility of our Senior Credit Agreement, the sixth amendment described above provided for a LIBOR "floor" of 1.00% per year. Accrued interest was payable monthly. The revolving credit facility incurred a commitment fee on any undrawn amount, which equated to 0.50% per year for the unused portion.</w:t>
      </w:r>
    </w:p>
    <w:p>
      <w:pPr>
        <w:spacing w:after="0" w:line="18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Outstanding borrowings under the Term Loan Agreement accrued interest at 5.00%, plus an applicable margin, or percentage per year. Accrued interest was payable quarterly at 5.00% per year, and the accrued interest attributable to the applicable margin was capitalized as PIK interest each quarter.</w:t>
      </w:r>
    </w:p>
    <w:p>
      <w:pPr>
        <w:spacing w:after="0" w:line="12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outstanding obligation under the Term Loan Agreement was $102.6 million at December 31, 2020, which consisted of $80.0 million in principal and $22.6 million of accumulated PIK interest. For the year ended December 31, 2020, PIK interest under the Term Loan Agreement added $7.5 million to the principal amount outstanding under the Term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8" w:name="page79"/>
    <w:bookmarkEnd w:id="78"/>
    <w:p>
      <w:pPr>
        <w:spacing w:after="0" w:line="259" w:lineRule="auto"/>
        <w:rPr>
          <w:sz w:val="20"/>
          <w:szCs w:val="20"/>
          <w:color w:val="auto"/>
        </w:rPr>
      </w:pPr>
      <w:r>
        <w:rPr>
          <w:rFonts w:ascii="Arial" w:cs="Arial" w:eastAsia="Arial" w:hAnsi="Arial"/>
          <w:sz w:val="18"/>
          <w:szCs w:val="18"/>
          <w:color w:val="auto"/>
        </w:rPr>
        <w:t>In connection with the April 2021 debt refinancing, the outstanding obligation of $274.6 million under the Senior Credit Agreement and the outstanding obligation of $105.1 million (which consisted of $80.0 million in principal and $25.1 million of accumulated PIK interest) under the Term Loan Agreement were repaid in full (or in the case of outstanding undrawn letters of credit, deemed issued under the Credit Agreement), and all commitments and guaranties in connection therewith have been terminated or released (the "Refinancing").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and Amortization of Deferred Loan Costs and Discounts</w:t>
      </w:r>
    </w:p>
    <w:p>
      <w:pPr>
        <w:spacing w:after="0" w:line="22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Deferred financing costs and debt discounts are amortized using the effective interest method over the remaining term of the respective debt and are recorded as a component of interest expense. Unamortized deferred financing costs and debt discount are included in long-term debt on the Company's Consolidated Balance Sheets.</w:t>
      </w:r>
    </w:p>
    <w:p>
      <w:pPr>
        <w:spacing w:after="0" w:line="18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Interest expense, including fees for undrawn amounts under the revolving credit facility and the delayed draw term loan facility of the Credit Agreement and the delayed principal draw under the Senior Credit Agreement, as well as amortization of deferred financing costs and debt discounts, was $36.5 million, $44.8 million and $40.7 million for the years ended December 31, 2021, 2020 and 2019, respectively. Interest expense included amortization of deferred financing costs and debt discounts of $4.0 million, $2.4 million and $1.7 million for the years ended December 31, 2021, 2020 and 2019,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Loan Costs and Discounts, and Debt Extinguishment and Modification Expenses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Refinancing: </w:t>
      </w:r>
      <w:r>
        <w:rPr>
          <w:rFonts w:ascii="Arial" w:cs="Arial" w:eastAsia="Arial" w:hAnsi="Arial"/>
          <w:sz w:val="18"/>
          <w:szCs w:val="18"/>
          <w:color w:val="auto"/>
        </w:rPr>
        <w:t>In April 2021, the initial term loan under the Credit Agreement was issued at a discount of $6.4 million, while in September 2021, the delayed</w:t>
      </w:r>
      <w:r>
        <w:rPr>
          <w:rFonts w:ascii="Arial" w:cs="Arial" w:eastAsia="Arial" w:hAnsi="Arial"/>
          <w:sz w:val="18"/>
          <w:szCs w:val="18"/>
          <w:i w:val="1"/>
          <w:iCs w:val="1"/>
          <w:color w:val="auto"/>
        </w:rPr>
        <w:t xml:space="preserve"> </w:t>
      </w:r>
      <w:r>
        <w:rPr>
          <w:rFonts w:ascii="Arial" w:cs="Arial" w:eastAsia="Arial" w:hAnsi="Arial"/>
          <w:sz w:val="18"/>
          <w:szCs w:val="18"/>
          <w:color w:val="auto"/>
        </w:rPr>
        <w:t>draw term loan was issued at a discount of $6.3 million. Additionally, the Company incurred $6.4 million of costs for the Refinancing in April 2021 and $9.9 million of costs for the delayed draw term loan, including $3.5 million of ticking fees (debt commitment fees) prior to the drawdown of the funds in September 2021. Approximately $6.1 million of the remaining fees incurred for the delayed draw term loan were paid during the initial Refinancing and were deferred and included in other noncurrent assets on the Company's Consolidated Balance Sheet at June 30, 2021. The costs for the delayed draw term loan were amortized over the delayed commitment access period until September 2021, at which time the unamortized balance of the deferred costs was removed from other noncurrent assets and recorded as a reduction of the carrying amount of the debt obligation and are being amortized over the remaining term of the debt.</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determined that the issuance of the initial term loan as part of the April 2021 Refinancing was partially an extinguishment and a modification, and therefore, recognized debt extinguishment and modification costs of $8.3 million in April 2021, which included a portion of the Refinancing fees and the write off of previously deferred fees under the prior credit agreements. These costs are reported within other expenses, net on the Company's Consolidated Statements of Operations.</w:t>
      </w:r>
    </w:p>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Senior Credit Agreement and Term Loan Agreement: </w:t>
      </w:r>
      <w:r>
        <w:rPr>
          <w:rFonts w:ascii="Arial" w:cs="Arial" w:eastAsia="Arial" w:hAnsi="Arial"/>
          <w:sz w:val="18"/>
          <w:szCs w:val="18"/>
          <w:color w:val="auto"/>
        </w:rPr>
        <w:t>At December 31, 2020, unamortized debt discounts and deferred financing costs were $4.7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 April 2021 Refinancing, the Company recognized approximately $0.6 million of amortization expense related to debt discounts and deferred financing costs. In connection with the Refinancing, $4.1 million was included as debt extinguishment and modification costs in the Company's Consolidated Statement of Operations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Redeemable Senior Preferred Stock and Warrants</w:t>
      </w:r>
    </w:p>
    <w:p>
      <w:pPr>
        <w:spacing w:after="0" w:line="229"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On April 27, 2021, the Company entered into an agreement pursuant to which it issued 150,000 shares of redeemable senior preferred stock, par value $0.001 per share, and a detachable warrant to purchase 1,803,841 shares of the Company's common stock, for gross proceeds of $150.0 million, less a $5.0 million discount and $5.5 million of issuance costs.</w:t>
      </w:r>
    </w:p>
    <w:p>
      <w:pPr>
        <w:spacing w:after="0" w:line="18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agreement also provided the Company the option to issue an additional 50,000 shares of redeemable senior preferred stock upon the closing of the Finxera acquisition for $50.0 million, less a $0.6 million discount and within 18 months after the issuance of those additional shares, the Company was provided the option to issue an additional 50,000 shares at a purchase price of $50.0 million, less a $0.6 million discount, subject to the satisfaction of certain customary closing conditions.</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79" w:name="page80"/>
    <w:bookmarkEnd w:id="79"/>
    <w:p>
      <w:pPr>
        <w:ind w:right="40"/>
        <w:spacing w:after="0" w:line="308" w:lineRule="auto"/>
        <w:rPr>
          <w:sz w:val="20"/>
          <w:szCs w:val="20"/>
          <w:color w:val="auto"/>
        </w:rPr>
      </w:pPr>
      <w:r>
        <w:rPr>
          <w:rFonts w:ascii="Arial" w:cs="Arial" w:eastAsia="Arial" w:hAnsi="Arial"/>
          <w:sz w:val="17"/>
          <w:szCs w:val="17"/>
          <w:color w:val="auto"/>
        </w:rPr>
        <w:t>Of the total net proceeds of $139.5 million, $131.4 million was allocated to the redeemable senior preferred stock, $11.4 million was allocated to additional paid-in capital for the warrants and $3.3 million was allocated to noncurrent assets for the committed financing put right.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Redeemable Senior Preferred Stock</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redeemable senior preferred stock ranks senior to the Company's common stock, equal with any other class of the Company's stock designated as being ranked on a parity basis with the redeemable senior preferred stock and junior to any other class of the Company's stock, including preferred stock, that is designated as being ranked senior to the redeemable senior preferred stock, with respect to the payment and distribution of dividends, the purchase or redemption of the Company's stock and the liquidation, winding up of and distribution of assets of the Company.</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The redeemable senior preferred stock does not meet the definition of a liability pursuant to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as it is redeemable upon the occurrence of events that are not solely within the Company's control. Therefore, the Company classified the redeemable senior preferred stock as temporary equity and is accreting the carrying amount to its full redemption amount from the date of issuance to the earliest redemption date using the effective interest method.</w:t>
      </w:r>
    </w:p>
    <w:p>
      <w:pPr>
        <w:spacing w:after="0" w:line="187"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On September 17, 2021 the Company issued an additional 75,000 shares of redeemable senior preferred stock for $75.0 million, less a $0.9 million discount, $0.7 million of ticking fees and $1.9 million of issuance costs. Upon issuance of these additional shares, the $3.3 million that was previously allocated to noncurrent assets for the committed financing put right was reclassified to the redeemable senior preferred stock.</w:t>
      </w:r>
    </w:p>
    <w:p>
      <w:pPr>
        <w:spacing w:after="0" w:line="16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carrying amounts of the redeemable senior preferred stock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300" w:type="dxa"/>
            <w:vAlign w:val="bottom"/>
            <w:gridSpan w:val="2"/>
          </w:tcPr>
          <w:p>
            <w:pPr>
              <w:ind w:left="34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r>
      <w:tr>
        <w:trPr>
          <w:trHeight w:val="223"/>
        </w:trPr>
        <w:tc>
          <w:tcPr>
            <w:tcW w:w="8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40" w:type="dxa"/>
            <w:vAlign w:val="bottom"/>
          </w:tcPr>
          <w:p>
            <w:pPr>
              <w:ind w:left="140"/>
              <w:spacing w:after="0"/>
              <w:rPr>
                <w:sz w:val="20"/>
                <w:szCs w:val="20"/>
                <w:color w:val="auto"/>
              </w:rPr>
            </w:pPr>
            <w:r>
              <w:rPr>
                <w:rFonts w:ascii="Arial" w:cs="Arial" w:eastAsia="Arial" w:hAnsi="Arial"/>
                <w:sz w:val="18"/>
                <w:szCs w:val="18"/>
                <w:color w:val="auto"/>
              </w:rPr>
              <w:t>Proceeds from issuance of redeemable senior preferred stock, net of discount and issuance costs</w:t>
            </w:r>
          </w:p>
        </w:tc>
        <w:tc>
          <w:tcPr>
            <w:tcW w:w="120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199,609</w:t>
            </w:r>
          </w:p>
        </w:tc>
      </w:tr>
      <w:tr>
        <w:trPr>
          <w:trHeight w:val="229"/>
        </w:trPr>
        <w:tc>
          <w:tcPr>
            <w:tcW w:w="8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Unpaid dividend on redeemable senior preferred stock</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8,704</w:t>
            </w:r>
          </w:p>
        </w:tc>
      </w:tr>
      <w:tr>
        <w:trPr>
          <w:trHeight w:val="230"/>
        </w:trPr>
        <w:tc>
          <w:tcPr>
            <w:tcW w:w="8740" w:type="dxa"/>
            <w:vAlign w:val="bottom"/>
          </w:tcPr>
          <w:p>
            <w:pPr>
              <w:ind w:left="140"/>
              <w:spacing w:after="0"/>
              <w:rPr>
                <w:sz w:val="20"/>
                <w:szCs w:val="20"/>
                <w:color w:val="auto"/>
              </w:rPr>
            </w:pPr>
            <w:r>
              <w:rPr>
                <w:rFonts w:ascii="Arial" w:cs="Arial" w:eastAsia="Arial" w:hAnsi="Arial"/>
                <w:sz w:val="18"/>
                <w:szCs w:val="18"/>
                <w:color w:val="auto"/>
              </w:rPr>
              <w:t>Accretion of discounts and issuance cost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1,845</w:t>
            </w:r>
          </w:p>
        </w:tc>
      </w:tr>
      <w:tr>
        <w:trPr>
          <w:trHeight w:val="248"/>
        </w:trPr>
        <w:tc>
          <w:tcPr>
            <w:tcW w:w="8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210,158</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The dividend rate for the redeemable senior preferred stock is equal to the three-month LIBOR rate (minimum of 1.00%) plus an applicable margin of</w:t>
      </w:r>
    </w:p>
    <w:p>
      <w:pPr>
        <w:spacing w:after="0" w:line="6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12.00% (capped at 22.50%) per year, with a required quarterly payment of 5.00% plus the three-month LIBOR rate per year. The dividend rate is subject to future increases if the Company doesn't comply with the cash payment requirements outlined in the agreement, which includes required payments of dividends, required payments related to redemption or required prepayments. The dividend rate may also increase if the Company fails to obtain the required stockholder approval for a forced sale transaction triggered by investors or if an event of default as outlined in the agreement occurs.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20" w:type="dxa"/>
            <w:vAlign w:val="bottom"/>
          </w:tcPr>
          <w:p>
            <w:pPr>
              <w:spacing w:after="0"/>
              <w:rPr>
                <w:sz w:val="20"/>
                <w:szCs w:val="20"/>
                <w:color w:val="auto"/>
              </w:rPr>
            </w:pPr>
            <w:r>
              <w:rPr>
                <w:rFonts w:ascii="Arial" w:cs="Arial" w:eastAsia="Arial" w:hAnsi="Arial"/>
                <w:sz w:val="18"/>
                <w:szCs w:val="18"/>
                <w:color w:val="auto"/>
              </w:rPr>
              <w:t>The following table provides a summary of the dividends for the period presented:</w:t>
            </w:r>
          </w:p>
        </w:tc>
        <w:tc>
          <w:tcPr>
            <w:tcW w:w="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1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Year Ended December 31,</w:t>
            </w:r>
          </w:p>
        </w:tc>
        <w:tc>
          <w:tcPr>
            <w:tcW w:w="0" w:type="dxa"/>
            <w:vAlign w:val="bottom"/>
          </w:tcPr>
          <w:p>
            <w:pPr>
              <w:spacing w:after="0"/>
              <w:rPr>
                <w:sz w:val="1"/>
                <w:szCs w:val="1"/>
                <w:color w:val="auto"/>
              </w:rPr>
            </w:pPr>
          </w:p>
        </w:tc>
      </w:tr>
      <w:tr>
        <w:trPr>
          <w:trHeight w:val="135"/>
        </w:trPr>
        <w:tc>
          <w:tcPr>
            <w:tcW w:w="91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vMerge w:val="restart"/>
          </w:tcPr>
          <w:p>
            <w:pPr>
              <w:jc w:val="right"/>
              <w:ind w:right="7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95"/>
        </w:trPr>
        <w:tc>
          <w:tcPr>
            <w:tcW w:w="9120" w:type="dxa"/>
            <w:vAlign w:val="bottom"/>
            <w:tcBorders>
              <w:bottom w:val="single" w:sz="8" w:color="CCEEFF"/>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in cash</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7,460</w:t>
            </w:r>
          </w:p>
        </w:tc>
        <w:tc>
          <w:tcPr>
            <w:tcW w:w="0" w:type="dxa"/>
            <w:vAlign w:val="bottom"/>
          </w:tcPr>
          <w:p>
            <w:pPr>
              <w:spacing w:after="0"/>
              <w:rPr>
                <w:sz w:val="1"/>
                <w:szCs w:val="1"/>
                <w:color w:val="auto"/>
              </w:rPr>
            </w:pPr>
          </w:p>
        </w:tc>
      </w:tr>
      <w:tr>
        <w:trPr>
          <w:trHeight w:val="230"/>
        </w:trPr>
        <w:tc>
          <w:tcPr>
            <w:tcW w:w="9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dividends accrued as part of the carrying value of redeemable senior preferred stock</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48"/>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declared at the rate of 13.0% per year</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16,164</w:t>
            </w:r>
          </w:p>
        </w:tc>
        <w:tc>
          <w:tcPr>
            <w:tcW w:w="0" w:type="dxa"/>
            <w:vAlign w:val="bottom"/>
          </w:tcPr>
          <w:p>
            <w:pPr>
              <w:spacing w:after="0"/>
              <w:rPr>
                <w:sz w:val="1"/>
                <w:szCs w:val="1"/>
                <w:color w:val="auto"/>
              </w:rPr>
            </w:pP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0" w:name="page81"/>
    <w:bookmarkEnd w:id="80"/>
    <w:p>
      <w:pPr>
        <w:ind w:right="220"/>
        <w:spacing w:after="0" w:line="263" w:lineRule="auto"/>
        <w:rPr>
          <w:sz w:val="20"/>
          <w:szCs w:val="20"/>
          <w:color w:val="auto"/>
        </w:rPr>
      </w:pPr>
      <w:r>
        <w:rPr>
          <w:rFonts w:ascii="Arial" w:cs="Arial" w:eastAsia="Arial" w:hAnsi="Arial"/>
          <w:sz w:val="18"/>
          <w:szCs w:val="18"/>
          <w:color w:val="auto"/>
        </w:rPr>
        <w:t>The redeemable senior preferred shares have no stated maturity and will remain outstanding indefinitely until redeemed or otherwise repurchased by the Company. Outstanding shares of redeemable senior preferred stock can be redeemed at the option of the Company for cash in whole or in part at the following redemption price:</w:t>
      </w:r>
    </w:p>
    <w:p>
      <w:pPr>
        <w:spacing w:after="0" w:line="234" w:lineRule="exact"/>
        <w:rPr>
          <w:sz w:val="20"/>
          <w:szCs w:val="20"/>
          <w:color w:val="auto"/>
        </w:rPr>
      </w:pPr>
    </w:p>
    <w:p>
      <w:pPr>
        <w:ind w:left="20"/>
        <w:spacing w:after="0"/>
        <w:tabs>
          <w:tab w:leader="none" w:pos="3140" w:val="left"/>
        </w:tabs>
        <w:rPr>
          <w:sz w:val="20"/>
          <w:szCs w:val="20"/>
          <w:color w:val="auto"/>
        </w:rPr>
      </w:pPr>
      <w:r>
        <w:rPr>
          <w:rFonts w:ascii="Arial" w:cs="Arial" w:eastAsia="Arial" w:hAnsi="Arial"/>
          <w:sz w:val="18"/>
          <w:szCs w:val="18"/>
          <w:b w:val="1"/>
          <w:bCs w:val="1"/>
          <w:color w:val="auto"/>
        </w:rPr>
        <w:t>Redemption Date</w:t>
      </w:r>
      <w:r>
        <w:rPr>
          <w:sz w:val="20"/>
          <w:szCs w:val="20"/>
          <w:color w:val="auto"/>
        </w:rPr>
        <w:tab/>
      </w:r>
      <w:r>
        <w:rPr>
          <w:rFonts w:ascii="Arial" w:cs="Arial" w:eastAsia="Arial" w:hAnsi="Arial"/>
          <w:sz w:val="16"/>
          <w:szCs w:val="16"/>
          <w:b w:val="1"/>
          <w:bCs w:val="1"/>
          <w:color w:val="auto"/>
        </w:rPr>
        <w:t>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5911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591185"/>
                    </a:xfrm>
                    <a:prstGeom prst="rect">
                      <a:avLst/>
                    </a:prstGeom>
                    <a:noFill/>
                  </pic:spPr>
                </pic:pic>
              </a:graphicData>
            </a:graphic>
          </wp:anchor>
        </w:drawing>
      </w:r>
    </w:p>
    <w:p>
      <w:pPr>
        <w:spacing w:after="0" w:line="61"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100% of liquidation preference (i.e., $1,000 per share) plus any accrued and unpaid dividends and the make-</w:t>
      </w:r>
    </w:p>
    <w:p>
      <w:pPr>
        <w:spacing w:after="0" w:line="46" w:lineRule="exact"/>
        <w:rPr>
          <w:sz w:val="20"/>
          <w:szCs w:val="20"/>
          <w:color w:val="auto"/>
        </w:rPr>
      </w:pPr>
    </w:p>
    <w:p>
      <w:pPr>
        <w:ind w:left="3160" w:right="60" w:hanging="3131"/>
        <w:spacing w:after="0" w:line="281" w:lineRule="auto"/>
        <w:tabs>
          <w:tab w:leader="none" w:pos="3140" w:val="left"/>
        </w:tabs>
        <w:rPr>
          <w:sz w:val="20"/>
          <w:szCs w:val="20"/>
          <w:color w:val="auto"/>
        </w:rPr>
      </w:pPr>
      <w:r>
        <w:rPr>
          <w:rFonts w:ascii="Arial" w:cs="Arial" w:eastAsia="Arial" w:hAnsi="Arial"/>
          <w:sz w:val="35"/>
          <w:szCs w:val="35"/>
          <w:color w:val="auto"/>
          <w:vertAlign w:val="subscript"/>
        </w:rPr>
        <w:t>Prior to April 27, 2023</w:t>
      </w:r>
      <w:r>
        <w:rPr>
          <w:sz w:val="20"/>
          <w:szCs w:val="20"/>
          <w:color w:val="auto"/>
        </w:rPr>
        <w:tab/>
      </w:r>
      <w:r>
        <w:rPr>
          <w:rFonts w:ascii="Arial" w:cs="Arial" w:eastAsia="Arial" w:hAnsi="Arial"/>
          <w:sz w:val="16"/>
          <w:szCs w:val="16"/>
          <w:color w:val="auto"/>
        </w:rPr>
        <w:t>whole amount (i.e., present value of additional 2% of the liquidation preference plus any accrued and unpaid dividends thereon through the redemption date plus 102% of the amount of dividends that will accrue from the</w:t>
      </w:r>
    </w:p>
    <w:p>
      <w:pPr>
        <w:spacing w:after="0" w:line="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redemption date through April 27, 2023)</w:t>
      </w:r>
    </w:p>
    <w:p>
      <w:pPr>
        <w:sectPr>
          <w:pgSz w:w="11900" w:h="16838" w:orient="portrait"/>
          <w:cols w:equalWidth="0" w:num="1">
            <w:col w:w="11180"/>
          </w:cols>
          <w:pgMar w:left="320" w:top="1421" w:right="399" w:bottom="1440" w:gutter="0" w:footer="0" w:header="0"/>
        </w:sectPr>
      </w:pPr>
    </w:p>
    <w:p>
      <w:pPr>
        <w:spacing w:after="0" w:line="15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April 27, 2023 - April 26, 2024</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April 27, 2024 and thereafter</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102% of the sum of the (a) outstanding liquidation preference plus (b) any accrued and unpaid dividends through and including the applicable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-1905</wp:posOffset>
            </wp:positionV>
            <wp:extent cx="7132320" cy="3086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480"/>
        <w:spacing w:after="0" w:line="277" w:lineRule="auto"/>
        <w:rPr>
          <w:sz w:val="20"/>
          <w:szCs w:val="20"/>
          <w:color w:val="auto"/>
        </w:rPr>
      </w:pPr>
      <w:r>
        <w:rPr>
          <w:rFonts w:ascii="Arial" w:cs="Arial" w:eastAsia="Arial" w:hAnsi="Arial"/>
          <w:sz w:val="18"/>
          <w:szCs w:val="18"/>
          <w:color w:val="auto"/>
        </w:rPr>
        <w:t>100% of the sum of the (a) outstanding liquidation preference plus (b) any accrued and unpaid dividends through and including the applicable redemption date</w:t>
      </w:r>
    </w:p>
    <w:p>
      <w:pPr>
        <w:spacing w:after="0" w:line="200" w:lineRule="exact"/>
        <w:rPr>
          <w:sz w:val="20"/>
          <w:szCs w:val="20"/>
          <w:color w:val="auto"/>
        </w:rPr>
      </w:pPr>
    </w:p>
    <w:p>
      <w:pPr>
        <w:sectPr>
          <w:pgSz w:w="11900" w:h="16838" w:orient="portrait"/>
          <w:cols w:equalWidth="0" w:num="2">
            <w:col w:w="2440" w:space="720"/>
            <w:col w:w="8020"/>
          </w:cols>
          <w:pgMar w:left="320" w:top="1421" w:right="399" w:bottom="1440" w:gutter="0" w:footer="0" w:header="0"/>
          <w:type w:val="continuous"/>
        </w:sectPr>
      </w:pPr>
    </w:p>
    <w:p>
      <w:pPr>
        <w:spacing w:after="0" w:line="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Upon the occurrence of a change in control or a liquidation event, the Company will redeem all of the outstanding redeemable senior preferred shares for cash at the applicable redemption price described above.</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holders of the redeemable senior preferred stock may request the Company to pursue a sale transaction for the purpose of redeeming the redeemable senior preferred stock from and after the earliest of: 1) October 27, 2028; 2) 30 days after the redeemable senior preferred stockholders provide written notice to the Company of a failure by the Company to take steps within its control to prevent the Company's common stock from no longer being listed; and 3) the date that is 90 days following the Company's failure to consummate a mandatory redemption of the redeemable senior preferred stock upon the occurrence of a change in control or liquidation event.</w:t>
      </w:r>
    </w:p>
    <w:p>
      <w:pPr>
        <w:spacing w:after="0" w:line="188" w:lineRule="exact"/>
        <w:rPr>
          <w:sz w:val="20"/>
          <w:szCs w:val="20"/>
          <w:color w:val="auto"/>
        </w:rPr>
      </w:pPr>
    </w:p>
    <w:p>
      <w:pPr>
        <w:ind w:right="100"/>
        <w:spacing w:after="0" w:line="257" w:lineRule="auto"/>
        <w:rPr>
          <w:rFonts w:ascii="Arial" w:cs="Arial" w:eastAsia="Arial" w:hAnsi="Arial"/>
          <w:sz w:val="18"/>
          <w:szCs w:val="18"/>
          <w:color w:val="0000FF"/>
        </w:rPr>
      </w:pPr>
      <w:hyperlink w:anchor="page76">
        <w:r>
          <w:rPr>
            <w:rFonts w:ascii="Arial" w:cs="Arial" w:eastAsia="Arial" w:hAnsi="Arial"/>
            <w:sz w:val="18"/>
            <w:szCs w:val="18"/>
            <w:color w:val="auto"/>
          </w:rPr>
          <w:t xml:space="preserve">The Company used the proceeds from the April 2021 sale of the redeemable senior preferred stock to partially fund the Refinancing (see </w:t>
        </w:r>
        <w:r>
          <w:rPr>
            <w:rFonts w:ascii="Arial" w:cs="Arial" w:eastAsia="Arial" w:hAnsi="Arial"/>
            <w:sz w:val="18"/>
            <w:szCs w:val="18"/>
            <w:u w:val="single" w:color="auto"/>
            <w:color w:val="0000FF"/>
          </w:rPr>
          <w:t>Note 11, Debt</w:t>
        </w:r>
      </w:hyperlink>
      <w:r>
        <w:rPr>
          <w:rFonts w:ascii="Arial" w:cs="Arial" w:eastAsia="Arial" w:hAnsi="Arial"/>
          <w:sz w:val="18"/>
          <w:szCs w:val="18"/>
          <w:color w:val="auto"/>
        </w:rPr>
        <w:t xml:space="preserve"> </w:t>
      </w:r>
      <w:hyperlink w:anchor="page64">
        <w:r>
          <w:rPr>
            <w:rFonts w:ascii="Arial" w:cs="Arial" w:eastAsia="Arial" w:hAnsi="Arial"/>
            <w:sz w:val="18"/>
            <w:szCs w:val="18"/>
            <w:u w:val="single" w:color="auto"/>
            <w:color w:val="0000FF"/>
          </w:rPr>
          <w:t>Obligations</w:t>
        </w:r>
        <w:r>
          <w:rPr>
            <w:rFonts w:ascii="Arial" w:cs="Arial" w:eastAsia="Arial" w:hAnsi="Arial"/>
            <w:sz w:val="18"/>
            <w:szCs w:val="18"/>
            <w:color w:val="000000"/>
          </w:rPr>
          <w:t>), to partially fund the Wholesale Payments, Inc. and C&amp;H Financial Services, Inc. acquisitions in the second quarter of 2021 (see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Note 3,</w:t>
        </w:r>
      </w:hyperlink>
      <w:r>
        <w:rPr>
          <w:rFonts w:ascii="Arial" w:cs="Arial" w:eastAsia="Arial" w:hAnsi="Arial"/>
          <w:sz w:val="18"/>
          <w:szCs w:val="18"/>
          <w:color w:val="0000FF"/>
        </w:rPr>
        <w:t xml:space="preserve"> </w:t>
      </w:r>
      <w:hyperlink w:anchor="page64">
        <w:r>
          <w:rPr>
            <w:rFonts w:ascii="Arial" w:cs="Arial" w:eastAsia="Arial" w:hAnsi="Arial"/>
            <w:sz w:val="18"/>
            <w:szCs w:val="18"/>
            <w:u w:val="single" w:color="auto"/>
            <w:color w:val="0000FF"/>
          </w:rPr>
          <w:t>Acquisitions</w:t>
        </w:r>
        <w:r>
          <w:rPr>
            <w:rFonts w:ascii="Arial" w:cs="Arial" w:eastAsia="Arial" w:hAnsi="Arial"/>
            <w:sz w:val="18"/>
            <w:szCs w:val="18"/>
            <w:color w:val="000000"/>
          </w:rPr>
          <w:t xml:space="preserve">) and to pay certain fees and expenses relating to the Refinancing and the offering of the redeemable senior preferred stock and warrants. </w:t>
        </w:r>
      </w:hyperlink>
      <w:r>
        <w:rPr>
          <w:rFonts w:ascii="Arial" w:cs="Arial" w:eastAsia="Arial" w:hAnsi="Arial"/>
          <w:sz w:val="18"/>
          <w:szCs w:val="18"/>
          <w:color w:val="0000FF"/>
        </w:rPr>
        <w:t xml:space="preserve">The </w:t>
      </w:r>
      <w:r>
        <w:rPr>
          <w:rFonts w:ascii="Arial" w:cs="Arial" w:eastAsia="Arial" w:hAnsi="Arial"/>
          <w:sz w:val="18"/>
          <w:szCs w:val="18"/>
          <w:color w:val="000000"/>
        </w:rPr>
        <w:t xml:space="preserve">Company used the proceeds from the September 2021 sale of additional shares of redeemable senior preferred stock to fund the Finxera acquisition (see </w:t>
      </w:r>
      <w:hyperlink w:anchor="page64">
        <w:r>
          <w:rPr>
            <w:rFonts w:ascii="Arial" w:cs="Arial" w:eastAsia="Arial" w:hAnsi="Arial"/>
            <w:sz w:val="18"/>
            <w:szCs w:val="18"/>
            <w:u w:val="single" w:color="auto"/>
            <w:color w:val="0000FF"/>
          </w:rPr>
          <w:t>Note 3, Acquisitions</w:t>
        </w:r>
      </w:hyperlink>
      <w:r>
        <w:rPr>
          <w:rFonts w:ascii="Arial" w:cs="Arial" w:eastAsia="Arial" w:hAnsi="Arial"/>
          <w:sz w:val="18"/>
          <w:szCs w:val="18"/>
          <w:color w:val="000000"/>
        </w:rPr>
        <w:t>).</w:t>
      </w:r>
    </w:p>
    <w:p>
      <w:pPr>
        <w:spacing w:after="0" w:line="188"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rFonts w:ascii="Arial" w:cs="Arial" w:eastAsia="Arial" w:hAnsi="Arial"/>
          <w:sz w:val="18"/>
          <w:szCs w:val="18"/>
          <w:color w:val="0000FF"/>
        </w:rPr>
      </w:pPr>
    </w:p>
    <w:p>
      <w:pPr>
        <w:spacing w:after="0" w:line="290" w:lineRule="auto"/>
        <w:rPr>
          <w:sz w:val="20"/>
          <w:szCs w:val="20"/>
          <w:color w:val="auto"/>
        </w:rPr>
      </w:pPr>
      <w:r>
        <w:rPr>
          <w:rFonts w:ascii="Arial" w:cs="Arial" w:eastAsia="Arial" w:hAnsi="Arial"/>
          <w:sz w:val="16"/>
          <w:szCs w:val="16"/>
          <w:color w:val="auto"/>
        </w:rPr>
        <w:t>On April 27, 2021 the Company issued warrants to purchase up to 1,803,841 shares of the Company's common stock, par value $0.001 per share, at an exercise price of $0.001. The exercise price and the number of shares issuable upon exercise of the warrants are subject to certain adjustments from time to time on the terms outlined in the warrants. In connection with the issuance of the warrants, the Company entered into an agreement pursuant to which it agreed to provide certain registration rights with respect to the common shares issuable upon exercise of the warrants. Under this agreement the holders of the related shares of common stock were granted piggyback rights to be included in certain underwritten offerings of common stock and the right to demand a shelf registration of the shares of common stock issued upon exercise of the warrants. As of December 31, 2021, none of the warrants have been exercised. The warrants are considered to be equity contracts indexed in the Company's own shares and therefore were recorded at their inception date relative fair value and are included in additional paid-in capital on the Company's Consolidated Balance Sheet.</w:t>
      </w: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342" w:lineRule="exact"/>
        <w:rPr>
          <w:rFonts w:ascii="Arial" w:cs="Arial" w:eastAsia="Arial" w:hAnsi="Arial"/>
          <w:sz w:val="18"/>
          <w:szCs w:val="18"/>
          <w:color w:val="0000FF"/>
        </w:rPr>
      </w:pPr>
    </w:p>
    <w:p>
      <w:pPr>
        <w:jc w:val="center"/>
        <w:ind w:right="-79"/>
        <w:spacing w:after="0"/>
        <w:rPr>
          <w:sz w:val="20"/>
          <w:szCs w:val="20"/>
          <w:color w:val="auto"/>
        </w:rPr>
      </w:pPr>
      <w:r>
        <w:rPr>
          <w:rFonts w:ascii="Arial" w:cs="Arial" w:eastAsia="Arial" w:hAnsi="Arial"/>
          <w:sz w:val="18"/>
          <w:szCs w:val="18"/>
          <w:color w:val="auto"/>
        </w:rPr>
        <w:t>78</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1" w:right="399" w:bottom="1440" w:gutter="0" w:footer="0" w:header="0"/>
          <w:type w:val="continuous"/>
        </w:sectPr>
      </w:pPr>
    </w:p>
    <w:bookmarkStart w:id="81" w:name="page82"/>
    <w:bookmarkEnd w:id="81"/>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Components of consolidated income tax (benefit) expense for the years ended December 31, 2021, December 31, 2020, and December 31, 2019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1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w w:val="98"/>
              </w:rPr>
              <w:t>For the Years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57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r>
      <w:tr>
        <w:trPr>
          <w:trHeight w:val="20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current income tax (benefit) expense</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5760" w:type="dxa"/>
            <w:vAlign w:val="bottom"/>
          </w:tcPr>
          <w:p>
            <w:pPr>
              <w:ind w:left="240"/>
              <w:spacing w:after="0"/>
              <w:rPr>
                <w:sz w:val="20"/>
                <w:szCs w:val="20"/>
                <w:color w:val="auto"/>
              </w:rPr>
            </w:pPr>
            <w:r>
              <w:rPr>
                <w:rFonts w:ascii="Arial" w:cs="Arial" w:eastAsia="Arial" w:hAnsi="Arial"/>
                <w:sz w:val="18"/>
                <w:szCs w:val="18"/>
                <w:color w:val="auto"/>
              </w:rPr>
              <w:t>Federal</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(2,321)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4,766</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5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 and local</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5760" w:type="dxa"/>
            <w:vAlign w:val="bottom"/>
          </w:tcPr>
          <w:p>
            <w:pPr>
              <w:ind w:left="240"/>
              <w:spacing w:after="0"/>
              <w:rPr>
                <w:sz w:val="20"/>
                <w:szCs w:val="20"/>
                <w:color w:val="auto"/>
              </w:rPr>
            </w:pPr>
            <w:r>
              <w:rPr>
                <w:rFonts w:ascii="Arial" w:cs="Arial" w:eastAsia="Arial" w:hAnsi="Arial"/>
                <w:sz w:val="18"/>
                <w:szCs w:val="18"/>
                <w:color w:val="auto"/>
              </w:rPr>
              <w:t>Foreign</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7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current income tax (benefit) expense</w:t>
            </w: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7,939</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U.S. deferred income tax expense (benefit)</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r>
      <w:tr>
        <w:trPr>
          <w:trHeight w:val="229"/>
        </w:trPr>
        <w:tc>
          <w:tcPr>
            <w:tcW w:w="5760" w:type="dxa"/>
            <w:vAlign w:val="bottom"/>
          </w:tcPr>
          <w:p>
            <w:pPr>
              <w:ind w:left="240"/>
              <w:spacing w:after="0"/>
              <w:rPr>
                <w:sz w:val="20"/>
                <w:szCs w:val="20"/>
                <w:color w:val="auto"/>
              </w:rPr>
            </w:pPr>
            <w:r>
              <w:rPr>
                <w:rFonts w:ascii="Arial" w:cs="Arial" w:eastAsia="Arial" w:hAnsi="Arial"/>
                <w:sz w:val="18"/>
                <w:szCs w:val="18"/>
                <w:color w:val="auto"/>
              </w:rPr>
              <w:t>State and local</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(1,154)</w:t>
            </w:r>
          </w:p>
        </w:tc>
      </w:tr>
      <w:tr>
        <w:trPr>
          <w:trHeight w:val="230"/>
        </w:trPr>
        <w:tc>
          <w:tcPr>
            <w:tcW w:w="5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deferred income tax (benefit) expense</w:t>
            </w: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(2,559)</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2,960</w:t>
            </w:r>
          </w:p>
        </w:tc>
        <w:tc>
          <w:tcPr>
            <w:tcW w:w="10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w:t>
            </w:r>
          </w:p>
        </w:tc>
      </w:tr>
      <w:tr>
        <w:trPr>
          <w:trHeight w:val="248"/>
        </w:trPr>
        <w:tc>
          <w:tcPr>
            <w:tcW w:w="5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income tax (benefit) expense</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The Company's consolidated effective income tax rate was 135.9% for the year ended December 31, 2021, compared to a consolidated effective income tax rate of 13.3% for the year ended December 31, 2020. For the year ended December 31, 2019, the Company's consolidated effective income tax benefit rate was 2.5%. The effective rate for 2021 differed from the statutory rate of 21% primarily due to: 1) </w:t>
      </w:r>
      <w:r>
        <w:rPr>
          <w:rFonts w:ascii="Arial" w:cs="Arial" w:eastAsia="Arial" w:hAnsi="Arial"/>
          <w:sz w:val="17"/>
          <w:szCs w:val="17"/>
          <w:color w:val="222222"/>
        </w:rPr>
        <w:t>an increase in the valuation allowance against certain</w:t>
      </w:r>
      <w:r>
        <w:rPr>
          <w:rFonts w:ascii="Arial" w:cs="Arial" w:eastAsia="Arial" w:hAnsi="Arial"/>
          <w:sz w:val="17"/>
          <w:szCs w:val="17"/>
          <w:color w:val="auto"/>
        </w:rPr>
        <w:t xml:space="preserve"> </w:t>
      </w:r>
      <w:r>
        <w:rPr>
          <w:rFonts w:ascii="Arial" w:cs="Arial" w:eastAsia="Arial" w:hAnsi="Arial"/>
          <w:sz w:val="17"/>
          <w:szCs w:val="17"/>
          <w:color w:val="222222"/>
        </w:rPr>
        <w:t xml:space="preserve">business interest carryover deferred tax assets; 2) non-deductible transaction costs incurred in the acquisition of Finxera; 3) the finalization of prior estimates on the sale of the assets of </w:t>
      </w:r>
      <w:r>
        <w:rPr>
          <w:rFonts w:ascii="Arial" w:cs="Arial" w:eastAsia="Arial" w:hAnsi="Arial"/>
          <w:sz w:val="17"/>
          <w:szCs w:val="17"/>
          <w:color w:val="000000"/>
        </w:rPr>
        <w:t>PRET's real estate services business</w:t>
      </w:r>
      <w:r>
        <w:rPr>
          <w:rFonts w:ascii="Arial" w:cs="Arial" w:eastAsia="Arial" w:hAnsi="Arial"/>
          <w:sz w:val="17"/>
          <w:szCs w:val="17"/>
          <w:color w:val="222222"/>
        </w:rPr>
        <w:t xml:space="preserve"> impacting amounts attributable to noncontrolling partners; and 4) an increase in the tax basis of certain intangible assets resulting from a change in a subsidiary's entity status. </w:t>
      </w:r>
      <w:r>
        <w:rPr>
          <w:rFonts w:ascii="Arial" w:cs="Arial" w:eastAsia="Arial" w:hAnsi="Arial"/>
          <w:sz w:val="17"/>
          <w:szCs w:val="17"/>
          <w:color w:val="000000"/>
        </w:rPr>
        <w:t>The effective rate for December 31, 2020 differed from the</w:t>
      </w:r>
      <w:r>
        <w:rPr>
          <w:rFonts w:ascii="Arial" w:cs="Arial" w:eastAsia="Arial" w:hAnsi="Arial"/>
          <w:sz w:val="17"/>
          <w:szCs w:val="17"/>
          <w:color w:val="222222"/>
        </w:rPr>
        <w:t xml:space="preserve"> </w:t>
      </w:r>
      <w:r>
        <w:rPr>
          <w:rFonts w:ascii="Arial" w:cs="Arial" w:eastAsia="Arial" w:hAnsi="Arial"/>
          <w:sz w:val="17"/>
          <w:szCs w:val="17"/>
          <w:color w:val="000000"/>
        </w:rPr>
        <w:t>statutory federal rate of 21% primarily due to earnings attributable to noncontrolling interests and valuation allowance changes against certain business interest carryover deferred tax assets. The effective rate for December 31, 2019 differed from the statutory federal rate of 21% primarily due to valuation allowance changes against certain business interest carryover deferred tax assets.</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provides a reconciliation of the consolidated income tax (benefit) expense at the statutory U.S. federal tax rate to actual consolidated income tax (benefit) expense for the years ended December 31, 2021, 2020 and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2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b w:val="1"/>
                <w:bCs w:val="1"/>
                <w:color w:val="auto"/>
              </w:rPr>
              <w:t>For the Years Ended December 31,</w:t>
            </w:r>
          </w:p>
        </w:tc>
        <w:tc>
          <w:tcPr>
            <w:tcW w:w="1440" w:type="dxa"/>
            <w:vAlign w:val="bottom"/>
            <w:tcBorders>
              <w:bottom w:val="single" w:sz="8" w:color="auto"/>
            </w:tcBorders>
          </w:tcPr>
          <w:p>
            <w:pPr>
              <w:spacing w:after="0"/>
              <w:rPr>
                <w:sz w:val="20"/>
                <w:szCs w:val="20"/>
                <w:color w:val="auto"/>
              </w:rPr>
            </w:pPr>
          </w:p>
        </w:tc>
      </w:tr>
      <w:tr>
        <w:trPr>
          <w:trHeight w:val="223"/>
        </w:trPr>
        <w:tc>
          <w:tcPr>
            <w:tcW w:w="51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2019</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(benefit) expense</w:t>
            </w:r>
          </w:p>
        </w:tc>
        <w:tc>
          <w:tcPr>
            <w:tcW w:w="126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(5,626)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 income taxes, net</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Excess tax benefits pursuant to ASU 2016-09</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changes</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9,302</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Nondeductible items</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2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1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2" w:name="page83"/>
    <w:bookmarkEnd w:id="82"/>
    <w:p>
      <w:pPr>
        <w:ind w:right="300"/>
        <w:spacing w:after="0" w:line="263" w:lineRule="auto"/>
        <w:rPr>
          <w:sz w:val="20"/>
          <w:szCs w:val="20"/>
          <w:color w:val="auto"/>
        </w:rPr>
      </w:pPr>
      <w:r>
        <w:rPr>
          <w:rFonts w:ascii="Arial" w:cs="Arial" w:eastAsia="Arial" w:hAnsi="Arial"/>
          <w:sz w:val="18"/>
          <w:szCs w:val="18"/>
          <w:color w:val="auto"/>
        </w:rPr>
        <w:t>Deferred income taxes reflect the expected future tax consequences of temporary differences between the financial statement carrying amount of the Company's assets and liabilities, tax credits and their respective tax bases, and loss carry forwards. The significant components of consolidated deferred income taxes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94"/>
              </w:rPr>
              <w:t>2020</w:t>
            </w: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Accruals and reserves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19"/>
                <w:szCs w:val="19"/>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1,499</w:t>
            </w:r>
          </w:p>
        </w:tc>
      </w:tr>
      <w:tr>
        <w:trPr>
          <w:trHeight w:val="229"/>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49,558</w:t>
            </w:r>
          </w:p>
        </w:tc>
      </w:tr>
      <w:tr>
        <w:trPr>
          <w:trHeight w:val="229"/>
        </w:trPr>
        <w:tc>
          <w:tcPr>
            <w:tcW w:w="7320" w:type="dxa"/>
            <w:vAlign w:val="bottom"/>
          </w:tcPr>
          <w:p>
            <w:pPr>
              <w:ind w:left="140"/>
              <w:spacing w:after="0"/>
              <w:rPr>
                <w:sz w:val="20"/>
                <w:szCs w:val="20"/>
                <w:color w:val="auto"/>
              </w:rPr>
            </w:pPr>
            <w:r>
              <w:rPr>
                <w:rFonts w:ascii="Arial" w:cs="Arial" w:eastAsia="Arial" w:hAnsi="Arial"/>
                <w:sz w:val="18"/>
                <w:szCs w:val="18"/>
                <w:color w:val="auto"/>
              </w:rPr>
              <w:t>Net operating loss carryforwards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230"/>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limitation carryforwards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w:t>
            </w:r>
          </w:p>
        </w:tc>
      </w:tr>
      <w:tr>
        <w:trPr>
          <w:trHeight w:val="229"/>
        </w:trPr>
        <w:tc>
          <w:tcPr>
            <w:tcW w:w="7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3,332</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w:t>
            </w:r>
          </w:p>
        </w:tc>
      </w:tr>
      <w:tr>
        <w:trPr>
          <w:trHeight w:val="223"/>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deferred tax assets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26,362</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59,903</w:t>
            </w:r>
          </w:p>
        </w:tc>
      </w:tr>
      <w:tr>
        <w:trPr>
          <w:trHeight w:val="229"/>
        </w:trPr>
        <w:tc>
          <w:tcPr>
            <w:tcW w:w="7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Valuation allowance</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(10,781)</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(7,200)</w:t>
            </w:r>
          </w:p>
        </w:tc>
      </w:tr>
      <w:tr>
        <w:trPr>
          <w:trHeight w:val="223"/>
        </w:trPr>
        <w:tc>
          <w:tcPr>
            <w:tcW w:w="7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deferred tax assets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15,581</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52,703</w:t>
            </w:r>
          </w:p>
        </w:tc>
      </w:tr>
      <w:tr>
        <w:trPr>
          <w:trHeight w:val="209"/>
        </w:trPr>
        <w:tc>
          <w:tcPr>
            <w:tcW w:w="732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assets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Investments in partnership</w:t>
            </w:r>
          </w:p>
        </w:tc>
        <w:tc>
          <w:tcPr>
            <w:tcW w:w="44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w:t>
            </w:r>
          </w:p>
        </w:tc>
      </w:tr>
      <w:tr>
        <w:trPr>
          <w:trHeight w:val="223"/>
        </w:trPr>
        <w:tc>
          <w:tcPr>
            <w:tcW w:w="73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deferred tax liabilities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(7,316)</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(6,006)</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deferred tax assets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8,265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46,697</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 xml:space="preserve">In accordance with the provisions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the Company provides a valuation allowance against deferred tax assets when it is more likely than not that some portion or all of the deferred tax assets will not be realized. The assessment considers all available positive and negative evidence and is measured quarterly. As of December 31, 2021 and December 31, 2020, the Company had a consolidated valuation allowance of approximately $10.8 million and $7.2 million, respectively, against certain deferred income tax assets related to business interest deduction carryovers and business combination costs that the Company believes are not more likely than not to be realized.</w:t>
      </w:r>
    </w:p>
    <w:p>
      <w:pPr>
        <w:spacing w:after="0" w:line="17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Company recognizes the tax effects of uncertain tax positions only if such positions are more likely than not to be sustained based solely upon its technical merits at the reporting date. The Company refers to the difference between the tax benefit recognized in its financial statements and the tax benefit claimed in the income tax return as an "unrecognized tax benefit." A reconciliation of the beginning and ending amount of unrecognized tax benefits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0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2021</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the current year</w:t>
            </w:r>
          </w:p>
        </w:tc>
        <w:tc>
          <w:tcPr>
            <w:tcW w:w="10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based on positions of prior years</w:t>
            </w:r>
          </w:p>
        </w:tc>
        <w:tc>
          <w:tcPr>
            <w:tcW w:w="10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10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related to lapse of the applicable statutes of limitations</w:t>
            </w:r>
          </w:p>
        </w:tc>
        <w:tc>
          <w:tcPr>
            <w:tcW w:w="10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Settlements</w:t>
            </w:r>
          </w:p>
        </w:tc>
        <w:tc>
          <w:tcPr>
            <w:tcW w:w="10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537</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The Company continually evaluates the uncertain tax benefit associated with its uncertain tax positions. It is reasonably possible that the liability for uncertain tax benefits could decrease during the next 12 months by up to $0.2 million due to the expiration of statutes of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3" w:name="page84"/>
    <w:bookmarkEnd w:id="83"/>
    <w:p>
      <w:pPr>
        <w:ind w:right="200"/>
        <w:spacing w:after="0" w:line="263" w:lineRule="auto"/>
        <w:rPr>
          <w:sz w:val="20"/>
          <w:szCs w:val="20"/>
          <w:color w:val="auto"/>
        </w:rPr>
      </w:pPr>
      <w:r>
        <w:rPr>
          <w:rFonts w:ascii="Arial" w:cs="Arial" w:eastAsia="Arial" w:hAnsi="Arial"/>
          <w:sz w:val="18"/>
          <w:szCs w:val="18"/>
          <w:color w:val="auto"/>
        </w:rPr>
        <w:t>The Company is subject to U.S. federal income tax and income tax in multiple state jurisdictions. Tax periods for December 31, 2018 and all years thereafter remain open to examination by the federal and state taxing jurisdictions and tax periods for December 31, 2017 and all years thereafter remain open for certain state taxing jurisdictions to which the Company is subject.</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December 31, 2021 and December 31, 2020, the Company had state NOL carryforwards of approximately $13.6 million and $6.2 million, respectively, with expirations dates ranging from 2023 to 2041.</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historically been impacted by the new interest deductibility rule under the Tax Act. This rule disallows interest expense to the extent it exceeds 30% of adjusted taxable income ("ATI"), as defined. In March 2020, the Coronavirus Aid, Relief, and Economic Security Act ("CARES Act") was enacted, which among other provisions, provides for the increase of the 163(j) ATI limitation from 30% to 50% for tax years 2019 and 2020. As of December 31, 2021, the Company had interest deduction limitation carryforwards of $41.4 million.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Minimum Annual Commitments with Third-party Processors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212529"/>
        </w:rPr>
        <w:t>The Company has multi-year agreements with third parties to provide certain payment processing services to the Company. The Company pays processing fees under these agreements that are based on the volume and dollar amounts of processed payment transactions. Some of these agreements have minimum annual requirements for processing volumes. Based on existing contracts in place at December 31, 2021, the Company is committed to pay minimum processing fees under these agreements of approximately $8.7 million in 2022 and $7.8 million in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Reserves</w:t>
      </w:r>
    </w:p>
    <w:p>
      <w:pPr>
        <w:spacing w:after="0" w:line="22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69">
        <w:r>
          <w:rPr>
            <w:rFonts w:ascii="Arial" w:cs="Arial" w:eastAsia="Arial" w:hAnsi="Arial"/>
            <w:sz w:val="18"/>
            <w:szCs w:val="18"/>
            <w:u w:val="single" w:color="auto"/>
            <w:color w:val="0000FF"/>
          </w:rPr>
          <w:t>Note 5, Settlement Assets and Customer Account Balances and Related Obligations</w:t>
        </w:r>
      </w:hyperlink>
      <w:r>
        <w:rPr>
          <w:rFonts w:ascii="Arial" w:cs="Arial" w:eastAsia="Arial" w:hAnsi="Arial"/>
          <w:sz w:val="18"/>
          <w:szCs w:val="18"/>
          <w:color w:val="auto"/>
        </w:rPr>
        <w:t>, for information about merchant reserves.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For asset acquisitions that do not meet the definition of a business, the portion of the unpaid purchase price that is contingent on future activities is not initially recorded by the acquirer on the date of acquisition. Rather, the acquirer generally recognizes contingent consideration when it becomes probable and estimable.</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March 15, 2019, a subsidiary of the Company paid $15.2 million cash to acquire certain residual portfolio rights. This asset acquisition became part of the Company's SMB Payments reportable segment. The initial purchase price is subject to an increase of up to $6.4 million in accordance with the terms of the agreement between the Company and the sellers. As of December 31, 2021, $4.3 million of the $6.4 million total contingent consideration has been paid to the seller, while the remaining $2.1 million will be payable in the first quarter of 2022 if certain criteria are achieved.</w:t>
      </w:r>
    </w:p>
    <w:p>
      <w:pPr>
        <w:spacing w:after="0" w:line="171"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64">
        <w:r>
          <w:rPr>
            <w:rFonts w:ascii="Arial" w:cs="Arial" w:eastAsia="Arial" w:hAnsi="Arial"/>
            <w:sz w:val="18"/>
            <w:szCs w:val="18"/>
            <w:u w:val="single" w:color="auto"/>
            <w:color w:val="0000FF"/>
          </w:rPr>
          <w:t>Note 3, Acquisitions</w:t>
        </w:r>
      </w:hyperlink>
      <w:r>
        <w:rPr>
          <w:rFonts w:ascii="Arial" w:cs="Arial" w:eastAsia="Arial" w:hAnsi="Arial"/>
          <w:sz w:val="18"/>
          <w:szCs w:val="18"/>
          <w:color w:val="auto"/>
        </w:rPr>
        <w:t>, for information about contingent consideration related to acquisitions consummated in 2021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is involved in certain legal proceedings and claims which arise in the ordinary course of business. In the opinion of the Company and based on consultations with inside and outside counsel, the results of any of these matters, individually and in the aggregate, are not expected to have a material effect on the Company's results of operations, financial condition or cash flows. As more information becomes available, and the Company determines that an unfavorable outcome is probable on a claim and that the amount of probable loss that the Company will incur on that claim is reasonably estimable, the Company will record an accrued expense for the claim in question. If and when the Company records such an accrual, it could be material and could adversely impact the Company's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1" w:right="399" w:bottom="1440" w:gutter="0" w:footer="0" w:header="0"/>
        </w:sectPr>
      </w:pPr>
    </w:p>
    <w:bookmarkStart w:id="84" w:name="page85"/>
    <w:bookmarkEnd w:id="84"/>
    <w:p>
      <w:pPr>
        <w:spacing w:after="0" w:line="200" w:lineRule="exact"/>
        <w:rPr>
          <w:sz w:val="20"/>
          <w:szCs w:val="20"/>
          <w:color w:val="auto"/>
        </w:rPr>
      </w:pPr>
    </w:p>
    <w:p>
      <w:pPr>
        <w:spacing w:after="0" w:line="23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 xml:space="preserve">PHOT </w:t>
      </w:r>
      <w:r>
        <w:rPr>
          <w:rFonts w:ascii="Arial" w:cs="Arial" w:eastAsia="Arial" w:hAnsi="Arial"/>
          <w:sz w:val="18"/>
          <w:szCs w:val="18"/>
          <w:i w:val="1"/>
          <w:iCs w:val="1"/>
          <w:color w:val="000000"/>
        </w:rPr>
        <w:t>Preferred Unit Redemption - Distribution to NCIs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231F20"/>
        </w:rPr>
        <w:t>In February 2019, PHOT, a subsidiary of the Company, received a contribution of substantially all of the operating assets of eTab and Cumulus under asset contribution agreements. PHOT is a part of the Company's SMB reportable segment. No material liabilities were assumed by PHOT. These contributed assets were primarily composed of technology-related assets. Prior to these transactions, eTab was 80.0% owned by the Company's Chairman and Chief Executive Officer ("CEO"). No cash consideration was paid to the contributors of the eTab or Cumulus assets on the date of the transactions. As consideration for these contributed assets, the contributors were issued redeemable non-controlling preferred equity interests ("redeemable NCIs") in PHOT. Under these redeemable NCIs, the contributors were eligible to receive up to $4.5 million of profits earned by PHOT, plus a preferred yield (6.0% per year) on any undistributed preferred equity interest ("Total Preferred Equity Interest"). Once the Total Preferred Equity Interest is distributed to the holders, the redeemable NCIs cease to exist. The Company's CEO initially owned 83.3% of the redeemable NCIs, which ownership interest was subsequently reduced to 35.3% through the CEO's disposition of interests to others.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231F20"/>
        </w:rPr>
        <w:t>At the time of contribution, the Company determined that the contributor's carrying values of the eTab and Cumulus net assets (as a common control transaction under GAAP) were not material. Under the guidance for a common control transaction, the contribution of the eTab and Cumulus net assets did not result in a change of entity or the receipt of a business, as such the Company's Consolidated Financial Statements for prior periods were not adjusted to reflect the historical results attributable to the eTab net assets. For the period from February 1, 2019 through December 31, 2020, a total of $0.3 million of PHOT's earnings were attributable to the redeemable NCIs of PHOT, and this same amount was distributed in cash to the redeemable NCIs during the same period.</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In November 2020, the Company agreed with the contributors to an exchange of shares of common stock of the Company, or cash, for the remaining undistributed Total Preferred Equity Interests of $4.8 million. An exchange valuation for the Company's common stock was established as of November 12, 2020 at the prior 20-day volume weighted average price of $2.78 per share. The exchange was contingent upon receiving approval of the Company's lenders; therefore, the binding exchange agreements were not entered into until after lender approval was received in April 2021 in connection with the Refinancing.</w:t>
      </w:r>
    </w:p>
    <w:p>
      <w:pPr>
        <w:spacing w:after="0" w:line="188" w:lineRule="exact"/>
        <w:rPr>
          <w:sz w:val="20"/>
          <w:szCs w:val="20"/>
          <w:color w:val="auto"/>
        </w:rPr>
      </w:pPr>
    </w:p>
    <w:p>
      <w:pPr>
        <w:spacing w:after="0" w:line="284" w:lineRule="auto"/>
        <w:rPr>
          <w:sz w:val="20"/>
          <w:szCs w:val="20"/>
          <w:color w:val="auto"/>
        </w:rPr>
      </w:pPr>
      <w:r>
        <w:rPr>
          <w:rFonts w:ascii="Arial" w:cs="Arial" w:eastAsia="Arial" w:hAnsi="Arial"/>
          <w:sz w:val="16"/>
          <w:szCs w:val="16"/>
          <w:color w:val="231F20"/>
        </w:rPr>
        <w:t>In May 2021, the Company entered into exchange agreements and completed the exchange of 1,428,358 shares of common stock and $0.8 million of cash for the Total Preferred Equity Interests. The CEO received 605,623 shares of common stock of the Company in exchange for his 35.3% interest, and the Company's Executive Vice President of M&amp;A and Corporate Development received 413,081 shares of common stock of the Company in exchange for her 24.1% interest. Subsequent to establishing the common stock valuation in November 2020 and the date of exchange in May 2021, the Company's common stock price appreciated to $7.75 per share. The Company's financial statements for the year ended December 31, 2021 reflect this exchange as a distribution to NCIs at an appreciated common stock value of $6.975 per share, which incorporates a 10% liquidity discount of $0.775 per share due to trading restrictions under Securities Rule 144. Therefore, the total distribution amounted to $10.8 million, comprised of $10.0 million of common stock and</w:t>
      </w:r>
    </w:p>
    <w:p>
      <w:pPr>
        <w:spacing w:after="0" w:line="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231F20"/>
        </w:rPr>
        <w:t>$0.8 million of cash. In addition, the Company recorded a $2.8 million tax benefit related to an increase in the tax basis associated with the share exchange, for a net impact to equity of $8.0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Equity-method Investment</w:t>
      </w:r>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During the first quarter of 2020, the Company wrote off its $0.2 million carrying value in an equity-method investment. This loss is reported as a component of other expenses, net on the Company's Consolidated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Commitment to Lend and Warrant to Acquire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212529"/>
        </w:rPr>
        <w:t>During 2019, the Company, through one of its wholly-owned subsidiaries, executed an interest-bearing loan and commitment agreement with another entity to loan the entity up to $10.0 million based on certain growth metrics of the entity and continued compliance by the entity with the terms and covenants of the agreement. Amounts loaned to this entity by the Company are secured by substantially all of the assets of the entity and by a personal guarantee. The note receivable has an interest rate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5" w:name="page86"/>
    <w:bookmarkEnd w:id="85"/>
    <w:p>
      <w:pPr>
        <w:spacing w:after="0" w:line="259" w:lineRule="auto"/>
        <w:rPr>
          <w:sz w:val="20"/>
          <w:szCs w:val="20"/>
          <w:color w:val="auto"/>
        </w:rPr>
      </w:pPr>
      <w:r>
        <w:rPr>
          <w:rFonts w:ascii="Arial" w:cs="Arial" w:eastAsia="Arial" w:hAnsi="Arial"/>
          <w:sz w:val="18"/>
          <w:szCs w:val="18"/>
          <w:color w:val="212529"/>
        </w:rPr>
        <w:t>of 12.0% per year and is repayable in full in May 2024. The Company also received a warrant to purchase a non-controlling interest in this entity's equity at a fixed amount. The loan agreement also gave the Company certain rights to purchase some or all of this entity's equity in the future, at the entity's then-current fair value. The fair values of the warrant, loan commitment and purchase right were not material at inception. The Company loaned the entity a total of $3.5 million in 2019.</w:t>
      </w:r>
    </w:p>
    <w:p>
      <w:pPr>
        <w:spacing w:after="0" w:line="18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212529"/>
        </w:rPr>
        <w:t>In December 2021, the entity was sold to a third party. In connection with the sale, the Company's note receivable was fully repaid and the Company's warrants were cancelled in exchange for cash consideration. The Company recognized a gain of $7.6 million in its Consolidated Statements of Operations for the year ended December 31, 2021 related to this transaction. C</w:t>
      </w:r>
      <w:r>
        <w:rPr>
          <w:rFonts w:ascii="Arial" w:cs="Arial" w:eastAsia="Arial" w:hAnsi="Arial"/>
          <w:sz w:val="17"/>
          <w:szCs w:val="17"/>
          <w:color w:val="000000"/>
        </w:rPr>
        <w:t>ertain adjustments may be made in the future related to a potential earnout that is</w:t>
      </w:r>
      <w:r>
        <w:rPr>
          <w:rFonts w:ascii="Arial" w:cs="Arial" w:eastAsia="Arial" w:hAnsi="Arial"/>
          <w:sz w:val="17"/>
          <w:szCs w:val="17"/>
          <w:color w:val="212529"/>
        </w:rPr>
        <w:t xml:space="preserve"> </w:t>
      </w:r>
      <w:r>
        <w:rPr>
          <w:rFonts w:ascii="Arial" w:cs="Arial" w:eastAsia="Arial" w:hAnsi="Arial"/>
          <w:sz w:val="17"/>
          <w:szCs w:val="17"/>
          <w:color w:val="000000"/>
        </w:rPr>
        <w:t>contingent on 2022 performance and the allocation of the net proceeds described above remain subject to final adjustments. Any remaining payments made or received by the Company will be recorded in the period in which such amounts are finalized.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Stockholders' Deficit</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August 2021, Priority's Board of Directors authorized a $10.0 million share repurchase program (the "2021 Share Repurchase Program"). Under the 2021 Share Repurchase Program. the Company was authorized to purchase up to 1.0 million shares of its common stock through open market transactions, unsolicited or solicited privately negotiated transactions, or otherwise in accordance with all applicable securities laws and regulations. The 2021 Share Repurchase Program was set to expire on August 17, 2022 and it could be discontinued by the Company at any time. The Company terminated the 2021 Share Repurchase Program effective as of the close of business on September 23, 2021. During this period, the Company purchased a total of 162,715 shares of its common stock at an average price of $5.87 per share. Total cash paid by the Company was approximately $1.0 million.</w:t>
      </w:r>
    </w:p>
    <w:p>
      <w:pPr>
        <w:spacing w:after="0" w:line="16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222222"/>
        </w:rPr>
        <w:t>During the second quarter of 2019, the Company repurchased a total of 451,224 shares of its common stock at an average price of $5.29 per share. Total cash paid by the Company was approximately $2.4 million. The repurchases were authorized under a December 2018 resolution by the Company's Board of Directors, which expired during the second quarter of 2019.</w:t>
      </w:r>
    </w:p>
    <w:p>
      <w:pPr>
        <w:spacing w:after="0" w:line="184"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222222"/>
        </w:rPr>
        <w:t>Except as otherwise required by law or as otherwise provided in any certificate of designation for any series of preferred stock, the holders of the Company's common stock possess all voting power for the election of members of the Company's Board of Directors and all other matters requiring stockholder action and will at all times vote together as one class on all matters submitted to a vote of the Company's stockholders. Holders of the Company's common stock are entitled to one vote per share on matters to be voted on by stockholders. Holders of the Company's common stock will be entitled to receive such dividends and other distributions, if any, as may be declared from time to time by the Company's Board of Directors in its discretion. Historically, the Company has neither declared nor paid dividends. The holders of the Company's common stock have no conversion, preemptive or other subscription rights and there is no sinking fund or redemption provisions applicable to the common stock.</w:t>
      </w:r>
    </w:p>
    <w:p>
      <w:pPr>
        <w:spacing w:after="0" w:line="166"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222222"/>
        </w:rPr>
        <w:t>The Company is authorized to issue 100,000,000 shares of preferred stock with such designations, voting and other rights and preferences as may be determined from time to time by the Board of Directors. As of December 31, 2021, the Company has not issued any shares of preferred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Warrants and Purchase Options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222222"/>
        </w:rPr>
        <w:t>As of December 31, 2021 3,556,470 warrants from the original business combination in July 2018, remain outstanding. These warrants allow the holders to purchase shares of the Company's common stock at an exercise price of $11.50 per share. These warrants expire on August 24, 2023.</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22222"/>
        </w:rPr>
        <w:t xml:space="preserve">Prior to July 25, 2018, a purchase option was sold to an underwriter by for consideration of $100. The purchase option, which survived the business combination, allow the holders to purchase up to a total of 300,000 units (each consisting of a share of common stock and a public warrant) exercisable at $12.00 per unit. The purchase option expires on August 24, 2023. The purchase option is classified as equity for accounting purposes and remain outstanding as of </w:t>
      </w:r>
      <w:r>
        <w:rPr>
          <w:rFonts w:ascii="Arial" w:cs="Arial" w:eastAsia="Arial" w:hAnsi="Arial"/>
          <w:sz w:val="18"/>
          <w:szCs w:val="18"/>
          <w:color w:val="000000"/>
        </w:rPr>
        <w:t>December 31, 2021</w:t>
      </w:r>
      <w:r>
        <w:rPr>
          <w:rFonts w:ascii="Arial" w:cs="Arial" w:eastAsia="Arial" w:hAnsi="Arial"/>
          <w:sz w:val="18"/>
          <w:szCs w:val="18"/>
          <w:color w:val="222222"/>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r>
              <w:rPr>
                <w:rFonts w:ascii="Arial" w:cs="Arial" w:eastAsia="Arial" w:hAnsi="Arial"/>
                <w:sz w:val="18"/>
                <w:szCs w:val="18"/>
                <w:b w:val="1"/>
                <w:bCs w:val="1"/>
                <w:color w:val="auto"/>
              </w:rPr>
              <w:t>17.  Stock-based Compensation</w:t>
            </w: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7460" w:type="dxa"/>
            <w:vAlign w:val="bottom"/>
            <w:gridSpan w:val="2"/>
          </w:tcPr>
          <w:p>
            <w:pPr>
              <w:spacing w:after="0"/>
              <w:rPr>
                <w:sz w:val="20"/>
                <w:szCs w:val="20"/>
                <w:color w:val="auto"/>
              </w:rPr>
            </w:pPr>
            <w:r>
              <w:rPr>
                <w:rFonts w:ascii="Arial" w:cs="Arial" w:eastAsia="Arial" w:hAnsi="Arial"/>
                <w:sz w:val="18"/>
                <w:szCs w:val="18"/>
                <w:color w:val="auto"/>
                <w:w w:val="92"/>
              </w:rPr>
              <w:t>For the years ended December 31, 2021, 2020 and 2019, stock-based compensation was as follows: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72"/>
        </w:trPr>
        <w:tc>
          <w:tcPr>
            <w:tcW w:w="65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40" w:type="dxa"/>
            <w:vAlign w:val="bottom"/>
            <w:tcBorders>
              <w:bottom w:val="single" w:sz="8" w:color="auto"/>
            </w:tcBorders>
          </w:tcPr>
          <w:p>
            <w:pPr>
              <w:spacing w:after="0"/>
              <w:rPr>
                <w:sz w:val="24"/>
                <w:szCs w:val="24"/>
                <w:color w:val="auto"/>
              </w:rPr>
            </w:pPr>
          </w:p>
        </w:tc>
      </w:tr>
      <w:tr>
        <w:trPr>
          <w:trHeight w:val="223"/>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09"/>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2018 Equity Incentive Plan</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6520" w:type="dxa"/>
            <w:vAlign w:val="bottom"/>
          </w:tcPr>
          <w:p>
            <w:pPr>
              <w:ind w:left="140"/>
              <w:spacing w:after="0"/>
              <w:rPr>
                <w:sz w:val="20"/>
                <w:szCs w:val="20"/>
                <w:color w:val="auto"/>
              </w:rPr>
            </w:pPr>
            <w:r>
              <w:rPr>
                <w:rFonts w:ascii="Arial" w:cs="Arial" w:eastAsia="Arial" w:hAnsi="Arial"/>
                <w:sz w:val="18"/>
                <w:szCs w:val="18"/>
                <w:color w:val="auto"/>
              </w:rPr>
              <w:t>Stock options compensation expense</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229"/>
        </w:trPr>
        <w:tc>
          <w:tcPr>
            <w:tcW w:w="6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units compensation expense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29"/>
        </w:trPr>
        <w:tc>
          <w:tcPr>
            <w:tcW w:w="6520" w:type="dxa"/>
            <w:vAlign w:val="bottom"/>
          </w:tcPr>
          <w:p>
            <w:pPr>
              <w:ind w:left="140"/>
              <w:spacing w:after="0"/>
              <w:rPr>
                <w:sz w:val="20"/>
                <w:szCs w:val="20"/>
                <w:color w:val="auto"/>
              </w:rPr>
            </w:pPr>
            <w:r>
              <w:rPr>
                <w:rFonts w:ascii="Arial" w:cs="Arial" w:eastAsia="Arial" w:hAnsi="Arial"/>
                <w:sz w:val="18"/>
                <w:szCs w:val="18"/>
                <w:color w:val="auto"/>
              </w:rPr>
              <w:t>Liability-classified compensation expense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2014 Management Incentive Plan</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3,213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2,430</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3,652</w:t>
            </w:r>
          </w:p>
        </w:tc>
      </w:tr>
      <w:tr>
        <w:trPr>
          <w:trHeight w:val="21"/>
        </w:trPr>
        <w:tc>
          <w:tcPr>
            <w:tcW w:w="6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years ended December 31, 2021, 2020 and 2019, the Company recognized an income tax benefit of approximately $0.4 million, $0.4 million and $0.5 million, respectively, for stock-based compensation expense. No stock-based compensation has been capitalized.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Equity Incentive Plan</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2018 Equity Incentive Plan ("2018 Plan") was approved by the Company's Board of Directors and shareholders in July 2018. The 2018 Plan provided for the issuance of up to 6,685,696 of the Company's common stock, and these shares were registered on a Form S-8 during 2018. Under the 2018 Plan, the Company's compensation committee may grant awards of non-qualified stock options, incentive stock options, stock appreciation rights ("SAR"), restricted stock awards, restricted stock units ("RSU"), other stock-based awards (including cash bonus awards) or any combination of the foregoing. Any current or prospective employees, officers, consultants or advisors that the Company's compensation committee (or, in the case of non-employee directors, the Company's Board of Directors) selects, from time to time, are eligible to receive awards under the 2018 Plan. If any award granted under the 2018 Plan expires, terminates, or is canceled or forfeited without being settled or exercised, or if a SAR is settled in cash or otherwise without the issuance of shares, shares of the Company's common stock subject to such award will again be made available for future grants. In addition, if any shares are surrendered or tendered to pay the exercise price of an award or to satisfy withholding taxes owed, such shares will again be available for grants under the 2018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color w:val="auto"/>
        </w:rPr>
        <w:t>A summary of the activity in stock units for the 2018 Plan that occurred during the years ended December 31, 2021, 2020 and 2019 is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available for issuance at December 31, 2018</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4,446,239</w:t>
            </w:r>
          </w:p>
        </w:tc>
      </w:tr>
      <w:tr>
        <w:trPr>
          <w:trHeight w:val="229"/>
        </w:trPr>
        <w:tc>
          <w:tcPr>
            <w:tcW w:w="9720" w:type="dxa"/>
            <w:vAlign w:val="bottom"/>
          </w:tcPr>
          <w:p>
            <w:pPr>
              <w:ind w:left="240"/>
              <w:spacing w:after="0"/>
              <w:rPr>
                <w:sz w:val="20"/>
                <w:szCs w:val="20"/>
                <w:color w:val="auto"/>
              </w:rPr>
            </w:pPr>
            <w:r>
              <w:rPr>
                <w:rFonts w:ascii="Arial" w:cs="Arial" w:eastAsia="Arial" w:hAnsi="Arial"/>
                <w:sz w:val="18"/>
                <w:szCs w:val="18"/>
                <w:color w:val="auto"/>
              </w:rPr>
              <w:t>Stock options forfeited</w:t>
            </w:r>
          </w:p>
        </w:tc>
        <w:tc>
          <w:tcPr>
            <w:tcW w:w="1520" w:type="dxa"/>
            <w:vAlign w:val="bottom"/>
          </w:tcPr>
          <w:p>
            <w:pPr>
              <w:jc w:val="right"/>
              <w:spacing w:after="0"/>
              <w:rPr>
                <w:sz w:val="20"/>
                <w:szCs w:val="20"/>
                <w:color w:val="auto"/>
              </w:rPr>
            </w:pPr>
            <w:r>
              <w:rPr>
                <w:rFonts w:ascii="Arial" w:cs="Arial" w:eastAsia="Arial" w:hAnsi="Arial"/>
                <w:sz w:val="18"/>
                <w:szCs w:val="18"/>
                <w:color w:val="auto"/>
              </w:rPr>
              <w:t>326,173</w:t>
            </w:r>
          </w:p>
        </w:tc>
      </w:tr>
      <w:tr>
        <w:trPr>
          <w:trHeight w:val="230"/>
        </w:trPr>
        <w:tc>
          <w:tcPr>
            <w:tcW w:w="9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RSUs granted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(36,657)</w:t>
            </w:r>
          </w:p>
        </w:tc>
      </w:tr>
      <w:tr>
        <w:trPr>
          <w:trHeight w:val="229"/>
        </w:trPr>
        <w:tc>
          <w:tcPr>
            <w:tcW w:w="9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RSUs 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60,421</w:t>
            </w:r>
          </w:p>
        </w:tc>
      </w:tr>
      <w:tr>
        <w:trPr>
          <w:trHeight w:val="223"/>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available for issuance at December 31, 2019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4,796,176</w:t>
            </w:r>
          </w:p>
        </w:tc>
      </w:tr>
      <w:tr>
        <w:trPr>
          <w:trHeight w:val="229"/>
        </w:trPr>
        <w:tc>
          <w:tcPr>
            <w:tcW w:w="9720" w:type="dxa"/>
            <w:vAlign w:val="bottom"/>
          </w:tcPr>
          <w:p>
            <w:pPr>
              <w:ind w:left="240"/>
              <w:spacing w:after="0"/>
              <w:rPr>
                <w:sz w:val="20"/>
                <w:szCs w:val="20"/>
                <w:color w:val="auto"/>
              </w:rPr>
            </w:pPr>
            <w:r>
              <w:rPr>
                <w:rFonts w:ascii="Arial" w:cs="Arial" w:eastAsia="Arial" w:hAnsi="Arial"/>
                <w:sz w:val="18"/>
                <w:szCs w:val="18"/>
                <w:color w:val="auto"/>
              </w:rPr>
              <w:t>Stock options 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29"/>
        </w:trPr>
        <w:tc>
          <w:tcPr>
            <w:tcW w:w="9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 options forfeited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220,045</w:t>
            </w:r>
          </w:p>
        </w:tc>
      </w:tr>
      <w:tr>
        <w:trPr>
          <w:trHeight w:val="230"/>
        </w:trPr>
        <w:tc>
          <w:tcPr>
            <w:tcW w:w="9720" w:type="dxa"/>
            <w:vAlign w:val="bottom"/>
          </w:tcPr>
          <w:p>
            <w:pPr>
              <w:ind w:left="240"/>
              <w:spacing w:after="0"/>
              <w:rPr>
                <w:sz w:val="20"/>
                <w:szCs w:val="20"/>
                <w:color w:val="auto"/>
              </w:rPr>
            </w:pPr>
            <w:r>
              <w:rPr>
                <w:rFonts w:ascii="Arial" w:cs="Arial" w:eastAsia="Arial" w:hAnsi="Arial"/>
                <w:sz w:val="18"/>
                <w:szCs w:val="18"/>
                <w:color w:val="auto"/>
              </w:rPr>
              <w:t>RSUs 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(1,031,740)</w:t>
            </w:r>
          </w:p>
        </w:tc>
      </w:tr>
      <w:tr>
        <w:trPr>
          <w:trHeight w:val="229"/>
        </w:trPr>
        <w:tc>
          <w:tcPr>
            <w:tcW w:w="9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RSU granted with performance goals that have not been determined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(128,624)</w:t>
            </w:r>
          </w:p>
        </w:tc>
      </w:tr>
      <w:tr>
        <w:trPr>
          <w:trHeight w:val="230"/>
        </w:trPr>
        <w:tc>
          <w:tcPr>
            <w:tcW w:w="9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RSUs 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21,277</w:t>
            </w:r>
          </w:p>
        </w:tc>
      </w:tr>
      <w:tr>
        <w:trPr>
          <w:trHeight w:val="223"/>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available for issuance at December 31,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3,862,134</w:t>
            </w:r>
          </w:p>
        </w:tc>
      </w:tr>
      <w:tr>
        <w:trPr>
          <w:trHeight w:val="230"/>
        </w:trPr>
        <w:tc>
          <w:tcPr>
            <w:tcW w:w="9720" w:type="dxa"/>
            <w:vAlign w:val="bottom"/>
          </w:tcPr>
          <w:p>
            <w:pPr>
              <w:ind w:left="240"/>
              <w:spacing w:after="0"/>
              <w:rPr>
                <w:sz w:val="20"/>
                <w:szCs w:val="20"/>
                <w:color w:val="auto"/>
              </w:rPr>
            </w:pPr>
            <w:r>
              <w:rPr>
                <w:rFonts w:ascii="Arial" w:cs="Arial" w:eastAsia="Arial" w:hAnsi="Arial"/>
                <w:sz w:val="18"/>
                <w:szCs w:val="18"/>
                <w:color w:val="auto"/>
              </w:rPr>
              <w:t>Stock options forfeited</w:t>
            </w:r>
          </w:p>
        </w:tc>
        <w:tc>
          <w:tcPr>
            <w:tcW w:w="1520" w:type="dxa"/>
            <w:vAlign w:val="bottom"/>
          </w:tcPr>
          <w:p>
            <w:pPr>
              <w:jc w:val="right"/>
              <w:spacing w:after="0"/>
              <w:rPr>
                <w:sz w:val="20"/>
                <w:szCs w:val="20"/>
                <w:color w:val="auto"/>
              </w:rPr>
            </w:pPr>
            <w:r>
              <w:rPr>
                <w:rFonts w:ascii="Arial" w:cs="Arial" w:eastAsia="Arial" w:hAnsi="Arial"/>
                <w:sz w:val="18"/>
                <w:szCs w:val="18"/>
                <w:color w:val="auto"/>
              </w:rPr>
              <w:t>50,589</w:t>
            </w:r>
          </w:p>
        </w:tc>
      </w:tr>
      <w:tr>
        <w:trPr>
          <w:trHeight w:val="229"/>
        </w:trPr>
        <w:tc>
          <w:tcPr>
            <w:tcW w:w="9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 options expired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53,870</w:t>
            </w:r>
          </w:p>
        </w:tc>
      </w:tr>
      <w:tr>
        <w:trPr>
          <w:trHeight w:val="229"/>
        </w:trPr>
        <w:tc>
          <w:tcPr>
            <w:tcW w:w="9720" w:type="dxa"/>
            <w:vAlign w:val="bottom"/>
          </w:tcPr>
          <w:p>
            <w:pPr>
              <w:ind w:left="240"/>
              <w:spacing w:after="0"/>
              <w:rPr>
                <w:sz w:val="20"/>
                <w:szCs w:val="20"/>
                <w:color w:val="auto"/>
              </w:rPr>
            </w:pPr>
            <w:r>
              <w:rPr>
                <w:rFonts w:ascii="Arial" w:cs="Arial" w:eastAsia="Arial" w:hAnsi="Arial"/>
                <w:sz w:val="18"/>
                <w:szCs w:val="18"/>
                <w:color w:val="auto"/>
              </w:rPr>
              <w:t>RSUs 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(711,987)</w:t>
            </w:r>
          </w:p>
        </w:tc>
      </w:tr>
      <w:tr>
        <w:trPr>
          <w:trHeight w:val="230"/>
        </w:trPr>
        <w:tc>
          <w:tcPr>
            <w:tcW w:w="9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RSUs forfeited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r>
      <w:tr>
        <w:trPr>
          <w:trHeight w:val="229"/>
        </w:trPr>
        <w:tc>
          <w:tcPr>
            <w:tcW w:w="972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Shares withheld for taxes</w:t>
            </w:r>
            <w:r>
              <w:rPr>
                <w:rFonts w:ascii="Arial" w:cs="Arial" w:eastAsia="Arial" w:hAnsi="Arial"/>
                <w:sz w:val="23"/>
                <w:szCs w:val="23"/>
                <w:color w:val="auto"/>
                <w:vertAlign w:val="superscript"/>
              </w:rPr>
              <w:t>(1)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106,477</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 available for issuance at December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3,363,040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right="60" w:hanging="328"/>
        <w:spacing w:after="0" w:line="227" w:lineRule="auto"/>
        <w:tabs>
          <w:tab w:leader="none" w:pos="648"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The number of shares surrendered to satisfy withholding taxes owed are subsequently added back to the shares available for grants under the 2018 Plan.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Details about the time-based equity-classified stock options granted under the plan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1"/>
              </w:rPr>
              <w:t>Weighted-average</w:t>
            </w:r>
          </w:p>
        </w:tc>
        <w:tc>
          <w:tcPr>
            <w:tcW w:w="16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Weighted-average</w:t>
            </w:r>
          </w:p>
        </w:tc>
        <w:tc>
          <w:tcPr>
            <w:tcW w:w="15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Aggregate Intrinsic</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500" w:type="dxa"/>
            <w:vAlign w:val="bottom"/>
            <w:vMerge w:val="restart"/>
          </w:tcPr>
          <w:p>
            <w:pPr>
              <w:jc w:val="right"/>
              <w:ind w:right="31"/>
              <w:spacing w:after="0"/>
              <w:rPr>
                <w:sz w:val="20"/>
                <w:szCs w:val="20"/>
                <w:color w:val="auto"/>
              </w:rPr>
            </w:pPr>
            <w:r>
              <w:rPr>
                <w:rFonts w:ascii="Arial" w:cs="Arial" w:eastAsia="Arial" w:hAnsi="Arial"/>
                <w:sz w:val="16"/>
                <w:szCs w:val="16"/>
                <w:b w:val="1"/>
                <w:bCs w:val="1"/>
                <w:color w:val="auto"/>
                <w:w w:val="98"/>
              </w:rPr>
              <w:t>Number of Shares</w:t>
            </w:r>
          </w:p>
        </w:tc>
        <w:tc>
          <w:tcPr>
            <w:tcW w:w="2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60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2"/>
              </w:rPr>
              <w:t>Remaining</w:t>
            </w: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98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Exercise Price</w:t>
            </w:r>
          </w:p>
        </w:tc>
        <w:tc>
          <w:tcPr>
            <w:tcW w:w="16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Contractual Term</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 xml:space="preserve">Value </w:t>
            </w:r>
            <w:r>
              <w:rPr>
                <w:rFonts w:ascii="Arial" w:cs="Arial" w:eastAsia="Arial" w:hAnsi="Arial"/>
                <w:sz w:val="16"/>
                <w:szCs w:val="16"/>
                <w:i w:val="1"/>
                <w:iCs w:val="1"/>
                <w:color w:val="auto"/>
                <w:w w:val="95"/>
              </w:rPr>
              <w:t>(in thousands)</w:t>
            </w:r>
          </w:p>
        </w:tc>
        <w:tc>
          <w:tcPr>
            <w:tcW w:w="0" w:type="dxa"/>
            <w:vAlign w:val="bottom"/>
          </w:tcPr>
          <w:p>
            <w:pPr>
              <w:spacing w:after="0"/>
              <w:rPr>
                <w:sz w:val="1"/>
                <w:szCs w:val="1"/>
                <w:color w:val="auto"/>
              </w:rPr>
            </w:pPr>
          </w:p>
        </w:tc>
      </w:tr>
      <w:tr>
        <w:trPr>
          <w:trHeight w:val="226"/>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1,506,039</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(173,955)</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6.88</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(50,589)</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(53,870)</w:t>
            </w:r>
          </w:p>
        </w:tc>
        <w:tc>
          <w:tcPr>
            <w:tcW w:w="2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6.95</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December 31,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1,227,625</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6.90</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b w:val="1"/>
                <w:bCs w:val="1"/>
                <w:color w:val="auto"/>
              </w:rPr>
              <w:t>6.8 years</w:t>
            </w:r>
          </w:p>
        </w:tc>
        <w:tc>
          <w:tcPr>
            <w:tcW w:w="6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December 31,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1,216,375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6.94</w:t>
            </w:r>
          </w:p>
        </w:tc>
        <w:tc>
          <w:tcPr>
            <w:tcW w:w="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800"/>
              <w:spacing w:after="0"/>
              <w:rPr>
                <w:sz w:val="20"/>
                <w:szCs w:val="20"/>
                <w:color w:val="auto"/>
              </w:rPr>
            </w:pPr>
            <w:r>
              <w:rPr>
                <w:rFonts w:ascii="Arial" w:cs="Arial" w:eastAsia="Arial" w:hAnsi="Arial"/>
                <w:sz w:val="18"/>
                <w:szCs w:val="18"/>
                <w:b w:val="1"/>
                <w:bCs w:val="1"/>
                <w:color w:val="auto"/>
              </w:rPr>
              <w:t>6.8 years</w:t>
            </w:r>
          </w:p>
        </w:tc>
        <w:tc>
          <w:tcPr>
            <w:tcW w:w="640" w:type="dxa"/>
            <w:vAlign w:val="bottom"/>
            <w:shd w:val="clear" w:color="auto" w:fill="CCEEFF"/>
          </w:tcPr>
          <w:p>
            <w:pPr>
              <w:jc w:val="right"/>
              <w:ind w:right="455"/>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The weighted-average grant date fair value of options granted in 2020 was $1.99. There were no options granted in 2021 or 2019. The intrinsic value of options exercised in 2021 was $0.2 million, there were no options exercised in 2020 or 2019. As of December 31, 2021, there was $19 thousand of unrecognized compensation costs related to stock options, which is expected to be recognized over a remaining weighted-average period of 2.6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The table below presents the assumptions used to calculate the fair value of the stock options issued in 2020: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20"/>
                <w:szCs w:val="20"/>
                <w:color w:val="auto"/>
              </w:rPr>
            </w:pP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9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94 %</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0.5 %</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1"/>
              </w:rPr>
              <w:t>2.47</w:t>
            </w:r>
          </w:p>
        </w:tc>
      </w:tr>
      <w:tr>
        <w:trPr>
          <w:trHeight w:val="527"/>
        </w:trPr>
        <w:tc>
          <w:tcPr>
            <w:tcW w:w="6640" w:type="dxa"/>
            <w:vAlign w:val="bottom"/>
          </w:tcPr>
          <w:p>
            <w:pPr>
              <w:spacing w:after="0"/>
              <w:rPr>
                <w:sz w:val="20"/>
                <w:szCs w:val="20"/>
                <w:color w:val="auto"/>
              </w:rPr>
            </w:pPr>
            <w:r>
              <w:rPr>
                <w:rFonts w:ascii="Arial" w:cs="Arial" w:eastAsia="Arial" w:hAnsi="Arial"/>
                <w:sz w:val="18"/>
                <w:szCs w:val="18"/>
                <w:i w:val="1"/>
                <w:iCs w:val="1"/>
                <w:color w:val="auto"/>
              </w:rPr>
              <w:t>Equity-classified Restricted Stock Units</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2"/>
        </w:trPr>
        <w:tc>
          <w:tcPr>
            <w:tcW w:w="6640" w:type="dxa"/>
            <w:vAlign w:val="bottom"/>
          </w:tcPr>
          <w:p>
            <w:pPr>
              <w:spacing w:after="0"/>
              <w:rPr>
                <w:sz w:val="20"/>
                <w:szCs w:val="20"/>
                <w:color w:val="auto"/>
              </w:rPr>
            </w:pPr>
            <w:r>
              <w:rPr>
                <w:rFonts w:ascii="Arial" w:cs="Arial" w:eastAsia="Arial" w:hAnsi="Arial"/>
                <w:sz w:val="18"/>
                <w:szCs w:val="18"/>
                <w:color w:val="auto"/>
                <w:w w:val="94"/>
              </w:rPr>
              <w:t>Below is a summary of the Company's equity-classified RSUs for the periods presented:</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18"/>
        </w:trPr>
        <w:tc>
          <w:tcPr>
            <w:tcW w:w="6640" w:type="dxa"/>
            <w:vAlign w:val="bottom"/>
          </w:tcPr>
          <w:p>
            <w:pPr>
              <w:spacing w:after="0"/>
              <w:rPr>
                <w:sz w:val="24"/>
                <w:szCs w:val="24"/>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b w:val="1"/>
                <w:bCs w:val="1"/>
                <w:color w:val="auto"/>
              </w:rPr>
              <w:t>Underlying Common</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1"/>
              </w:rPr>
              <w:t>Weighted-average Grant Date</w:t>
            </w:r>
          </w:p>
        </w:tc>
      </w:tr>
      <w:tr>
        <w:trPr>
          <w:trHeight w:val="230"/>
        </w:trPr>
        <w:tc>
          <w:tcPr>
            <w:tcW w:w="664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center"/>
              <w:ind w:left="370"/>
              <w:spacing w:after="0"/>
              <w:rPr>
                <w:sz w:val="20"/>
                <w:szCs w:val="20"/>
                <w:color w:val="auto"/>
              </w:rPr>
            </w:pPr>
            <w:r>
              <w:rPr>
                <w:rFonts w:ascii="Arial" w:cs="Arial" w:eastAsia="Arial" w:hAnsi="Arial"/>
                <w:sz w:val="18"/>
                <w:szCs w:val="18"/>
                <w:b w:val="1"/>
                <w:bCs w:val="1"/>
                <w:color w:val="auto"/>
                <w:w w:val="95"/>
              </w:rPr>
              <w:t>Fair Value</w:t>
            </w:r>
          </w:p>
        </w:tc>
        <w:tc>
          <w:tcPr>
            <w:tcW w:w="580" w:type="dxa"/>
            <w:vAlign w:val="bottom"/>
            <w:tcBorders>
              <w:bottom w:val="single" w:sz="8" w:color="auto"/>
            </w:tcBorders>
          </w:tcPr>
          <w:p>
            <w:pPr>
              <w:spacing w:after="0"/>
              <w:rPr>
                <w:sz w:val="19"/>
                <w:szCs w:val="19"/>
                <w:color w:val="auto"/>
              </w:rPr>
            </w:pPr>
          </w:p>
        </w:tc>
      </w:tr>
      <w:tr>
        <w:trPr>
          <w:trHeight w:val="20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Service-based vesting:</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Unvested at December 31, 2018</w:t>
            </w:r>
          </w:p>
        </w:tc>
        <w:tc>
          <w:tcPr>
            <w:tcW w:w="1960" w:type="dxa"/>
            <w:vAlign w:val="bottom"/>
          </w:tcPr>
          <w:p>
            <w:pPr>
              <w:jc w:val="right"/>
              <w:spacing w:after="0"/>
              <w:rPr>
                <w:sz w:val="20"/>
                <w:szCs w:val="20"/>
                <w:color w:val="auto"/>
              </w:rPr>
            </w:pPr>
            <w:r>
              <w:rPr>
                <w:rFonts w:ascii="Arial" w:cs="Arial" w:eastAsia="Arial" w:hAnsi="Arial"/>
                <w:sz w:val="18"/>
                <w:szCs w:val="18"/>
                <w:color w:val="auto"/>
              </w:rPr>
              <w:t>107,142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29"/>
        </w:trPr>
        <w:tc>
          <w:tcPr>
            <w:tcW w:w="6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Granted</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r>
      <w:tr>
        <w:trPr>
          <w:trHeight w:val="229"/>
        </w:trPr>
        <w:tc>
          <w:tcPr>
            <w:tcW w:w="6640" w:type="dxa"/>
            <w:vAlign w:val="bottom"/>
          </w:tcPr>
          <w:p>
            <w:pPr>
              <w:ind w:left="240"/>
              <w:spacing w:after="0"/>
              <w:rPr>
                <w:sz w:val="20"/>
                <w:szCs w:val="20"/>
                <w:color w:val="auto"/>
              </w:rPr>
            </w:pPr>
            <w:r>
              <w:rPr>
                <w:rFonts w:ascii="Arial" w:cs="Arial" w:eastAsia="Arial" w:hAnsi="Arial"/>
                <w:sz w:val="18"/>
                <w:szCs w:val="18"/>
                <w:color w:val="auto"/>
              </w:rPr>
              <w:t>Vested</w:t>
            </w:r>
          </w:p>
        </w:tc>
        <w:tc>
          <w:tcPr>
            <w:tcW w:w="1960" w:type="dxa"/>
            <w:vAlign w:val="bottom"/>
          </w:tcPr>
          <w:p>
            <w:pPr>
              <w:jc w:val="right"/>
              <w:spacing w:after="0"/>
              <w:rPr>
                <w:sz w:val="20"/>
                <w:szCs w:val="20"/>
                <w:color w:val="auto"/>
              </w:rPr>
            </w:pPr>
            <w:r>
              <w:rPr>
                <w:rFonts w:ascii="Arial" w:cs="Arial" w:eastAsia="Arial" w:hAnsi="Arial"/>
                <w:sz w:val="18"/>
                <w:szCs w:val="18"/>
                <w:color w:val="auto"/>
              </w:rPr>
              <w:t>(53,571)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6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Unvested at December 31, 2019</w:t>
            </w:r>
          </w:p>
        </w:tc>
        <w:tc>
          <w:tcPr>
            <w:tcW w:w="1960" w:type="dxa"/>
            <w:vAlign w:val="bottom"/>
          </w:tcPr>
          <w:p>
            <w:pPr>
              <w:jc w:val="right"/>
              <w:spacing w:after="0"/>
              <w:rPr>
                <w:sz w:val="20"/>
                <w:szCs w:val="20"/>
                <w:color w:val="auto"/>
              </w:rPr>
            </w:pPr>
            <w:r>
              <w:rPr>
                <w:rFonts w:ascii="Arial" w:cs="Arial" w:eastAsia="Arial" w:hAnsi="Arial"/>
                <w:sz w:val="18"/>
                <w:szCs w:val="18"/>
                <w:color w:val="auto"/>
              </w:rPr>
              <w:t>53,571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66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892,142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29"/>
        </w:trPr>
        <w:tc>
          <w:tcPr>
            <w:tcW w:w="664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960" w:type="dxa"/>
            <w:vAlign w:val="bottom"/>
          </w:tcPr>
          <w:p>
            <w:pPr>
              <w:jc w:val="right"/>
              <w:spacing w:after="0"/>
              <w:rPr>
                <w:sz w:val="20"/>
                <w:szCs w:val="20"/>
                <w:color w:val="auto"/>
              </w:rPr>
            </w:pPr>
            <w:r>
              <w:rPr>
                <w:rFonts w:ascii="Arial" w:cs="Arial" w:eastAsia="Arial" w:hAnsi="Arial"/>
                <w:sz w:val="18"/>
                <w:szCs w:val="18"/>
                <w:color w:val="auto"/>
              </w:rPr>
              <w:t>(21,277)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30"/>
        </w:trPr>
        <w:tc>
          <w:tcPr>
            <w:tcW w:w="6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Unvested at December 31, 2020</w:t>
            </w:r>
          </w:p>
        </w:tc>
        <w:tc>
          <w:tcPr>
            <w:tcW w:w="1960" w:type="dxa"/>
            <w:vAlign w:val="bottom"/>
          </w:tcPr>
          <w:p>
            <w:pPr>
              <w:jc w:val="right"/>
              <w:spacing w:after="0"/>
              <w:rPr>
                <w:sz w:val="20"/>
                <w:szCs w:val="20"/>
                <w:color w:val="auto"/>
              </w:rPr>
            </w:pPr>
            <w:r>
              <w:rPr>
                <w:rFonts w:ascii="Arial" w:cs="Arial" w:eastAsia="Arial" w:hAnsi="Arial"/>
                <w:sz w:val="18"/>
                <w:szCs w:val="18"/>
                <w:color w:val="auto"/>
              </w:rPr>
              <w:t>596,401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30"/>
        </w:trPr>
        <w:tc>
          <w:tcPr>
            <w:tcW w:w="66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647,512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29"/>
        </w:trPr>
        <w:tc>
          <w:tcPr>
            <w:tcW w:w="664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960" w:type="dxa"/>
            <w:vAlign w:val="bottom"/>
          </w:tcPr>
          <w:p>
            <w:pPr>
              <w:jc w:val="right"/>
              <w:spacing w:after="0"/>
              <w:rPr>
                <w:sz w:val="20"/>
                <w:szCs w:val="20"/>
                <w:color w:val="auto"/>
              </w:rPr>
            </w:pPr>
            <w:r>
              <w:rPr>
                <w:rFonts w:ascii="Arial" w:cs="Arial" w:eastAsia="Arial" w:hAnsi="Arial"/>
                <w:sz w:val="18"/>
                <w:szCs w:val="18"/>
                <w:color w:val="auto"/>
              </w:rPr>
              <w:t>(1,957)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7.92</w:t>
            </w:r>
          </w:p>
        </w:tc>
      </w:tr>
      <w:tr>
        <w:trPr>
          <w:trHeight w:val="230"/>
        </w:trPr>
        <w:tc>
          <w:tcPr>
            <w:tcW w:w="6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Unvested at December 31, 2021</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879,250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5.51</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r>
      <w:tr>
        <w:trPr>
          <w:trHeight w:val="237"/>
        </w:trPr>
        <w:tc>
          <w:tcPr>
            <w:tcW w:w="664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Performance-based vesting:</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2018</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r>
      <w:tr>
        <w:trPr>
          <w:trHeight w:val="229"/>
        </w:trPr>
        <w:tc>
          <w:tcPr>
            <w:tcW w:w="66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Forfeited</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(23,674)</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10.52</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2019</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71,383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r>
      <w:tr>
        <w:trPr>
          <w:trHeight w:val="229"/>
        </w:trPr>
        <w:tc>
          <w:tcPr>
            <w:tcW w:w="6640" w:type="dxa"/>
            <w:vAlign w:val="bottom"/>
          </w:tcPr>
          <w:p>
            <w:pPr>
              <w:ind w:left="24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(2)</w:t>
            </w:r>
          </w:p>
        </w:tc>
        <w:tc>
          <w:tcPr>
            <w:tcW w:w="1960" w:type="dxa"/>
            <w:vAlign w:val="bottom"/>
          </w:tcPr>
          <w:p>
            <w:pPr>
              <w:jc w:val="right"/>
              <w:spacing w:after="0"/>
              <w:rPr>
                <w:sz w:val="20"/>
                <w:szCs w:val="20"/>
                <w:color w:val="auto"/>
              </w:rPr>
            </w:pPr>
            <w:r>
              <w:rPr>
                <w:rFonts w:ascii="Arial" w:cs="Arial" w:eastAsia="Arial" w:hAnsi="Arial"/>
                <w:sz w:val="18"/>
                <w:szCs w:val="18"/>
                <w:color w:val="auto"/>
              </w:rPr>
              <w:t>139,598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30"/>
        </w:trPr>
        <w:tc>
          <w:tcPr>
            <w:tcW w:w="6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(71,383)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Unvested at December 31, 2020</w:t>
            </w:r>
          </w:p>
        </w:tc>
        <w:tc>
          <w:tcPr>
            <w:tcW w:w="1960" w:type="dxa"/>
            <w:vAlign w:val="bottom"/>
          </w:tcPr>
          <w:p>
            <w:pPr>
              <w:jc w:val="right"/>
              <w:spacing w:after="0"/>
              <w:rPr>
                <w:sz w:val="20"/>
                <w:szCs w:val="20"/>
                <w:color w:val="auto"/>
              </w:rPr>
            </w:pPr>
            <w:r>
              <w:rPr>
                <w:rFonts w:ascii="Arial" w:cs="Arial" w:eastAsia="Arial" w:hAnsi="Arial"/>
                <w:sz w:val="18"/>
                <w:szCs w:val="18"/>
                <w:color w:val="auto"/>
              </w:rPr>
              <w:t>139,598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30"/>
        </w:trPr>
        <w:tc>
          <w:tcPr>
            <w:tcW w:w="66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(2)</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30"/>
        </w:trPr>
        <w:tc>
          <w:tcPr>
            <w:tcW w:w="66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Vested</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(104,620)</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7.24</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2021</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99,453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r>
    </w:tbl>
    <w:p>
      <w:pPr>
        <w:spacing w:after="0" w:line="283" w:lineRule="exact"/>
        <w:rPr>
          <w:sz w:val="20"/>
          <w:szCs w:val="20"/>
          <w:color w:val="auto"/>
        </w:rPr>
      </w:pPr>
    </w:p>
    <w:p>
      <w:pPr>
        <w:ind w:left="660" w:right="140" w:hanging="328"/>
        <w:spacing w:after="0" w:line="227" w:lineRule="auto"/>
        <w:tabs>
          <w:tab w:leader="none" w:pos="64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Includes 55,689 shares with an estimated fair value of $0.5 million and 212,768 shares with an estimated fair value of $0.4 million issued to non-employee members of the Company's Board of Directors in December 31, 2021 and 2020, respectively.</w:t>
      </w:r>
    </w:p>
    <w:p>
      <w:pPr>
        <w:ind w:left="660" w:right="200" w:hanging="328"/>
        <w:spacing w:after="0" w:line="229" w:lineRule="auto"/>
        <w:tabs>
          <w:tab w:leader="none" w:pos="64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Includes only the portions of grants for which the performance goals have been determined and communicated to the grant recipient. Any grants for which the required performance goals have not been determined and communicated to the grant recipient are not considered to have been granted for accounting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9" w:name="page90"/>
    <w:bookmarkEnd w:id="89"/>
    <w:p>
      <w:pPr>
        <w:spacing w:after="0" w:line="225"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As of December 31, 2021, there was $3.0 million and $0.2 million of unrecognized compensation costs for equity-classified service-based RSUs and performance-based RSUs, respectively, which are expected to be recognized over a remaining weighted-average period of 1.8 years and 0.4 years, respectively. The total fair value of RSUs that vested in 2021, 2020 and 2019 was $3.2 million, $1.3 million and $0.2 million,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Liability-classified Stock-based Arrangements</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March 2020, the Company was authorized by the compensation committee of its Board of Directors to issue an RSU award to its Chairman and CEO if certain annual performance goals and achievement criteria were attained for 2020. The award was accounted for as a liability-classified award. In March 2021, the performance goals and achievement criteria were met and the award was converted to an equity-classified award.</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June 2021, the Company committed to issue an additional liability-classified award with a target value of $0.9 million in 2022 to its Chairman and CEO if certain annual performance goals and achievement criteria were attained for 2021. The Company has accrued $0.3 million in compensation expense for this liability-classified award, which is included in salary and employee benefit expenses in the Company's Consolidated Statement of Operations for the year ended December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On April 16, 2021, the Priority Technology Holdings, Inc. 2021 Employee Stock Purchase Plan ("2021 Stock Purchase Plan") was authorized by the Company's Board of Directors. The maximum number of shares available for purchase under the 2021 Stock Purchase Plan is 200,000 shares. Shares issued under the 2021 Stock Purchase Plan may be authorized but unissued or reacquired shares of common stock. All employees of the Company who work more than 20 hours per week and have been employed by the Company for at least 30 days may participate in the 2021 Stock Purchase Plan.</w:t>
      </w:r>
    </w:p>
    <w:p>
      <w:pPr>
        <w:spacing w:after="0" w:line="15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Under the 2021 Stock Purchase Plan, participants are offered, on the first day of the offering period, the option to purchase shares of Common Stock at a discount on the last day of the offering period. The offering period shall be for a period of three months, and the first offering period begins during the first quarter of 2022. The 2021 Stock Purchase Plan provides eligible employees the opportunity to purchase shares of the Company's common stock on a quarterly basis through payroll deductions at a price equal to 95% of the lesser of the fair value on the first and last trading day of each quarter.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Management Incentive Plan</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Priority Holdings Management Incentive Plan (the "MIP") was established in 2014 to issue stock-based compensation awards to selected employees. During the year ended December 31, 2019, the Company elected to accelerate vesting for all remaining unvested awards under the MIP, resulting in accelerated compensation expense. Compensation expense under the MIP was approximately $1.3 million for the year ended December 31, 2019. There is no unrecognized compensation cost for the MIP and no grants remain outstanding under this plan.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Employee Benefit Plans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sponsors a 401(k) defined contribution savings plan that covers substantially all of its eligible employees. Under the plan, the Company contributes safe-harbor matching contributions to eligible plan participants on an annual basis. The Company may also contribute additional discretionary amounts to plan participants. The Company's contributions to the plan were $1.2 million, $1.3 million and $1.3 million for the years ended December 31, 2021, 2020 and 2019, respectively.</w:t>
      </w:r>
    </w:p>
    <w:p>
      <w:pPr>
        <w:spacing w:after="0" w:line="18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Company offers a comprehensive medical benefit plan to eligible employees. All obligations under the plan are fully insured through third-party insurance companies. Employees participating in the medical plan pay a portion of the costs for the insurance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90" w:name="page91"/>
    <w:bookmarkEnd w:id="90"/>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Fair Value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December 31, 2021 and 2020, the Company does not have any fair value estimates that are required to be remeasured at the end of each reporting period on a recurring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Notes receivable are carried at amortized cost. Substantially all of the Company's notes receivable are secured, and the Company provides for allowances when it believes that certain notes receivable may not be collectible. The carrying value of the Company's notes receivable, net approximates fair value and was approximately $0.4 million and $7.7 million at December 31, 2021 and December 31, 2020, respectively. On the fair value hierarchy, Level 3 inputs are used to estimate the fair value of these notes receivable.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Obligations</w:t>
      </w:r>
    </w:p>
    <w:p>
      <w:pPr>
        <w:spacing w:after="0" w:line="225" w:lineRule="exact"/>
        <w:rPr>
          <w:sz w:val="20"/>
          <w:szCs w:val="20"/>
          <w:color w:val="auto"/>
        </w:rPr>
      </w:pPr>
    </w:p>
    <w:p>
      <w:pPr>
        <w:ind w:right="5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Outstanding debt obligations (see </w:t>
      </w:r>
      <w:hyperlink w:anchor="page76">
        <w:r>
          <w:rPr>
            <w:rFonts w:ascii="Arial" w:cs="Arial" w:eastAsia="Arial" w:hAnsi="Arial"/>
            <w:sz w:val="18"/>
            <w:szCs w:val="18"/>
            <w:u w:val="single" w:color="auto"/>
            <w:color w:val="0000FF"/>
          </w:rPr>
          <w:t>Note 11, Debt Obligations</w:t>
        </w:r>
      </w:hyperlink>
      <w:r>
        <w:rPr>
          <w:rFonts w:ascii="Arial" w:cs="Arial" w:eastAsia="Arial" w:hAnsi="Arial"/>
          <w:sz w:val="18"/>
          <w:szCs w:val="18"/>
          <w:color w:val="auto"/>
        </w:rPr>
        <w:t>) are reflected in the Company's Consolidated Balance Sheets at carrying value since the Company did not elect to remeasure debt obligations to fair value at the end of each reporting period.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of the term loan facility under the Credit Agreement at December 31, 2021 was estimated to be approximately $613.8 million. The fair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value of the term loan facility under the Senior Credit Agreement at December 31, 2020 was estimated to be approximately $278.0 million. The fair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these notes at December 31, 2021 and 2020, with a notional value and carrying value (gross of deferred costs and discounts) of $616.9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$279.4 million, respectively, was estimated using binding and non-binding quoted prices in an active secondary market, which considers the credit risk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market related conditions, and is within Level 3 of the fair value hierarchy.</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carrying values of the other long-term debt obligations approximate fair value due to mechanisms in the credit agreements that adjust the applicable interest rates and the lack of a market for these debt obligations.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212529"/>
        </w:rPr>
        <w:t xml:space="preserve">Prior to the fourth quarter of 2021, the Company's </w:t>
      </w:r>
      <w:r>
        <w:rPr>
          <w:rFonts w:ascii="Arial" w:cs="Arial" w:eastAsia="Arial" w:hAnsi="Arial"/>
          <w:sz w:val="16"/>
          <w:szCs w:val="16"/>
          <w:color w:val="000000"/>
        </w:rPr>
        <w:t>three</w:t>
      </w:r>
      <w:r>
        <w:rPr>
          <w:rFonts w:ascii="Arial" w:cs="Arial" w:eastAsia="Arial" w:hAnsi="Arial"/>
          <w:sz w:val="16"/>
          <w:szCs w:val="16"/>
          <w:color w:val="212529"/>
        </w:rPr>
        <w:t xml:space="preserve"> reportable segments included the Consumer Payments segment, the Commercial Payments segment and the Integrated Partners segment. As a result of the Company's organic growth and recent acquisitions, a new internal reporting structure was implemented which resulted in changes to the Company's reportable segments. The </w:t>
      </w:r>
      <w:r>
        <w:rPr>
          <w:rFonts w:ascii="Arial" w:cs="Arial" w:eastAsia="Arial" w:hAnsi="Arial"/>
          <w:sz w:val="16"/>
          <w:szCs w:val="16"/>
          <w:color w:val="000000"/>
        </w:rPr>
        <w:t>three</w:t>
      </w:r>
      <w:r>
        <w:rPr>
          <w:rFonts w:ascii="Arial" w:cs="Arial" w:eastAsia="Arial" w:hAnsi="Arial"/>
          <w:sz w:val="16"/>
          <w:szCs w:val="16"/>
          <w:color w:val="212529"/>
        </w:rPr>
        <w:t xml:space="preserve"> new reportable operating segments are </w:t>
      </w:r>
      <w:r>
        <w:rPr>
          <w:rFonts w:ascii="Arial" w:cs="Arial" w:eastAsia="Arial" w:hAnsi="Arial"/>
          <w:sz w:val="16"/>
          <w:szCs w:val="16"/>
          <w:color w:val="000000"/>
        </w:rPr>
        <w:t>SMB Payments, B2B</w:t>
      </w:r>
      <w:r>
        <w:rPr>
          <w:rFonts w:ascii="Arial" w:cs="Arial" w:eastAsia="Arial" w:hAnsi="Arial"/>
          <w:sz w:val="16"/>
          <w:szCs w:val="16"/>
          <w:color w:val="212529"/>
        </w:rPr>
        <w:t xml:space="preserve"> </w:t>
      </w:r>
      <w:r>
        <w:rPr>
          <w:rFonts w:ascii="Arial" w:cs="Arial" w:eastAsia="Arial" w:hAnsi="Arial"/>
          <w:sz w:val="16"/>
          <w:szCs w:val="16"/>
          <w:color w:val="000000"/>
        </w:rPr>
        <w:t xml:space="preserve">Payments and Enterprise Payments. </w:t>
      </w:r>
      <w:r>
        <w:rPr>
          <w:rFonts w:ascii="Arial" w:cs="Arial" w:eastAsia="Arial" w:hAnsi="Arial"/>
          <w:sz w:val="16"/>
          <w:szCs w:val="16"/>
          <w:color w:val="212529"/>
        </w:rPr>
        <w:t>All comparative periods have been adjusted to reflect the new reportable segments.</w:t>
      </w:r>
      <w:r>
        <w:rPr>
          <w:rFonts w:ascii="Arial" w:cs="Arial" w:eastAsia="Arial" w:hAnsi="Arial"/>
          <w:sz w:val="16"/>
          <w:szCs w:val="16"/>
          <w:color w:val="000000"/>
        </w:rPr>
        <w:t xml:space="preserve"> The Company does not have dedicated assets assigned to any particular reportable segment and such information is not available and continues to be aggregated.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More information about our three reportable segments:</w:t>
      </w:r>
    </w:p>
    <w:p>
      <w:pPr>
        <w:spacing w:after="0" w:line="225" w:lineRule="exact"/>
        <w:rPr>
          <w:sz w:val="20"/>
          <w:szCs w:val="20"/>
          <w:color w:val="auto"/>
        </w:rPr>
      </w:pPr>
    </w:p>
    <w:p>
      <w:pPr>
        <w:ind w:left="660" w:right="460" w:hanging="328"/>
        <w:spacing w:after="0" w:line="277" w:lineRule="auto"/>
        <w:tabs>
          <w:tab w:leader="none" w:pos="655"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SMB Payments – </w:t>
      </w:r>
      <w:r>
        <w:rPr>
          <w:rFonts w:ascii="Arial" w:cs="Arial" w:eastAsia="Arial" w:hAnsi="Arial"/>
          <w:sz w:val="18"/>
          <w:szCs w:val="18"/>
          <w:color w:val="auto"/>
        </w:rPr>
        <w:t>provides full-service acquiring and payment-enabled solutions for B2C transactions, leveraging the Company's proprietary</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platform, distributed through ISOs, direct sales and vertically focused ISV channels.</w:t>
      </w:r>
    </w:p>
    <w:p>
      <w:pPr>
        <w:spacing w:after="0" w:line="170" w:lineRule="exact"/>
        <w:rPr>
          <w:rFonts w:ascii="Arial" w:cs="Arial" w:eastAsia="Arial" w:hAnsi="Arial"/>
          <w:sz w:val="18"/>
          <w:szCs w:val="18"/>
          <w:i w:val="1"/>
          <w:iCs w:val="1"/>
          <w:color w:val="auto"/>
        </w:rPr>
      </w:pPr>
    </w:p>
    <w:p>
      <w:pPr>
        <w:ind w:left="660" w:right="560" w:hanging="328"/>
        <w:spacing w:after="0" w:line="277" w:lineRule="auto"/>
        <w:tabs>
          <w:tab w:leader="none" w:pos="655"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B2B Payments – </w:t>
      </w:r>
      <w:r>
        <w:rPr>
          <w:rFonts w:ascii="Arial" w:cs="Arial" w:eastAsia="Arial" w:hAnsi="Arial"/>
          <w:sz w:val="18"/>
          <w:szCs w:val="18"/>
          <w:color w:val="auto"/>
        </w:rPr>
        <w:t>provides accounts payable automation solutions to corporations, software partners and FIs, including Citi, Mastercard and</w:t>
      </w:r>
      <w:r>
        <w:rPr>
          <w:rFonts w:ascii="Arial" w:cs="Arial" w:eastAsia="Arial" w:hAnsi="Arial"/>
          <w:sz w:val="18"/>
          <w:szCs w:val="18"/>
          <w:i w:val="1"/>
          <w:iCs w:val="1"/>
          <w:color w:val="auto"/>
        </w:rPr>
        <w:t xml:space="preserve"> </w:t>
      </w:r>
      <w:r>
        <w:rPr>
          <w:rFonts w:ascii="Arial" w:cs="Arial" w:eastAsia="Arial" w:hAnsi="Arial"/>
          <w:sz w:val="18"/>
          <w:szCs w:val="18"/>
          <w:color w:val="auto"/>
        </w:rPr>
        <w:t>American Express.</w:t>
      </w:r>
    </w:p>
    <w:p>
      <w:pPr>
        <w:spacing w:after="0" w:line="170" w:lineRule="exact"/>
        <w:rPr>
          <w:rFonts w:ascii="Arial" w:cs="Arial" w:eastAsia="Arial" w:hAnsi="Arial"/>
          <w:sz w:val="18"/>
          <w:szCs w:val="18"/>
          <w:i w:val="1"/>
          <w:iCs w:val="1"/>
          <w:color w:val="auto"/>
        </w:rPr>
      </w:pPr>
    </w:p>
    <w:p>
      <w:pPr>
        <w:ind w:left="660" w:right="8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Enterprise Payments– </w:t>
      </w:r>
      <w:r>
        <w:rPr>
          <w:rFonts w:ascii="Arial" w:cs="Arial" w:eastAsia="Arial" w:hAnsi="Arial"/>
          <w:sz w:val="18"/>
          <w:szCs w:val="18"/>
          <w:color w:val="auto"/>
        </w:rPr>
        <w:t>provides embedded payment and banking solutions to enterprise customers that modernize legacy platforms and accelerate</w:t>
      </w:r>
      <w:r>
        <w:rPr>
          <w:rFonts w:ascii="Arial" w:cs="Arial" w:eastAsia="Arial" w:hAnsi="Arial"/>
          <w:sz w:val="18"/>
          <w:szCs w:val="18"/>
          <w:i w:val="1"/>
          <w:iCs w:val="1"/>
          <w:color w:val="auto"/>
        </w:rPr>
        <w:t xml:space="preserve"> </w:t>
      </w:r>
      <w:r>
        <w:rPr>
          <w:rFonts w:ascii="Arial" w:cs="Arial" w:eastAsia="Arial" w:hAnsi="Arial"/>
          <w:sz w:val="18"/>
          <w:szCs w:val="18"/>
          <w:color w:val="auto"/>
        </w:rPr>
        <w:t>modern software partners looking to monetize payments.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Corporate includes costs of corporate functions and shared services not allocated to our reportable segments.</w:t>
      </w: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91" w:name="page92"/>
    <w:bookmarkEnd w:id="91"/>
    <w:p>
      <w:pPr>
        <w:ind w:right="200"/>
        <w:spacing w:after="0" w:line="277" w:lineRule="auto"/>
        <w:rPr>
          <w:sz w:val="20"/>
          <w:szCs w:val="20"/>
          <w:color w:val="auto"/>
        </w:rPr>
      </w:pPr>
      <w:r>
        <w:rPr>
          <w:rFonts w:ascii="Arial" w:cs="Arial" w:eastAsia="Arial" w:hAnsi="Arial"/>
          <w:sz w:val="18"/>
          <w:szCs w:val="18"/>
          <w:color w:val="auto"/>
        </w:rPr>
        <w:t>Information on reportable segments and reconciliations to consolidated revenues, consolidated depreciation and amortization, and consolidated operating income are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9"/>
          </w:tcPr>
          <w:p>
            <w:pPr>
              <w:jc w:val="right"/>
              <w:ind w:right="770"/>
              <w:spacing w:after="0"/>
              <w:rPr>
                <w:sz w:val="20"/>
                <w:szCs w:val="20"/>
                <w:color w:val="auto"/>
              </w:rPr>
            </w:pPr>
            <w:r>
              <w:rPr>
                <w:rFonts w:ascii="Arial" w:cs="Arial" w:eastAsia="Arial" w:hAnsi="Arial"/>
                <w:sz w:val="18"/>
                <w:szCs w:val="18"/>
                <w:b w:val="1"/>
                <w:bCs w:val="1"/>
                <w:color w:val="auto"/>
              </w:rPr>
              <w:t>Years Ended December 31,</w:t>
            </w:r>
          </w:p>
        </w:tc>
      </w:tr>
      <w:tr>
        <w:trPr>
          <w:trHeight w:val="223"/>
        </w:trPr>
        <w:tc>
          <w:tcPr>
            <w:tcW w:w="62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1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SMB Payments</w:t>
            </w:r>
          </w:p>
        </w:tc>
        <w:tc>
          <w:tcPr>
            <w:tcW w:w="340" w:type="dxa"/>
            <w:vAlign w:val="bottom"/>
          </w:tcPr>
          <w:p>
            <w:pPr>
              <w:spacing w:after="0"/>
              <w:rPr>
                <w:sz w:val="19"/>
                <w:szCs w:val="19"/>
                <w:color w:val="auto"/>
              </w:rPr>
            </w:pP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475,630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370,521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334,180</w:t>
            </w: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B2B Payments</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20,922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25,980</w:t>
            </w:r>
          </w:p>
        </w:tc>
      </w:tr>
      <w:tr>
        <w:trPr>
          <w:trHeight w:val="230"/>
        </w:trPr>
        <w:tc>
          <w:tcPr>
            <w:tcW w:w="6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Enterprise Payments</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12,899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11,694</w:t>
            </w:r>
          </w:p>
        </w:tc>
      </w:tr>
      <w:tr>
        <w:trPr>
          <w:trHeight w:val="248"/>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Consolidated revenues</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514,901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404,342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371,854</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SMB Payments</w:t>
            </w:r>
          </w:p>
        </w:tc>
        <w:tc>
          <w:tcPr>
            <w:tcW w:w="340" w:type="dxa"/>
            <w:vAlign w:val="bottom"/>
          </w:tcPr>
          <w:p>
            <w:pPr>
              <w:spacing w:after="0"/>
              <w:rPr>
                <w:sz w:val="19"/>
                <w:szCs w:val="19"/>
                <w:color w:val="auto"/>
              </w:rPr>
            </w:pP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41,144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7"/>
              </w:rPr>
              <w:t>35,627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33,194</w:t>
            </w: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B2B Payments</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Enterprise Payments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3,674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4,046</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r>
      <w:tr>
        <w:trPr>
          <w:trHeight w:val="223"/>
        </w:trPr>
        <w:tc>
          <w:tcPr>
            <w:tcW w:w="6240" w:type="dxa"/>
            <w:vAlign w:val="bottom"/>
          </w:tcPr>
          <w:p>
            <w:pPr>
              <w:ind w:left="240"/>
              <w:spacing w:after="0"/>
              <w:rPr>
                <w:sz w:val="20"/>
                <w:szCs w:val="20"/>
                <w:color w:val="auto"/>
              </w:rPr>
            </w:pPr>
            <w:r>
              <w:rPr>
                <w:rFonts w:ascii="Arial" w:cs="Arial" w:eastAsia="Arial" w:hAnsi="Arial"/>
                <w:sz w:val="18"/>
                <w:szCs w:val="18"/>
                <w:b w:val="1"/>
                <w:bCs w:val="1"/>
                <w:color w:val="auto"/>
              </w:rPr>
              <w:t>Consolidated depreciation and amortization</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49,697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40,775</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39,092</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6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SMB Payments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37,897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30,936</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B2B Payments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(891)</w:t>
            </w: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Enterprise Payments</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r>
      <w:tr>
        <w:trPr>
          <w:trHeight w:val="230"/>
        </w:trPr>
        <w:tc>
          <w:tcPr>
            <w:tcW w:w="6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(19,858)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(24,888)</w:t>
            </w:r>
          </w:p>
        </w:tc>
      </w:tr>
      <w:tr>
        <w:trPr>
          <w:trHeight w:val="248"/>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Consolidated 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20,861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7,184</w:t>
            </w:r>
          </w:p>
        </w:tc>
      </w:tr>
      <w:tr>
        <w:trPr>
          <w:trHeight w:val="20"/>
        </w:trPr>
        <w:tc>
          <w:tcPr>
            <w:tcW w:w="7460" w:type="dxa"/>
            <w:vAlign w:val="bottom"/>
            <w:tcBorders>
              <w:top w:val="single" w:sz="8" w:color="CCEEFF"/>
            </w:tcBorders>
            <w:gridSpan w:val="3"/>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3"/>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10060" w:type="dxa"/>
            <w:vAlign w:val="bottom"/>
            <w:gridSpan w:val="12"/>
          </w:tcPr>
          <w:p>
            <w:pPr>
              <w:spacing w:after="0"/>
              <w:rPr>
                <w:sz w:val="20"/>
                <w:szCs w:val="20"/>
                <w:color w:val="auto"/>
              </w:rPr>
            </w:pPr>
            <w:r>
              <w:rPr>
                <w:rFonts w:ascii="Arial" w:cs="Arial" w:eastAsia="Arial" w:hAnsi="Arial"/>
                <w:sz w:val="18"/>
                <w:szCs w:val="18"/>
                <w:color w:val="auto"/>
                <w:w w:val="94"/>
              </w:rPr>
              <w:t>A reconciliation of total operating income of reportable segments to the Company's net (loss) income is provided in the following table:</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7"/>
        </w:trPr>
        <w:tc>
          <w:tcPr>
            <w:tcW w:w="62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9"/>
          </w:tcPr>
          <w:p>
            <w:pPr>
              <w:ind w:left="240"/>
              <w:spacing w:after="0"/>
              <w:rPr>
                <w:sz w:val="20"/>
                <w:szCs w:val="20"/>
                <w:color w:val="auto"/>
              </w:rPr>
            </w:pPr>
            <w:r>
              <w:rPr>
                <w:rFonts w:ascii="Arial" w:cs="Arial" w:eastAsia="Arial" w:hAnsi="Arial"/>
                <w:sz w:val="18"/>
                <w:szCs w:val="18"/>
                <w:b w:val="1"/>
                <w:bCs w:val="1"/>
                <w:color w:val="auto"/>
              </w:rPr>
              <w:t>Years Ended December 31,</w:t>
            </w: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223"/>
        </w:trPr>
        <w:tc>
          <w:tcPr>
            <w:tcW w:w="6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income of reportable segments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59,782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40,719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32,072</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Corporate</w:t>
            </w:r>
          </w:p>
        </w:tc>
        <w:tc>
          <w:tcPr>
            <w:tcW w:w="3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(26,689)</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(19,858)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(24,888)</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(36,485)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(44,839)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(40,653)</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Debt modification and extinguishment costs</w:t>
            </w:r>
          </w:p>
        </w:tc>
        <w:tc>
          <w:tcPr>
            <w:tcW w:w="3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(8,322)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business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107,239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710</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(10,899)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19"/>
                <w:szCs w:val="19"/>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71,059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(33,589)</w:t>
            </w:r>
          </w:p>
        </w:tc>
      </w:tr>
      <w:tr>
        <w:trPr>
          <w:trHeight w:val="20"/>
        </w:trPr>
        <w:tc>
          <w:tcPr>
            <w:tcW w:w="6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92" w:name="page93"/>
    <w:bookmarkEnd w:id="92"/>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(Loss) Earnings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computation of the Company's basic and diluted earnings (loss) per common share: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40" w:type="dxa"/>
            <w:vAlign w:val="bottom"/>
            <w:tcBorders>
              <w:bottom w:val="single" w:sz="8" w:color="auto"/>
            </w:tcBorders>
          </w:tcPr>
          <w:p>
            <w:pPr>
              <w:spacing w:after="0"/>
              <w:rPr>
                <w:sz w:val="20"/>
                <w:szCs w:val="20"/>
                <w:color w:val="auto"/>
              </w:rPr>
            </w:pPr>
          </w:p>
        </w:tc>
      </w:tr>
      <w:tr>
        <w:trPr>
          <w:trHeight w:val="223"/>
        </w:trPr>
        <w:tc>
          <w:tcPr>
            <w:tcW w:w="7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2019</w:t>
            </w:r>
          </w:p>
        </w:tc>
      </w:tr>
      <w:tr>
        <w:trPr>
          <w:trHeight w:val="20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1,389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71,059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(33,589)</w:t>
            </w:r>
          </w:p>
        </w:tc>
      </w:tr>
      <w:tr>
        <w:trPr>
          <w:trHeight w:val="229"/>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Dividends and accretion attributable to redeemable senior preferred stockholders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Less: Non-controlling interest preferred unit redemptions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Earnings attributable to non-controlling interests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color w:val="auto"/>
              </w:rPr>
              <w:t>Net (loss) income attributable to common stockholders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(24,641)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25,661</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(33,589)</w:t>
            </w: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6"/>
        </w:trPr>
        <w:tc>
          <w:tcPr>
            <w:tcW w:w="7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77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Weighted-average common shares outstanding</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67,086</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Basic (loss) earnings per common share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(0.34)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0.38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(0.50)</w:t>
            </w: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7700" w:type="dxa"/>
            <w:vAlign w:val="bottom"/>
          </w:tcPr>
          <w:p>
            <w:pPr>
              <w:ind w:left="140"/>
              <w:spacing w:after="0" w:line="230" w:lineRule="exact"/>
              <w:rPr>
                <w:sz w:val="20"/>
                <w:szCs w:val="20"/>
                <w:color w:val="auto"/>
              </w:rPr>
            </w:pPr>
            <w:r>
              <w:rPr>
                <w:rFonts w:ascii="Arial" w:cs="Arial" w:eastAsia="Arial" w:hAnsi="Arial"/>
                <w:sz w:val="18"/>
                <w:szCs w:val="18"/>
                <w:color w:val="auto"/>
              </w:rPr>
              <w:t>Weighted-average common shares outstanding</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71,902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67,158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67,086</w:t>
            </w:r>
          </w:p>
        </w:tc>
      </w:tr>
      <w:tr>
        <w:trPr>
          <w:trHeight w:val="230"/>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potentially dilutive common stock equivalents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Diluted weighted-average common shares outstanding</w:t>
            </w: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71,902</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67,263</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67,086</w:t>
            </w: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(loss) earnings per common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(0.50)</w:t>
            </w:r>
          </w:p>
        </w:tc>
      </w:tr>
    </w:tbl>
    <w:p>
      <w:pPr>
        <w:spacing w:after="0" w:line="296" w:lineRule="exact"/>
        <w:rPr>
          <w:sz w:val="20"/>
          <w:szCs w:val="20"/>
          <w:color w:val="auto"/>
        </w:rPr>
      </w:pPr>
    </w:p>
    <w:p>
      <w:pPr>
        <w:ind w:left="660" w:right="920" w:hanging="328"/>
        <w:spacing w:after="0" w:line="202" w:lineRule="auto"/>
        <w:tabs>
          <w:tab w:leader="none" w:pos="656" w:val="left"/>
        </w:tabs>
        <w:numPr>
          <w:ilvl w:val="0"/>
          <w:numId w:val="33"/>
        </w:numPr>
        <w:rPr>
          <w:rFonts w:ascii="Arial" w:cs="Arial" w:eastAsia="Arial" w:hAnsi="Arial"/>
          <w:sz w:val="18"/>
          <w:szCs w:val="18"/>
          <w:color w:val="0000FF"/>
        </w:rPr>
      </w:pPr>
      <w:hyperlink w:anchor="page79">
        <w:r>
          <w:rPr>
            <w:rFonts w:ascii="Arial" w:cs="Arial" w:eastAsia="Arial" w:hAnsi="Arial"/>
            <w:sz w:val="18"/>
            <w:szCs w:val="18"/>
            <w:color w:val="auto"/>
          </w:rPr>
          <w:t xml:space="preserve">The weighted-average common shares outstanding includes 1,803,841 warrants issued in the second quarter of 2021 (refer to </w:t>
        </w:r>
        <w:r>
          <w:rPr>
            <w:rFonts w:ascii="Arial" w:cs="Arial" w:eastAsia="Arial" w:hAnsi="Arial"/>
            <w:sz w:val="18"/>
            <w:szCs w:val="18"/>
            <w:u w:val="single" w:color="auto"/>
            <w:color w:val="0000FF"/>
          </w:rPr>
          <w:t>Note 12,</w:t>
        </w:r>
      </w:hyperlink>
      <w:r>
        <w:rPr>
          <w:rFonts w:ascii="Arial" w:cs="Arial" w:eastAsia="Arial" w:hAnsi="Arial"/>
          <w:sz w:val="18"/>
          <w:szCs w:val="18"/>
          <w:color w:val="auto"/>
        </w:rPr>
        <w:t xml:space="preserve"> </w:t>
      </w:r>
      <w:hyperlink w:anchor="page79">
        <w:r>
          <w:rPr>
            <w:rFonts w:ascii="Arial" w:cs="Arial" w:eastAsia="Arial" w:hAnsi="Arial"/>
            <w:sz w:val="18"/>
            <w:szCs w:val="18"/>
            <w:u w:val="single" w:color="auto"/>
            <w:color w:val="0000FF"/>
          </w:rPr>
          <w:t>Redeemable Senior Preferred Stock and Warrants</w:t>
        </w:r>
        <w:r>
          <w:rPr>
            <w:rFonts w:ascii="Arial" w:cs="Arial" w:eastAsia="Arial" w:hAnsi="Arial"/>
            <w:sz w:val="18"/>
            <w:szCs w:val="18"/>
            <w:color w:val="000000"/>
          </w:rPr>
          <w:t>)</w:t>
        </w:r>
        <w:r>
          <w:rPr>
            <w:rFonts w:ascii="Arial" w:cs="Arial" w:eastAsia="Arial" w:hAnsi="Arial"/>
            <w:sz w:val="18"/>
            <w:szCs w:val="18"/>
            <w:i w:val="1"/>
            <w:iCs w:val="1"/>
            <w:color w:val="000000"/>
          </w:rPr>
          <w:t>.</w:t>
        </w:r>
      </w:hyperlink>
    </w:p>
    <w:p>
      <w:pPr>
        <w:spacing w:after="0" w:line="203" w:lineRule="exact"/>
        <w:rPr>
          <w:rFonts w:ascii="Arial" w:cs="Arial" w:eastAsia="Arial" w:hAnsi="Arial"/>
          <w:sz w:val="28"/>
          <w:szCs w:val="28"/>
          <w:color w:val="auto"/>
          <w:vertAlign w:val="superscript"/>
        </w:rPr>
      </w:pPr>
    </w:p>
    <w:p>
      <w:pPr>
        <w:ind w:right="460"/>
        <w:spacing w:after="0" w:line="271" w:lineRule="auto"/>
        <w:rPr>
          <w:sz w:val="20"/>
          <w:szCs w:val="20"/>
          <w:color w:val="auto"/>
        </w:rPr>
      </w:pPr>
      <w:r>
        <w:rPr>
          <w:rFonts w:ascii="Arial" w:cs="Arial" w:eastAsia="Arial" w:hAnsi="Arial"/>
          <w:sz w:val="18"/>
          <w:szCs w:val="18"/>
          <w:color w:val="auto"/>
        </w:rPr>
        <w:t>Potentially anti-dilutive securities that were excluded from (loss) earnings per common share that could potentially be dilutive in future periods are as follows:</w:t>
      </w:r>
    </w:p>
    <w:p>
      <w:pPr>
        <w:spacing w:after="0" w:line="1" w:lineRule="exact"/>
        <w:rPr>
          <w:rFonts w:ascii="Arial" w:cs="Arial" w:eastAsia="Arial" w:hAnsi="Arial"/>
          <w:sz w:val="28"/>
          <w:szCs w:val="28"/>
          <w:color w:val="auto"/>
          <w:vertAlign w:val="superscript"/>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4720" w:type="dxa"/>
            <w:vAlign w:val="bottom"/>
            <w:tcBorders>
              <w:bottom w:val="single" w:sz="8" w:color="auto"/>
            </w:tcBorders>
            <w:gridSpan w:val="5"/>
          </w:tcPr>
          <w:p>
            <w:pPr>
              <w:jc w:val="right"/>
              <w:ind w:right="550"/>
              <w:spacing w:after="0"/>
              <w:rPr>
                <w:sz w:val="20"/>
                <w:szCs w:val="20"/>
                <w:color w:val="auto"/>
              </w:rPr>
            </w:pPr>
            <w:r>
              <w:rPr>
                <w:rFonts w:ascii="Arial" w:cs="Arial" w:eastAsia="Arial" w:hAnsi="Arial"/>
                <w:sz w:val="18"/>
                <w:szCs w:val="18"/>
                <w:b w:val="1"/>
                <w:bCs w:val="1"/>
                <w:color w:val="auto"/>
              </w:rPr>
              <w:t>Common Stock Equivalents at December 31,</w:t>
            </w:r>
          </w:p>
        </w:tc>
      </w:tr>
      <w:tr>
        <w:trPr>
          <w:trHeight w:val="223"/>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223"/>
        </w:trPr>
        <w:tc>
          <w:tcPr>
            <w:tcW w:w="65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Outstanding warrants on common stock</w:t>
            </w:r>
            <w:r>
              <w:rPr>
                <w:rFonts w:ascii="Arial" w:cs="Arial" w:eastAsia="Arial" w:hAnsi="Arial"/>
                <w:sz w:val="23"/>
                <w:szCs w:val="23"/>
                <w:color w:val="auto"/>
                <w:vertAlign w:val="superscript"/>
              </w:rPr>
              <w:t>(1)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w:t>
            </w:r>
          </w:p>
        </w:tc>
      </w:tr>
      <w:tr>
        <w:trPr>
          <w:trHeight w:val="230"/>
        </w:trPr>
        <w:tc>
          <w:tcPr>
            <w:tcW w:w="6520" w:type="dxa"/>
            <w:vAlign w:val="bottom"/>
          </w:tcPr>
          <w:p>
            <w:pPr>
              <w:ind w:left="20"/>
              <w:spacing w:after="0" w:line="230" w:lineRule="exact"/>
              <w:rPr>
                <w:sz w:val="20"/>
                <w:szCs w:val="20"/>
                <w:color w:val="auto"/>
              </w:rPr>
            </w:pPr>
            <w:r>
              <w:rPr>
                <w:rFonts w:ascii="Arial" w:cs="Arial" w:eastAsia="Arial" w:hAnsi="Arial"/>
                <w:sz w:val="18"/>
                <w:szCs w:val="18"/>
                <w:color w:val="auto"/>
              </w:rPr>
              <w:t>Outstanding options and warrants issued to adviser</w:t>
            </w:r>
            <w:r>
              <w:rPr>
                <w:rFonts w:ascii="Arial" w:cs="Arial" w:eastAsia="Arial" w:hAnsi="Arial"/>
                <w:sz w:val="23"/>
                <w:szCs w:val="23"/>
                <w:color w:val="auto"/>
                <w:vertAlign w:val="superscript"/>
              </w:rPr>
              <w:t>(2)</w:t>
            </w:r>
          </w:p>
        </w:tc>
        <w:tc>
          <w:tcPr>
            <w:tcW w:w="150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6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Restricted stock awards</w:t>
            </w:r>
            <w:r>
              <w:rPr>
                <w:rFonts w:ascii="Arial" w:cs="Arial" w:eastAsia="Arial" w:hAnsi="Arial"/>
                <w:sz w:val="23"/>
                <w:szCs w:val="23"/>
                <w:color w:val="auto"/>
                <w:vertAlign w:val="superscript"/>
              </w:rPr>
              <w:t>(3)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Liability-classified restricted stock units</w:t>
            </w:r>
          </w:p>
        </w:tc>
        <w:tc>
          <w:tcPr>
            <w:tcW w:w="150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Outstanding stock option awards</w:t>
            </w:r>
            <w:r>
              <w:rPr>
                <w:rFonts w:ascii="Arial" w:cs="Arial" w:eastAsia="Arial" w:hAnsi="Arial"/>
                <w:sz w:val="23"/>
                <w:szCs w:val="23"/>
                <w:color w:val="auto"/>
                <w:vertAlign w:val="superscript"/>
              </w:rPr>
              <w:t>(3)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r>
      <w:tr>
        <w:trPr>
          <w:trHeight w:val="223"/>
        </w:trPr>
        <w:tc>
          <w:tcPr>
            <w:tcW w:w="652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6,040</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6,049</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5,992</w:t>
            </w:r>
          </w:p>
        </w:tc>
      </w:tr>
      <w:tr>
        <w:trPr>
          <w:trHeight w:val="20"/>
        </w:trPr>
        <w:tc>
          <w:tcPr>
            <w:tcW w:w="65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49" w:lineRule="exact"/>
        <w:rPr>
          <w:rFonts w:ascii="Arial" w:cs="Arial" w:eastAsia="Arial" w:hAnsi="Arial"/>
          <w:sz w:val="28"/>
          <w:szCs w:val="28"/>
          <w:color w:val="auto"/>
          <w:vertAlign w:val="superscript"/>
        </w:rPr>
      </w:pPr>
    </w:p>
    <w:p>
      <w:pPr>
        <w:ind w:left="640" w:hanging="30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warrants are exercisable at $11.50 per share and expire on August 24, 2023. Refer to </w:t>
      </w:r>
      <w:hyperlink w:anchor="page86">
        <w:r>
          <w:rPr>
            <w:rFonts w:ascii="Arial" w:cs="Arial" w:eastAsia="Arial" w:hAnsi="Arial"/>
            <w:sz w:val="18"/>
            <w:szCs w:val="18"/>
            <w:u w:val="single" w:color="auto"/>
            <w:color w:val="0000FF"/>
          </w:rPr>
          <w:t>Note 16. Stockholders' Deficit</w:t>
        </w:r>
      </w:hyperlink>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40" w:hanging="308"/>
        <w:spacing w:after="0" w:line="194"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warrants and options are exercisable at $12.00 per share and expire on August 24, 2023. Refer </w:t>
      </w:r>
      <w:hyperlink w:anchor="page86">
        <w:r>
          <w:rPr>
            <w:rFonts w:ascii="Arial" w:cs="Arial" w:eastAsia="Arial" w:hAnsi="Arial"/>
            <w:sz w:val="18"/>
            <w:szCs w:val="18"/>
            <w:u w:val="single" w:color="auto"/>
            <w:color w:val="0000FF"/>
          </w:rPr>
          <w:t>Note 16. Stockholders' Deficit</w:t>
        </w:r>
      </w:hyperlink>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640" w:hanging="308"/>
        <w:spacing w:after="0" w:line="194" w:lineRule="auto"/>
        <w:tabs>
          <w:tab w:leader="none" w:pos="64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Granted under the 2018 Equity Incentive Plan.</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304" w:lineRule="exact"/>
        <w:rPr>
          <w:rFonts w:ascii="Arial" w:cs="Arial" w:eastAsia="Arial" w:hAnsi="Arial"/>
          <w:sz w:val="23"/>
          <w:szCs w:val="23"/>
          <w:color w:val="auto"/>
          <w:vertAlign w:val="superscript"/>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rFonts w:ascii="Arial" w:cs="Arial" w:eastAsia="Arial" w:hAnsi="Arial"/>
          <w:sz w:val="23"/>
          <w:szCs w:val="23"/>
          <w:color w:val="auto"/>
          <w:vertAlign w:val="superscript"/>
        </w:rPr>
      </w:pPr>
      <w:r>
        <w:rPr>
          <w:rFonts w:ascii="Arial" w:cs="Arial" w:eastAsia="Arial" w:hAnsi="Arial"/>
          <w:sz w:val="23"/>
          <w:szCs w:val="23"/>
          <w:color w:val="auto"/>
          <w:vertAlign w:val="superscript"/>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and 15d-15(e) of the Securities Exchange Act of 1934 (the "Exchange Act"), designed to provide reasonable assurance that information required to be disclosed by the Company in reports that it files or submits under the Exchange Act is recorded, processed, summarized or reported within the time periods specified in SEC rules and regulations and that such information is accumulated and communicated to our management, including our principal executive officer (CEO) and chief financial officer ("CFO") and, as appropriate, to allow timely decisions regarding required disclosures.</w:t>
      </w:r>
    </w:p>
    <w:p>
      <w:pPr>
        <w:spacing w:after="0" w:line="188"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Management, with the participation of the CEO and CFO, has evaluated the effectiveness of the Company's disclosure controls and procedures as of December 31, 2021. Based on that evaluation, the Company's CEO and CFO concluded that the Company's disclosure controls and procedures were effective as of December 31, 2021.</w:t>
      </w:r>
    </w:p>
    <w:p>
      <w:pPr>
        <w:spacing w:after="0" w:line="184" w:lineRule="exact"/>
        <w:rPr>
          <w:sz w:val="20"/>
          <w:szCs w:val="20"/>
          <w:color w:val="auto"/>
        </w:rPr>
      </w:pPr>
    </w:p>
    <w:p>
      <w:pPr>
        <w:ind w:left="700" w:hanging="692"/>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Report of Management on Internal Control over Financial Reporting</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Securities Exchange Act of 1934. Our internal control over financial reporting is a process designed to provide reasonable assurance regarding the reliability of financial reporting and the preparation of financial statements for external purposes in accordance with GAAP. The Company's internal control over financial reporting includes those policies and procedures that:</w:t>
      </w:r>
    </w:p>
    <w:p>
      <w:pPr>
        <w:spacing w:after="0" w:line="187" w:lineRule="exact"/>
        <w:rPr>
          <w:sz w:val="20"/>
          <w:szCs w:val="20"/>
          <w:color w:val="auto"/>
        </w:rPr>
      </w:pPr>
    </w:p>
    <w:p>
      <w:pPr>
        <w:ind w:left="220" w:hanging="212"/>
        <w:spacing w:after="0"/>
        <w:tabs>
          <w:tab w:leader="none" w:pos="2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pertain to maintenance of records that, in reasonable detail, accurately and fairly reflect the transactions and disposition of the Company's assets;</w:t>
      </w:r>
    </w:p>
    <w:p>
      <w:pPr>
        <w:spacing w:after="0" w:line="236" w:lineRule="exact"/>
        <w:rPr>
          <w:rFonts w:ascii="Arial" w:cs="Arial" w:eastAsia="Arial" w:hAnsi="Arial"/>
          <w:sz w:val="17"/>
          <w:szCs w:val="17"/>
          <w:color w:val="auto"/>
        </w:rPr>
      </w:pPr>
    </w:p>
    <w:p>
      <w:pPr>
        <w:ind w:right="260" w:firstLine="8"/>
        <w:spacing w:after="0" w:line="342" w:lineRule="auto"/>
        <w:tabs>
          <w:tab w:leader="none" w:pos="265"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receipts and expenditures of the Company are made only in accordance with authorizations of the Company's management and directors; and</w:t>
      </w:r>
    </w:p>
    <w:p>
      <w:pPr>
        <w:spacing w:after="0" w:line="123" w:lineRule="exact"/>
        <w:rPr>
          <w:rFonts w:ascii="Arial" w:cs="Arial" w:eastAsia="Arial" w:hAnsi="Arial"/>
          <w:sz w:val="16"/>
          <w:szCs w:val="16"/>
          <w:color w:val="auto"/>
        </w:rPr>
      </w:pPr>
    </w:p>
    <w:p>
      <w:pPr>
        <w:ind w:right="400" w:firstLine="8"/>
        <w:spacing w:after="0" w:line="277" w:lineRule="auto"/>
        <w:tabs>
          <w:tab w:leader="none" w:pos="3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all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2021. In making this assessment, management used the criteria set forth by the Committee of Sponsoring Organizations of the Treadway Commission (COSO) the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Based on this assessment, management determined that the Company maintained effective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as of December 31, 2021.</w:t>
      </w:r>
    </w:p>
    <w:p>
      <w:pPr>
        <w:spacing w:after="0" w:line="187" w:lineRule="exact"/>
        <w:rPr>
          <w:sz w:val="20"/>
          <w:szCs w:val="20"/>
          <w:color w:val="auto"/>
        </w:rPr>
      </w:pPr>
    </w:p>
    <w:p>
      <w:pPr>
        <w:ind w:right="5540" w:firstLine="8"/>
        <w:spacing w:after="0" w:line="573" w:lineRule="auto"/>
        <w:tabs>
          <w:tab w:leader="none" w:pos="645" w:val="left"/>
        </w:tabs>
        <w:numPr>
          <w:ilvl w:val="0"/>
          <w:numId w:val="38"/>
        </w:numPr>
        <w:rPr>
          <w:rFonts w:ascii="Arial" w:cs="Arial" w:eastAsia="Arial" w:hAnsi="Arial"/>
          <w:sz w:val="17"/>
          <w:szCs w:val="17"/>
          <w:color w:val="auto"/>
        </w:rPr>
      </w:pPr>
      <w:r>
        <w:rPr>
          <w:rFonts w:ascii="Arial" w:cs="Arial" w:eastAsia="Arial" w:hAnsi="Arial"/>
          <w:sz w:val="17"/>
          <w:szCs w:val="17"/>
          <w:color w:val="auto"/>
        </w:rPr>
        <w:t>Attestation Report of Independent Registered Public Accounting Firm Not applicable due to the Company's status as a non-accelerated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4" w:name="page95"/>
    <w:bookmarkEnd w:id="94"/>
    <w:p>
      <w:pPr>
        <w:ind w:left="640" w:hanging="632"/>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during the fourth quarter of 2021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21" w:right="699" w:bottom="1440" w:gutter="0" w:footer="0" w:header="0"/>
        </w:sectPr>
      </w:pPr>
    </w:p>
    <w:bookmarkStart w:id="95" w:name="page96"/>
    <w:bookmarkEnd w:id="95"/>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called for by Item 10 is incorporated herein by reference to the definitive proxy statement relating to the Company's 2022 Annual Meeting of Stockholders. We intend to file such definitive proxy statement with the SEC pursuant to Regulation 14A within 120 days of the end of the fiscal year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Item 11 is incorporated herein by reference to the definitive proxy statement referenced above in Item 10.</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Item 12 is incorporated herein by reference to the definitive proxy statement referenced above in Item 10.</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Item 13 is incorporated herein by reference to the definitive proxy statement referenced above in Item 10.</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Item 14 is incorporated herein by reference to the definitive proxy statement referenced above in Item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96" w:name="page97"/>
    <w:bookmarkEnd w:id="96"/>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229" w:lineRule="exact"/>
        <w:rPr>
          <w:sz w:val="20"/>
          <w:szCs w:val="20"/>
          <w:color w:val="auto"/>
        </w:rPr>
      </w:pPr>
    </w:p>
    <w:p>
      <w:pPr>
        <w:ind w:right="40" w:firstLine="8"/>
        <w:spacing w:after="0" w:line="273" w:lineRule="auto"/>
        <w:tabs>
          <w:tab w:leader="none" w:pos="2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(1) Our consolidated financial statements listed below are set forth in "</w:t>
      </w:r>
      <w:hyperlink w:anchor="page39">
        <w:r>
          <w:rPr>
            <w:rFonts w:ascii="Arial" w:cs="Arial" w:eastAsia="Arial" w:hAnsi="Arial"/>
            <w:sz w:val="18"/>
            <w:szCs w:val="18"/>
            <w:u w:val="single" w:color="auto"/>
            <w:color w:val="0000FF"/>
          </w:rPr>
          <w:t>Item 8 - Financial Statements and Supplementary Data</w:t>
        </w:r>
      </w:hyperlink>
      <w:r>
        <w:rPr>
          <w:rFonts w:ascii="Arial" w:cs="Arial" w:eastAsia="Arial" w:hAnsi="Arial"/>
          <w:sz w:val="18"/>
          <w:szCs w:val="18"/>
          <w:color w:val="auto"/>
        </w:rPr>
        <w:t>" of this Annual Report on Form 10-K:</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32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357"/>
        </w:trPr>
        <w:tc>
          <w:tcPr>
            <w:tcW w:w="10520" w:type="dxa"/>
            <w:vAlign w:val="bottom"/>
            <w:gridSpan w:val="3"/>
          </w:tcPr>
          <w:p>
            <w:pPr>
              <w:ind w:left="20"/>
              <w:spacing w:after="0"/>
              <w:rPr>
                <w:rFonts w:ascii="Arial" w:cs="Arial" w:eastAsia="Arial" w:hAnsi="Arial"/>
                <w:sz w:val="18"/>
                <w:szCs w:val="18"/>
                <w:color w:val="0000FF"/>
              </w:rPr>
            </w:pPr>
            <w:hyperlink w:anchor="page40">
              <w:r>
                <w:rPr>
                  <w:rFonts w:ascii="Arial" w:cs="Arial" w:eastAsia="Arial" w:hAnsi="Arial"/>
                  <w:sz w:val="18"/>
                  <w:szCs w:val="18"/>
                  <w:color w:val="0000FF"/>
                </w:rPr>
                <w:t>Report of Independent Registered Public Accounting Firm (</w:t>
              </w:r>
            </w:hyperlink>
            <w:r>
              <w:rPr>
                <w:rFonts w:ascii="Arial" w:cs="Arial" w:eastAsia="Arial" w:hAnsi="Arial"/>
                <w:sz w:val="18"/>
                <w:szCs w:val="18"/>
                <w:color w:val="000000"/>
              </w:rPr>
              <w:t>EY</w:t>
            </w:r>
            <w:r>
              <w:rPr>
                <w:rFonts w:ascii="Arial" w:cs="Arial" w:eastAsia="Arial" w:hAnsi="Arial"/>
                <w:sz w:val="18"/>
                <w:szCs w:val="18"/>
                <w:color w:val="0000FF"/>
              </w:rPr>
              <w:t xml:space="preserve"> </w:t>
            </w:r>
            <w:hyperlink w:anchor="page40">
              <w:r>
                <w:rPr>
                  <w:rFonts w:ascii="Arial" w:cs="Arial" w:eastAsia="Arial" w:hAnsi="Arial"/>
                  <w:sz w:val="18"/>
                  <w:szCs w:val="18"/>
                  <w:color w:val="0000FF"/>
                </w:rPr>
                <w:t xml:space="preserve">PCAOB ID: </w:t>
              </w:r>
            </w:hyperlink>
            <w:r>
              <w:rPr>
                <w:rFonts w:ascii="Arial" w:cs="Arial" w:eastAsia="Arial" w:hAnsi="Arial"/>
                <w:sz w:val="18"/>
                <w:szCs w:val="18"/>
                <w:color w:val="000000"/>
              </w:rPr>
              <w:t>42</w:t>
            </w:r>
            <w:hyperlink w:anchor="page40">
              <w:r>
                <w:rPr>
                  <w:rFonts w:ascii="Arial" w:cs="Arial" w:eastAsia="Arial" w:hAnsi="Arial"/>
                  <w:sz w:val="18"/>
                  <w:szCs w:val="18"/>
                  <w:color w:val="0000FF"/>
                </w:rPr>
                <w:t>)</w:t>
              </w:r>
            </w:hyperlink>
          </w:p>
        </w:tc>
        <w:tc>
          <w:tcPr>
            <w:tcW w:w="720" w:type="dxa"/>
            <w:vAlign w:val="bottom"/>
          </w:tcPr>
          <w:p>
            <w:pPr>
              <w:jc w:val="cente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38</w:t>
              </w:r>
            </w:hyperlink>
          </w:p>
        </w:tc>
      </w:tr>
      <w:tr>
        <w:trPr>
          <w:trHeight w:val="230"/>
        </w:trPr>
        <w:tc>
          <w:tcPr>
            <w:tcW w:w="10520" w:type="dxa"/>
            <w:vAlign w:val="bottom"/>
            <w:gridSpan w:val="3"/>
          </w:tcPr>
          <w:p>
            <w:pPr>
              <w:ind w:left="20"/>
              <w:spacing w:after="0"/>
              <w:rPr>
                <w:rFonts w:ascii="Arial" w:cs="Arial" w:eastAsia="Arial" w:hAnsi="Arial"/>
                <w:sz w:val="18"/>
                <w:szCs w:val="18"/>
                <w:color w:val="0000FF"/>
              </w:rPr>
            </w:pPr>
            <w:hyperlink w:anchor="page40">
              <w:r>
                <w:rPr>
                  <w:rFonts w:ascii="Arial" w:cs="Arial" w:eastAsia="Arial" w:hAnsi="Arial"/>
                  <w:sz w:val="18"/>
                  <w:szCs w:val="18"/>
                  <w:color w:val="0000FF"/>
                </w:rPr>
                <w:t>Report of Independent Registered Public Accounting Firm (</w:t>
              </w:r>
            </w:hyperlink>
            <w:r>
              <w:rPr>
                <w:rFonts w:ascii="Arial" w:cs="Arial" w:eastAsia="Arial" w:hAnsi="Arial"/>
                <w:sz w:val="18"/>
                <w:szCs w:val="18"/>
                <w:color w:val="000000"/>
              </w:rPr>
              <w:t>RSM</w:t>
            </w:r>
            <w:r>
              <w:rPr>
                <w:rFonts w:ascii="Arial" w:cs="Arial" w:eastAsia="Arial" w:hAnsi="Arial"/>
                <w:sz w:val="18"/>
                <w:szCs w:val="18"/>
                <w:color w:val="0000FF"/>
              </w:rPr>
              <w:t xml:space="preserve"> </w:t>
            </w:r>
            <w:hyperlink w:anchor="page40">
              <w:r>
                <w:rPr>
                  <w:rFonts w:ascii="Arial" w:cs="Arial" w:eastAsia="Arial" w:hAnsi="Arial"/>
                  <w:sz w:val="18"/>
                  <w:szCs w:val="18"/>
                  <w:color w:val="0000FF"/>
                </w:rPr>
                <w:t xml:space="preserve">PCAOB ID: </w:t>
              </w:r>
            </w:hyperlink>
            <w:r>
              <w:rPr>
                <w:rFonts w:ascii="Arial" w:cs="Arial" w:eastAsia="Arial" w:hAnsi="Arial"/>
                <w:sz w:val="18"/>
                <w:szCs w:val="18"/>
                <w:color w:val="000000"/>
              </w:rPr>
              <w:t>49</w:t>
            </w:r>
            <w:hyperlink w:anchor="page40">
              <w:r>
                <w:rPr>
                  <w:rFonts w:ascii="Arial" w:cs="Arial" w:eastAsia="Arial" w:hAnsi="Arial"/>
                  <w:sz w:val="18"/>
                  <w:szCs w:val="18"/>
                  <w:color w:val="0000FF"/>
                </w:rPr>
                <w:t>)</w:t>
              </w:r>
            </w:hyperlink>
          </w:p>
        </w:tc>
        <w:tc>
          <w:tcPr>
            <w:tcW w:w="720" w:type="dxa"/>
            <w:vAlign w:val="bottom"/>
          </w:tcPr>
          <w:p>
            <w:pPr>
              <w:jc w:val="cente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38</w:t>
              </w:r>
            </w:hyperlink>
          </w:p>
        </w:tc>
      </w:tr>
      <w:tr>
        <w:trPr>
          <w:trHeight w:val="229"/>
        </w:trPr>
        <w:tc>
          <w:tcPr>
            <w:tcW w:w="10520" w:type="dxa"/>
            <w:vAlign w:val="bottom"/>
            <w:gridSpan w:val="3"/>
          </w:tcPr>
          <w:p>
            <w:pPr>
              <w:ind w:left="20"/>
              <w:spacing w:after="0"/>
              <w:rPr>
                <w:rFonts w:ascii="Arial" w:cs="Arial" w:eastAsia="Arial" w:hAnsi="Arial"/>
                <w:sz w:val="18"/>
                <w:szCs w:val="18"/>
                <w:color w:val="0000FF"/>
              </w:rPr>
            </w:pPr>
            <w:hyperlink w:anchor="page43">
              <w:r>
                <w:rPr>
                  <w:rFonts w:ascii="Arial" w:cs="Arial" w:eastAsia="Arial" w:hAnsi="Arial"/>
                  <w:sz w:val="18"/>
                  <w:szCs w:val="18"/>
                  <w:color w:val="0000FF"/>
                </w:rPr>
                <w:t>Consolidated Balance Sheets as of December 31, 2021 and December 31, 2020</w:t>
              </w:r>
            </w:hyperlink>
          </w:p>
        </w:tc>
        <w:tc>
          <w:tcPr>
            <w:tcW w:w="720" w:type="dxa"/>
            <w:vAlign w:val="bottom"/>
          </w:tcPr>
          <w:p>
            <w:pPr>
              <w:jc w:val="center"/>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41</w:t>
              </w:r>
            </w:hyperlink>
          </w:p>
        </w:tc>
      </w:tr>
      <w:tr>
        <w:trPr>
          <w:trHeight w:val="229"/>
        </w:trPr>
        <w:tc>
          <w:tcPr>
            <w:tcW w:w="10520" w:type="dxa"/>
            <w:vAlign w:val="bottom"/>
            <w:gridSpan w:val="3"/>
          </w:tcPr>
          <w:p>
            <w:pPr>
              <w:ind w:left="20"/>
              <w:spacing w:after="0"/>
              <w:rPr>
                <w:rFonts w:ascii="Arial" w:cs="Arial" w:eastAsia="Arial" w:hAnsi="Arial"/>
                <w:sz w:val="18"/>
                <w:szCs w:val="18"/>
                <w:color w:val="0000FF"/>
              </w:rPr>
            </w:pPr>
            <w:hyperlink w:anchor="page45">
              <w:r>
                <w:rPr>
                  <w:rFonts w:ascii="Arial" w:cs="Arial" w:eastAsia="Arial" w:hAnsi="Arial"/>
                  <w:sz w:val="18"/>
                  <w:szCs w:val="18"/>
                  <w:color w:val="0000FF"/>
                </w:rPr>
                <w:t>Consolidated Statements of Operations for the Years Ended December 31, 2021, 2020 and 2019</w:t>
              </w:r>
            </w:hyperlink>
          </w:p>
        </w:tc>
        <w:tc>
          <w:tcPr>
            <w:tcW w:w="720" w:type="dxa"/>
            <w:vAlign w:val="bottom"/>
          </w:tcPr>
          <w:p>
            <w:pPr>
              <w:jc w:val="cente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42</w:t>
              </w:r>
            </w:hyperlink>
          </w:p>
        </w:tc>
      </w:tr>
      <w:tr>
        <w:trPr>
          <w:trHeight w:val="230"/>
        </w:trPr>
        <w:tc>
          <w:tcPr>
            <w:tcW w:w="10520" w:type="dxa"/>
            <w:vAlign w:val="bottom"/>
            <w:gridSpan w:val="3"/>
          </w:tcPr>
          <w:p>
            <w:pPr>
              <w:ind w:left="20"/>
              <w:spacing w:after="0"/>
              <w:rPr>
                <w:rFonts w:ascii="Arial" w:cs="Arial" w:eastAsia="Arial" w:hAnsi="Arial"/>
                <w:sz w:val="18"/>
                <w:szCs w:val="18"/>
                <w:color w:val="0000FF"/>
              </w:rPr>
            </w:pPr>
            <w:hyperlink w:anchor="page45">
              <w:r>
                <w:rPr>
                  <w:rFonts w:ascii="Arial" w:cs="Arial" w:eastAsia="Arial" w:hAnsi="Arial"/>
                  <w:sz w:val="18"/>
                  <w:szCs w:val="18"/>
                  <w:color w:val="0000FF"/>
                </w:rPr>
                <w:t>Consolidated Statements of Changes in Stockholders' Deficit for the Years Ended December 31, 2021, 2020 and 2019</w:t>
              </w:r>
            </w:hyperlink>
          </w:p>
        </w:tc>
        <w:tc>
          <w:tcPr>
            <w:tcW w:w="720" w:type="dxa"/>
            <w:vAlign w:val="bottom"/>
          </w:tcPr>
          <w:p>
            <w:pPr>
              <w:jc w:val="cente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43</w:t>
              </w:r>
            </w:hyperlink>
          </w:p>
        </w:tc>
      </w:tr>
      <w:tr>
        <w:trPr>
          <w:trHeight w:val="229"/>
        </w:trPr>
        <w:tc>
          <w:tcPr>
            <w:tcW w:w="10520" w:type="dxa"/>
            <w:vAlign w:val="bottom"/>
            <w:gridSpan w:val="3"/>
          </w:tcPr>
          <w:p>
            <w:pPr>
              <w:ind w:left="20"/>
              <w:spacing w:after="0"/>
              <w:rPr>
                <w:rFonts w:ascii="Arial" w:cs="Arial" w:eastAsia="Arial" w:hAnsi="Arial"/>
                <w:sz w:val="18"/>
                <w:szCs w:val="18"/>
                <w:color w:val="0000FF"/>
              </w:rPr>
            </w:pPr>
            <w:hyperlink w:anchor="page47">
              <w:r>
                <w:rPr>
                  <w:rFonts w:ascii="Arial" w:cs="Arial" w:eastAsia="Arial" w:hAnsi="Arial"/>
                  <w:sz w:val="18"/>
                  <w:szCs w:val="18"/>
                  <w:color w:val="0000FF"/>
                </w:rPr>
                <w:t>Consolidated Statements of Cash Flows for the Years Ended December 31, 2021, 2020 and 2019</w:t>
              </w:r>
            </w:hyperlink>
          </w:p>
        </w:tc>
        <w:tc>
          <w:tcPr>
            <w:tcW w:w="720" w:type="dxa"/>
            <w:vAlign w:val="bottom"/>
          </w:tcPr>
          <w:p>
            <w:pPr>
              <w:jc w:val="center"/>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45</w:t>
              </w:r>
            </w:hyperlink>
          </w:p>
        </w:tc>
      </w:tr>
      <w:tr>
        <w:trPr>
          <w:trHeight w:val="230"/>
        </w:trPr>
        <w:tc>
          <w:tcPr>
            <w:tcW w:w="10520" w:type="dxa"/>
            <w:vAlign w:val="bottom"/>
            <w:gridSpan w:val="3"/>
          </w:tcPr>
          <w:p>
            <w:pPr>
              <w:ind w:left="20"/>
              <w:spacing w:after="0"/>
              <w:rPr>
                <w:rFonts w:ascii="Arial" w:cs="Arial" w:eastAsia="Arial" w:hAnsi="Arial"/>
                <w:sz w:val="18"/>
                <w:szCs w:val="18"/>
                <w:color w:val="0000FF"/>
              </w:rPr>
            </w:pPr>
            <w:hyperlink w:anchor="page49">
              <w:r>
                <w:rPr>
                  <w:rFonts w:ascii="Arial" w:cs="Arial" w:eastAsia="Arial" w:hAnsi="Arial"/>
                  <w:sz w:val="18"/>
                  <w:szCs w:val="18"/>
                  <w:color w:val="0000FF"/>
                </w:rPr>
                <w:t>Notes to the Consolidated Financial Statements</w:t>
              </w:r>
            </w:hyperlink>
          </w:p>
        </w:tc>
        <w:tc>
          <w:tcPr>
            <w:tcW w:w="720" w:type="dxa"/>
            <w:vAlign w:val="bottom"/>
          </w:tcPr>
          <w:p>
            <w:pPr>
              <w:jc w:val="cente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47</w:t>
              </w:r>
            </w:hyperlink>
          </w:p>
        </w:tc>
      </w:tr>
      <w:tr>
        <w:trPr>
          <w:trHeight w:val="743"/>
        </w:trPr>
        <w:tc>
          <w:tcPr>
            <w:tcW w:w="10520" w:type="dxa"/>
            <w:vAlign w:val="bottom"/>
            <w:gridSpan w:val="3"/>
          </w:tcPr>
          <w:p>
            <w:pPr>
              <w:spacing w:after="0"/>
              <w:rPr>
                <w:sz w:val="20"/>
                <w:szCs w:val="20"/>
                <w:color w:val="auto"/>
              </w:rPr>
            </w:pPr>
            <w:r>
              <w:rPr>
                <w:rFonts w:ascii="Arial" w:cs="Arial" w:eastAsia="Arial" w:hAnsi="Arial"/>
                <w:sz w:val="18"/>
                <w:szCs w:val="18"/>
                <w:color w:val="auto"/>
              </w:rPr>
              <w:t>(2) Financial Statement Schedule</w:t>
            </w:r>
          </w:p>
        </w:tc>
        <w:tc>
          <w:tcPr>
            <w:tcW w:w="720" w:type="dxa"/>
            <w:vAlign w:val="bottom"/>
          </w:tcPr>
          <w:p>
            <w:pPr>
              <w:spacing w:after="0"/>
              <w:rPr>
                <w:sz w:val="24"/>
                <w:szCs w:val="24"/>
                <w:color w:val="auto"/>
              </w:rPr>
            </w:pPr>
          </w:p>
        </w:tc>
      </w:tr>
      <w:tr>
        <w:trPr>
          <w:trHeight w:val="432"/>
        </w:trPr>
        <w:tc>
          <w:tcPr>
            <w:tcW w:w="120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9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32"/>
        </w:trPr>
        <w:tc>
          <w:tcPr>
            <w:tcW w:w="1200" w:type="dxa"/>
            <w:vAlign w:val="bottom"/>
            <w:gridSpan w:val="2"/>
          </w:tcPr>
          <w:p>
            <w:pPr>
              <w:spacing w:after="0"/>
              <w:rPr>
                <w:sz w:val="20"/>
                <w:szCs w:val="20"/>
                <w:color w:val="auto"/>
              </w:rPr>
            </w:pPr>
            <w:r>
              <w:rPr>
                <w:rFonts w:ascii="Arial" w:cs="Arial" w:eastAsia="Arial" w:hAnsi="Arial"/>
                <w:sz w:val="18"/>
                <w:szCs w:val="18"/>
                <w:color w:val="auto"/>
              </w:rPr>
              <w:t>(b) Exhibits</w:t>
            </w:r>
          </w:p>
        </w:tc>
        <w:tc>
          <w:tcPr>
            <w:tcW w:w="9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73"/>
        </w:trPr>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932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c>
          <w:tcPr>
            <w:tcW w:w="720" w:type="dxa"/>
            <w:vAlign w:val="bottom"/>
          </w:tcPr>
          <w:p>
            <w:pPr>
              <w:spacing w:after="0"/>
              <w:rPr>
                <w:sz w:val="24"/>
                <w:szCs w:val="24"/>
                <w:color w:val="auto"/>
              </w:rPr>
            </w:pPr>
          </w:p>
        </w:tc>
      </w:tr>
      <w:tr>
        <w:trPr>
          <w:trHeight w:val="169"/>
        </w:trPr>
        <w:tc>
          <w:tcPr>
            <w:tcW w:w="1100" w:type="dxa"/>
            <w:vAlign w:val="bottom"/>
            <w:tcBorders>
              <w:top w:val="single" w:sz="8" w:color="auto"/>
            </w:tcBorders>
            <w:shd w:val="clear" w:color="auto" w:fill="CCEEFF"/>
          </w:tcPr>
          <w:p>
            <w:pPr>
              <w:ind w:left="20"/>
              <w:spacing w:after="0" w:line="169" w:lineRule="exact"/>
              <w:rPr>
                <w:rFonts w:ascii="Arial" w:cs="Arial" w:eastAsia="Arial" w:hAnsi="Arial"/>
                <w:sz w:val="18"/>
                <w:szCs w:val="18"/>
                <w:color w:val="0000FF"/>
              </w:rPr>
            </w:pPr>
            <w:hyperlink r:id="rId141">
              <w:r>
                <w:rPr>
                  <w:rFonts w:ascii="Arial" w:cs="Arial" w:eastAsia="Arial" w:hAnsi="Arial"/>
                  <w:sz w:val="18"/>
                  <w:szCs w:val="18"/>
                  <w:color w:val="0000FF"/>
                </w:rPr>
                <w:t>2.1</w:t>
              </w:r>
            </w:hyperlink>
          </w:p>
        </w:tc>
        <w:tc>
          <w:tcPr>
            <w:tcW w:w="100" w:type="dxa"/>
            <w:vAlign w:val="bottom"/>
            <w:tcBorders>
              <w:top w:val="single" w:sz="8" w:color="CCEEFF"/>
            </w:tcBorders>
            <w:shd w:val="clear" w:color="auto" w:fill="CCEEFF"/>
          </w:tcPr>
          <w:p>
            <w:pPr>
              <w:spacing w:after="0"/>
              <w:rPr>
                <w:sz w:val="14"/>
                <w:szCs w:val="14"/>
                <w:color w:val="auto"/>
              </w:rPr>
            </w:pPr>
          </w:p>
        </w:tc>
        <w:tc>
          <w:tcPr>
            <w:tcW w:w="10040" w:type="dxa"/>
            <w:vAlign w:val="bottom"/>
            <w:tcBorders>
              <w:top w:val="single" w:sz="8" w:color="auto"/>
            </w:tcBorders>
            <w:gridSpan w:val="2"/>
            <w:shd w:val="clear" w:color="auto" w:fill="CCEEFF"/>
          </w:tcPr>
          <w:p>
            <w:pPr>
              <w:ind w:left="20"/>
              <w:spacing w:after="0" w:line="169" w:lineRule="exact"/>
              <w:rPr>
                <w:rFonts w:ascii="Arial" w:cs="Arial" w:eastAsia="Arial" w:hAnsi="Arial"/>
                <w:sz w:val="18"/>
                <w:szCs w:val="18"/>
                <w:color w:val="0000FF"/>
                <w:w w:val="92"/>
              </w:rPr>
            </w:pPr>
            <w:hyperlink r:id="rId141">
              <w:r>
                <w:rPr>
                  <w:rFonts w:ascii="Arial" w:cs="Arial" w:eastAsia="Arial" w:hAnsi="Arial"/>
                  <w:sz w:val="18"/>
                  <w:szCs w:val="18"/>
                  <w:color w:val="0000FF"/>
                  <w:w w:val="92"/>
                </w:rPr>
                <w:t>Second Amended and Restated Contribution Agreement, dated as of April 17, 2018, by and among Priority Investment Holdings, Priority</w:t>
              </w:r>
            </w:hyperlink>
          </w:p>
        </w:tc>
      </w:tr>
      <w:tr>
        <w:trPr>
          <w:trHeight w:val="175"/>
        </w:trPr>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ind w:left="20"/>
              <w:spacing w:after="0" w:line="176" w:lineRule="exact"/>
              <w:rPr>
                <w:rFonts w:ascii="Arial" w:cs="Arial" w:eastAsia="Arial" w:hAnsi="Arial"/>
                <w:sz w:val="18"/>
                <w:szCs w:val="18"/>
                <w:color w:val="0000FF"/>
                <w:w w:val="93"/>
              </w:rPr>
            </w:pPr>
            <w:hyperlink r:id="rId141">
              <w:r>
                <w:rPr>
                  <w:rFonts w:ascii="Arial" w:cs="Arial" w:eastAsia="Arial" w:hAnsi="Arial"/>
                  <w:sz w:val="18"/>
                  <w:szCs w:val="18"/>
                  <w:color w:val="0000FF"/>
                  <w:w w:val="93"/>
                </w:rPr>
                <w:t>Incentive Equity Holdings, LLC and M I Acquisitions, Inc. (incorporated by reference to Annex A to the Company's Proxy Statement on</w:t>
              </w:r>
            </w:hyperlink>
          </w:p>
        </w:tc>
      </w:tr>
      <w:tr>
        <w:trPr>
          <w:trHeight w:val="229"/>
        </w:trPr>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320" w:type="dxa"/>
            <w:vAlign w:val="bottom"/>
            <w:shd w:val="clear" w:color="auto" w:fill="CCEEFF"/>
          </w:tcPr>
          <w:p>
            <w:pPr>
              <w:ind w:left="20"/>
              <w:spacing w:after="0"/>
              <w:rPr>
                <w:rFonts w:ascii="Arial" w:cs="Arial" w:eastAsia="Arial" w:hAnsi="Arial"/>
                <w:sz w:val="18"/>
                <w:szCs w:val="18"/>
                <w:color w:val="0000FF"/>
              </w:rPr>
            </w:pPr>
            <w:hyperlink r:id="rId141">
              <w:r>
                <w:rPr>
                  <w:rFonts w:ascii="Arial" w:cs="Arial" w:eastAsia="Arial" w:hAnsi="Arial"/>
                  <w:sz w:val="18"/>
                  <w:szCs w:val="18"/>
                  <w:color w:val="0000FF"/>
                </w:rPr>
                <w:t>Schedule 14(a), filed July 5, 2018).</w:t>
              </w:r>
            </w:hyperlink>
          </w:p>
        </w:tc>
        <w:tc>
          <w:tcPr>
            <w:tcW w:w="720" w:type="dxa"/>
            <w:vAlign w:val="bottom"/>
            <w:shd w:val="clear" w:color="auto" w:fill="CCEEFF"/>
          </w:tcPr>
          <w:p>
            <w:pPr>
              <w:spacing w:after="0"/>
              <w:rPr>
                <w:sz w:val="19"/>
                <w:szCs w:val="19"/>
                <w:color w:val="auto"/>
              </w:rPr>
            </w:pPr>
          </w:p>
        </w:tc>
      </w:tr>
      <w:tr>
        <w:trPr>
          <w:trHeight w:val="176"/>
        </w:trPr>
        <w:tc>
          <w:tcPr>
            <w:tcW w:w="1200" w:type="dxa"/>
            <w:vAlign w:val="bottom"/>
            <w:gridSpan w:val="2"/>
          </w:tcPr>
          <w:p>
            <w:pPr>
              <w:ind w:left="20"/>
              <w:spacing w:after="0" w:line="176" w:lineRule="exact"/>
              <w:rPr>
                <w:rFonts w:ascii="Arial" w:cs="Arial" w:eastAsia="Arial" w:hAnsi="Arial"/>
                <w:sz w:val="18"/>
                <w:szCs w:val="18"/>
                <w:color w:val="0000FF"/>
              </w:rPr>
            </w:pPr>
            <w:hyperlink r:id="rId142">
              <w:r>
                <w:rPr>
                  <w:rFonts w:ascii="Arial" w:cs="Arial" w:eastAsia="Arial" w:hAnsi="Arial"/>
                  <w:sz w:val="18"/>
                  <w:szCs w:val="18"/>
                  <w:color w:val="0000FF"/>
                </w:rPr>
                <w:t xml:space="preserve">2.2 </w:t>
              </w:r>
            </w:hyperlink>
            <w:r>
              <w:rPr>
                <w:rFonts w:ascii="Arial" w:cs="Arial" w:eastAsia="Arial" w:hAnsi="Arial"/>
                <w:sz w:val="18"/>
                <w:szCs w:val="18"/>
                <w:color w:val="000000"/>
              </w:rPr>
              <w:t>†</w:t>
            </w:r>
          </w:p>
        </w:tc>
        <w:tc>
          <w:tcPr>
            <w:tcW w:w="10040" w:type="dxa"/>
            <w:vAlign w:val="bottom"/>
            <w:gridSpan w:val="2"/>
          </w:tcPr>
          <w:p>
            <w:pPr>
              <w:ind w:left="20"/>
              <w:spacing w:after="0" w:line="176" w:lineRule="exact"/>
              <w:rPr>
                <w:rFonts w:ascii="Arial" w:cs="Arial" w:eastAsia="Arial" w:hAnsi="Arial"/>
                <w:sz w:val="18"/>
                <w:szCs w:val="18"/>
                <w:color w:val="0000FF"/>
                <w:w w:val="95"/>
              </w:rPr>
            </w:pPr>
            <w:hyperlink r:id="rId142">
              <w:r>
                <w:rPr>
                  <w:rFonts w:ascii="Arial" w:cs="Arial" w:eastAsia="Arial" w:hAnsi="Arial"/>
                  <w:sz w:val="18"/>
                  <w:szCs w:val="18"/>
                  <w:color w:val="0000FF"/>
                  <w:w w:val="95"/>
                </w:rPr>
                <w:t>Agreement and Plan of Merger, dated as of March 5, 2021, by and among the Company, Finxera, Merger Sub, and the Equityholder</w:t>
              </w:r>
            </w:hyperlink>
          </w:p>
        </w:tc>
      </w:tr>
      <w:tr>
        <w:trPr>
          <w:trHeight w:val="229"/>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320" w:type="dxa"/>
            <w:vAlign w:val="bottom"/>
          </w:tcPr>
          <w:p>
            <w:pPr>
              <w:ind w:left="20"/>
              <w:spacing w:after="0"/>
              <w:rPr>
                <w:rFonts w:ascii="Arial" w:cs="Arial" w:eastAsia="Arial" w:hAnsi="Arial"/>
                <w:sz w:val="18"/>
                <w:szCs w:val="18"/>
                <w:color w:val="0000FF"/>
              </w:rPr>
            </w:pPr>
            <w:hyperlink r:id="rId142">
              <w:r>
                <w:rPr>
                  <w:rFonts w:ascii="Arial" w:cs="Arial" w:eastAsia="Arial" w:hAnsi="Arial"/>
                  <w:sz w:val="18"/>
                  <w:szCs w:val="18"/>
                  <w:color w:val="0000FF"/>
                </w:rPr>
                <w:t>Representative.</w:t>
              </w:r>
            </w:hyperlink>
          </w:p>
        </w:tc>
        <w:tc>
          <w:tcPr>
            <w:tcW w:w="720" w:type="dxa"/>
            <w:vAlign w:val="bottom"/>
          </w:tcPr>
          <w:p>
            <w:pPr>
              <w:spacing w:after="0"/>
              <w:rPr>
                <w:sz w:val="19"/>
                <w:szCs w:val="19"/>
                <w:color w:val="auto"/>
              </w:rPr>
            </w:pPr>
          </w:p>
        </w:tc>
      </w:tr>
      <w:tr>
        <w:trPr>
          <w:trHeight w:val="230"/>
        </w:trPr>
        <w:tc>
          <w:tcPr>
            <w:tcW w:w="1100" w:type="dxa"/>
            <w:vAlign w:val="bottom"/>
            <w:shd w:val="clear" w:color="auto" w:fill="CCEEFF"/>
          </w:tcPr>
          <w:p>
            <w:pPr>
              <w:ind w:left="20"/>
              <w:spacing w:after="0"/>
              <w:rPr>
                <w:rFonts w:ascii="Arial" w:cs="Arial" w:eastAsia="Arial" w:hAnsi="Arial"/>
                <w:sz w:val="18"/>
                <w:szCs w:val="18"/>
                <w:color w:val="0000FF"/>
              </w:rPr>
            </w:pPr>
            <w:hyperlink r:id="rId143">
              <w:r>
                <w:rPr>
                  <w:rFonts w:ascii="Arial" w:cs="Arial" w:eastAsia="Arial" w:hAnsi="Arial"/>
                  <w:sz w:val="18"/>
                  <w:szCs w:val="18"/>
                  <w:color w:val="0000FF"/>
                </w:rPr>
                <w:t>2.3</w:t>
              </w:r>
            </w:hyperlink>
          </w:p>
        </w:tc>
        <w:tc>
          <w:tcPr>
            <w:tcW w:w="100" w:type="dxa"/>
            <w:vAlign w:val="bottom"/>
            <w:shd w:val="clear" w:color="auto" w:fill="CCEEFF"/>
          </w:tcPr>
          <w:p>
            <w:pPr>
              <w:spacing w:after="0"/>
              <w:rPr>
                <w:sz w:val="19"/>
                <w:szCs w:val="19"/>
                <w:color w:val="auto"/>
              </w:rPr>
            </w:pPr>
          </w:p>
        </w:tc>
        <w:tc>
          <w:tcPr>
            <w:tcW w:w="10040" w:type="dxa"/>
            <w:vAlign w:val="bottom"/>
            <w:gridSpan w:val="2"/>
            <w:shd w:val="clear" w:color="auto" w:fill="CCEEFF"/>
          </w:tcPr>
          <w:p>
            <w:pPr>
              <w:ind w:left="20"/>
              <w:spacing w:after="0"/>
              <w:rPr>
                <w:rFonts w:ascii="Arial" w:cs="Arial" w:eastAsia="Arial" w:hAnsi="Arial"/>
                <w:sz w:val="18"/>
                <w:szCs w:val="18"/>
                <w:color w:val="0000FF"/>
                <w:w w:val="95"/>
              </w:rPr>
            </w:pPr>
            <w:hyperlink r:id="rId143">
              <w:r>
                <w:rPr>
                  <w:rFonts w:ascii="Arial" w:cs="Arial" w:eastAsia="Arial" w:hAnsi="Arial"/>
                  <w:sz w:val="18"/>
                  <w:szCs w:val="18"/>
                  <w:color w:val="0000FF"/>
                  <w:w w:val="95"/>
                </w:rPr>
                <w:t>Certificate of Amendment to the Certificate of Incorporation of Priority Technology Holdings dated April 16, 2021, filed April 29, 2021</w:t>
              </w:r>
            </w:hyperlink>
          </w:p>
        </w:tc>
      </w:tr>
      <w:tr>
        <w:trPr>
          <w:trHeight w:val="175"/>
        </w:trPr>
        <w:tc>
          <w:tcPr>
            <w:tcW w:w="1100" w:type="dxa"/>
            <w:vAlign w:val="bottom"/>
          </w:tcPr>
          <w:p>
            <w:pPr>
              <w:ind w:left="20"/>
              <w:spacing w:after="0" w:line="176" w:lineRule="exact"/>
              <w:rPr>
                <w:rFonts w:ascii="Arial" w:cs="Arial" w:eastAsia="Arial" w:hAnsi="Arial"/>
                <w:sz w:val="18"/>
                <w:szCs w:val="18"/>
                <w:color w:val="0000FF"/>
              </w:rPr>
            </w:pPr>
            <w:hyperlink r:id="rId144">
              <w:r>
                <w:rPr>
                  <w:rFonts w:ascii="Arial" w:cs="Arial" w:eastAsia="Arial" w:hAnsi="Arial"/>
                  <w:sz w:val="18"/>
                  <w:szCs w:val="18"/>
                  <w:color w:val="0000FF"/>
                </w:rPr>
                <w:t>2.4</w:t>
              </w:r>
            </w:hyperlink>
          </w:p>
        </w:tc>
        <w:tc>
          <w:tcPr>
            <w:tcW w:w="100" w:type="dxa"/>
            <w:vAlign w:val="bottom"/>
          </w:tcPr>
          <w:p>
            <w:pPr>
              <w:spacing w:after="0"/>
              <w:rPr>
                <w:sz w:val="15"/>
                <w:szCs w:val="15"/>
                <w:color w:val="auto"/>
              </w:rPr>
            </w:pPr>
          </w:p>
        </w:tc>
        <w:tc>
          <w:tcPr>
            <w:tcW w:w="10040" w:type="dxa"/>
            <w:vAlign w:val="bottom"/>
            <w:gridSpan w:val="2"/>
          </w:tcPr>
          <w:p>
            <w:pPr>
              <w:ind w:left="20"/>
              <w:spacing w:after="0" w:line="176" w:lineRule="exact"/>
              <w:rPr>
                <w:rFonts w:ascii="Arial" w:cs="Arial" w:eastAsia="Arial" w:hAnsi="Arial"/>
                <w:sz w:val="18"/>
                <w:szCs w:val="18"/>
                <w:color w:val="0000FF"/>
                <w:w w:val="94"/>
              </w:rPr>
            </w:pPr>
            <w:hyperlink r:id="rId144">
              <w:r>
                <w:rPr>
                  <w:rFonts w:ascii="Arial" w:cs="Arial" w:eastAsia="Arial" w:hAnsi="Arial"/>
                  <w:sz w:val="18"/>
                  <w:szCs w:val="18"/>
                  <w:color w:val="0000FF"/>
                  <w:w w:val="94"/>
                </w:rPr>
                <w:t>Agreement and Plan of Merger by and among the Company, Finxera Holdings, Inc., Prime Warrior Acquisition Corp., and Stone Point</w:t>
              </w:r>
            </w:hyperlink>
          </w:p>
        </w:tc>
      </w:tr>
      <w:tr>
        <w:trPr>
          <w:trHeight w:val="230"/>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320" w:type="dxa"/>
            <w:vAlign w:val="bottom"/>
          </w:tcPr>
          <w:p>
            <w:pPr>
              <w:ind w:left="20"/>
              <w:spacing w:after="0"/>
              <w:rPr>
                <w:rFonts w:ascii="Arial" w:cs="Arial" w:eastAsia="Arial" w:hAnsi="Arial"/>
                <w:sz w:val="18"/>
                <w:szCs w:val="18"/>
                <w:color w:val="0000FF"/>
              </w:rPr>
            </w:pPr>
            <w:hyperlink r:id="rId144">
              <w:r>
                <w:rPr>
                  <w:rFonts w:ascii="Arial" w:cs="Arial" w:eastAsia="Arial" w:hAnsi="Arial"/>
                  <w:sz w:val="18"/>
                  <w:szCs w:val="18"/>
                  <w:color w:val="0000FF"/>
                </w:rPr>
                <w:t>Capital LLC.</w:t>
              </w:r>
            </w:hyperlink>
          </w:p>
        </w:tc>
        <w:tc>
          <w:tcPr>
            <w:tcW w:w="720" w:type="dxa"/>
            <w:vAlign w:val="bottom"/>
          </w:tcPr>
          <w:p>
            <w:pPr>
              <w:spacing w:after="0"/>
              <w:rPr>
                <w:sz w:val="19"/>
                <w:szCs w:val="19"/>
                <w:color w:val="auto"/>
              </w:rPr>
            </w:pPr>
          </w:p>
        </w:tc>
      </w:tr>
      <w:tr>
        <w:trPr>
          <w:trHeight w:val="175"/>
        </w:trPr>
        <w:tc>
          <w:tcPr>
            <w:tcW w:w="1100" w:type="dxa"/>
            <w:vAlign w:val="bottom"/>
            <w:shd w:val="clear" w:color="auto" w:fill="CCEEFF"/>
          </w:tcPr>
          <w:p>
            <w:pPr>
              <w:ind w:left="20"/>
              <w:spacing w:after="0" w:line="176" w:lineRule="exact"/>
              <w:rPr>
                <w:rFonts w:ascii="Arial" w:cs="Arial" w:eastAsia="Arial" w:hAnsi="Arial"/>
                <w:sz w:val="18"/>
                <w:szCs w:val="18"/>
                <w:color w:val="0000FF"/>
              </w:rPr>
            </w:pPr>
            <w:hyperlink r:id="rId145">
              <w:r>
                <w:rPr>
                  <w:rFonts w:ascii="Arial" w:cs="Arial" w:eastAsia="Arial" w:hAnsi="Arial"/>
                  <w:sz w:val="18"/>
                  <w:szCs w:val="18"/>
                  <w:color w:val="0000FF"/>
                </w:rPr>
                <w:t>3.1</w:t>
              </w:r>
            </w:hyperlink>
          </w:p>
        </w:tc>
        <w:tc>
          <w:tcPr>
            <w:tcW w:w="10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ind w:left="20"/>
              <w:spacing w:after="0" w:line="176" w:lineRule="exact"/>
              <w:rPr>
                <w:rFonts w:ascii="Arial" w:cs="Arial" w:eastAsia="Arial" w:hAnsi="Arial"/>
                <w:sz w:val="18"/>
                <w:szCs w:val="18"/>
                <w:color w:val="0000FF"/>
                <w:w w:val="91"/>
              </w:rPr>
            </w:pPr>
            <w:hyperlink r:id="rId145">
              <w:r>
                <w:rPr>
                  <w:rFonts w:ascii="Arial" w:cs="Arial" w:eastAsia="Arial" w:hAnsi="Arial"/>
                  <w:sz w:val="18"/>
                  <w:szCs w:val="18"/>
                  <w:color w:val="0000FF"/>
                  <w:w w:val="91"/>
                </w:rPr>
                <w:t>Second Amended and Restated Certificate of Incorporation of Priority Technology Holdings, Inc. (incorporated by reference to Exhibit 3.1</w:t>
              </w:r>
            </w:hyperlink>
          </w:p>
        </w:tc>
      </w:tr>
      <w:tr>
        <w:trPr>
          <w:trHeight w:val="230"/>
        </w:trPr>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320" w:type="dxa"/>
            <w:vAlign w:val="bottom"/>
            <w:shd w:val="clear" w:color="auto" w:fill="CCEEFF"/>
          </w:tcPr>
          <w:p>
            <w:pPr>
              <w:ind w:left="20"/>
              <w:spacing w:after="0"/>
              <w:rPr>
                <w:rFonts w:ascii="Arial" w:cs="Arial" w:eastAsia="Arial" w:hAnsi="Arial"/>
                <w:sz w:val="18"/>
                <w:szCs w:val="18"/>
                <w:color w:val="0000FF"/>
              </w:rPr>
            </w:pPr>
            <w:hyperlink r:id="rId145">
              <w:r>
                <w:rPr>
                  <w:rFonts w:ascii="Arial" w:cs="Arial" w:eastAsia="Arial" w:hAnsi="Arial"/>
                  <w:sz w:val="18"/>
                  <w:szCs w:val="18"/>
                  <w:color w:val="0000FF"/>
                </w:rPr>
                <w:t>to the Company's Current Report on Form 8-K, filed July 31, 2018).</w:t>
              </w:r>
            </w:hyperlink>
          </w:p>
        </w:tc>
        <w:tc>
          <w:tcPr>
            <w:tcW w:w="720" w:type="dxa"/>
            <w:vAlign w:val="bottom"/>
            <w:shd w:val="clear" w:color="auto" w:fill="CCEEFF"/>
          </w:tcPr>
          <w:p>
            <w:pPr>
              <w:spacing w:after="0"/>
              <w:rPr>
                <w:sz w:val="19"/>
                <w:szCs w:val="19"/>
                <w:color w:val="auto"/>
              </w:rPr>
            </w:pPr>
          </w:p>
        </w:tc>
      </w:tr>
      <w:tr>
        <w:trPr>
          <w:trHeight w:val="175"/>
        </w:trPr>
        <w:tc>
          <w:tcPr>
            <w:tcW w:w="1100" w:type="dxa"/>
            <w:vAlign w:val="bottom"/>
          </w:tcPr>
          <w:p>
            <w:pPr>
              <w:ind w:left="20"/>
              <w:spacing w:after="0" w:line="176" w:lineRule="exact"/>
              <w:rPr>
                <w:rFonts w:ascii="Arial" w:cs="Arial" w:eastAsia="Arial" w:hAnsi="Arial"/>
                <w:sz w:val="18"/>
                <w:szCs w:val="18"/>
                <w:color w:val="0000FF"/>
              </w:rPr>
            </w:pPr>
            <w:hyperlink r:id="rId146">
              <w:r>
                <w:rPr>
                  <w:rFonts w:ascii="Arial" w:cs="Arial" w:eastAsia="Arial" w:hAnsi="Arial"/>
                  <w:sz w:val="18"/>
                  <w:szCs w:val="18"/>
                  <w:color w:val="0000FF"/>
                </w:rPr>
                <w:t>3.2</w:t>
              </w:r>
            </w:hyperlink>
          </w:p>
        </w:tc>
        <w:tc>
          <w:tcPr>
            <w:tcW w:w="100" w:type="dxa"/>
            <w:vAlign w:val="bottom"/>
          </w:tcPr>
          <w:p>
            <w:pPr>
              <w:spacing w:after="0"/>
              <w:rPr>
                <w:sz w:val="15"/>
                <w:szCs w:val="15"/>
                <w:color w:val="auto"/>
              </w:rPr>
            </w:pPr>
          </w:p>
        </w:tc>
        <w:tc>
          <w:tcPr>
            <w:tcW w:w="10040" w:type="dxa"/>
            <w:vAlign w:val="bottom"/>
            <w:gridSpan w:val="2"/>
          </w:tcPr>
          <w:p>
            <w:pPr>
              <w:ind w:left="20"/>
              <w:spacing w:after="0" w:line="176" w:lineRule="exact"/>
              <w:rPr>
                <w:rFonts w:ascii="Arial" w:cs="Arial" w:eastAsia="Arial" w:hAnsi="Arial"/>
                <w:sz w:val="18"/>
                <w:szCs w:val="18"/>
                <w:color w:val="0000FF"/>
                <w:w w:val="92"/>
              </w:rPr>
            </w:pPr>
            <w:hyperlink r:id="rId146">
              <w:r>
                <w:rPr>
                  <w:rFonts w:ascii="Arial" w:cs="Arial" w:eastAsia="Arial" w:hAnsi="Arial"/>
                  <w:sz w:val="18"/>
                  <w:szCs w:val="18"/>
                  <w:color w:val="0000FF"/>
                  <w:w w:val="92"/>
                </w:rPr>
                <w:t>Amended and Restated Bylaws of Priority Technology Holdings, Inc. (incorporated by reference to Exhibit 3.2 to the Company's Current</w:t>
              </w:r>
            </w:hyperlink>
          </w:p>
        </w:tc>
      </w:tr>
      <w:tr>
        <w:trPr>
          <w:trHeight w:val="230"/>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320" w:type="dxa"/>
            <w:vAlign w:val="bottom"/>
          </w:tcPr>
          <w:p>
            <w:pPr>
              <w:ind w:left="20"/>
              <w:spacing w:after="0"/>
              <w:rPr>
                <w:rFonts w:ascii="Arial" w:cs="Arial" w:eastAsia="Arial" w:hAnsi="Arial"/>
                <w:sz w:val="18"/>
                <w:szCs w:val="18"/>
                <w:color w:val="0000FF"/>
              </w:rPr>
            </w:pPr>
            <w:hyperlink r:id="rId146">
              <w:r>
                <w:rPr>
                  <w:rFonts w:ascii="Arial" w:cs="Arial" w:eastAsia="Arial" w:hAnsi="Arial"/>
                  <w:sz w:val="18"/>
                  <w:szCs w:val="18"/>
                  <w:color w:val="0000FF"/>
                </w:rPr>
                <w:t>Report on Form 8-K, filed July 31, 2018).</w:t>
              </w:r>
            </w:hyperlink>
          </w:p>
        </w:tc>
        <w:tc>
          <w:tcPr>
            <w:tcW w:w="720" w:type="dxa"/>
            <w:vAlign w:val="bottom"/>
          </w:tcPr>
          <w:p>
            <w:pPr>
              <w:spacing w:after="0"/>
              <w:rPr>
                <w:sz w:val="19"/>
                <w:szCs w:val="19"/>
                <w:color w:val="auto"/>
              </w:rPr>
            </w:pPr>
          </w:p>
        </w:tc>
      </w:tr>
      <w:tr>
        <w:trPr>
          <w:trHeight w:val="230"/>
        </w:trPr>
        <w:tc>
          <w:tcPr>
            <w:tcW w:w="1100" w:type="dxa"/>
            <w:vAlign w:val="bottom"/>
            <w:shd w:val="clear" w:color="auto" w:fill="CCEEFF"/>
          </w:tcPr>
          <w:p>
            <w:pPr>
              <w:ind w:left="20"/>
              <w:spacing w:after="0"/>
              <w:rPr>
                <w:rFonts w:ascii="Arial" w:cs="Arial" w:eastAsia="Arial" w:hAnsi="Arial"/>
                <w:sz w:val="18"/>
                <w:szCs w:val="18"/>
                <w:color w:val="0000FF"/>
              </w:rPr>
            </w:pPr>
            <w:hyperlink r:id="rId147">
              <w:r>
                <w:rPr>
                  <w:rFonts w:ascii="Arial" w:cs="Arial" w:eastAsia="Arial" w:hAnsi="Arial"/>
                  <w:sz w:val="18"/>
                  <w:szCs w:val="18"/>
                  <w:color w:val="0000FF"/>
                </w:rPr>
                <w:t>3.3</w:t>
              </w:r>
            </w:hyperlink>
          </w:p>
        </w:tc>
        <w:tc>
          <w:tcPr>
            <w:tcW w:w="100" w:type="dxa"/>
            <w:vAlign w:val="bottom"/>
            <w:shd w:val="clear" w:color="auto" w:fill="CCEEFF"/>
          </w:tcPr>
          <w:p>
            <w:pPr>
              <w:spacing w:after="0"/>
              <w:rPr>
                <w:sz w:val="19"/>
                <w:szCs w:val="19"/>
                <w:color w:val="auto"/>
              </w:rPr>
            </w:pPr>
          </w:p>
        </w:tc>
        <w:tc>
          <w:tcPr>
            <w:tcW w:w="9320" w:type="dxa"/>
            <w:vAlign w:val="bottom"/>
            <w:shd w:val="clear" w:color="auto" w:fill="CCEEFF"/>
          </w:tcPr>
          <w:p>
            <w:pPr>
              <w:ind w:left="20"/>
              <w:spacing w:after="0"/>
              <w:rPr>
                <w:rFonts w:ascii="Arial" w:cs="Arial" w:eastAsia="Arial" w:hAnsi="Arial"/>
                <w:sz w:val="18"/>
                <w:szCs w:val="18"/>
                <w:color w:val="0000FF"/>
              </w:rPr>
            </w:pPr>
            <w:hyperlink r:id="rId147">
              <w:r>
                <w:rPr>
                  <w:rFonts w:ascii="Arial" w:cs="Arial" w:eastAsia="Arial" w:hAnsi="Arial"/>
                  <w:sz w:val="18"/>
                  <w:szCs w:val="18"/>
                  <w:color w:val="0000FF"/>
                </w:rPr>
                <w:t>Certificate of Designations of Senior Preferred Stock</w:t>
              </w:r>
            </w:hyperlink>
          </w:p>
        </w:tc>
        <w:tc>
          <w:tcPr>
            <w:tcW w:w="720" w:type="dxa"/>
            <w:vAlign w:val="bottom"/>
            <w:shd w:val="clear" w:color="auto" w:fill="CCEEFF"/>
          </w:tcPr>
          <w:p>
            <w:pPr>
              <w:spacing w:after="0"/>
              <w:rPr>
                <w:sz w:val="19"/>
                <w:szCs w:val="19"/>
                <w:color w:val="auto"/>
              </w:rPr>
            </w:pPr>
          </w:p>
        </w:tc>
      </w:tr>
      <w:tr>
        <w:trPr>
          <w:trHeight w:val="229"/>
        </w:trPr>
        <w:tc>
          <w:tcPr>
            <w:tcW w:w="1100" w:type="dxa"/>
            <w:vAlign w:val="bottom"/>
          </w:tcPr>
          <w:p>
            <w:pPr>
              <w:ind w:left="20"/>
              <w:spacing w:after="0"/>
              <w:rPr>
                <w:rFonts w:ascii="Arial" w:cs="Arial" w:eastAsia="Arial" w:hAnsi="Arial"/>
                <w:sz w:val="18"/>
                <w:szCs w:val="18"/>
                <w:color w:val="0000FF"/>
              </w:rPr>
            </w:pPr>
            <w:hyperlink r:id="rId148">
              <w:r>
                <w:rPr>
                  <w:rFonts w:ascii="Arial" w:cs="Arial" w:eastAsia="Arial" w:hAnsi="Arial"/>
                  <w:sz w:val="18"/>
                  <w:szCs w:val="18"/>
                  <w:color w:val="0000FF"/>
                </w:rPr>
                <w:t>4.1</w:t>
              </w:r>
            </w:hyperlink>
          </w:p>
        </w:tc>
        <w:tc>
          <w:tcPr>
            <w:tcW w:w="100" w:type="dxa"/>
            <w:vAlign w:val="bottom"/>
          </w:tcPr>
          <w:p>
            <w:pPr>
              <w:spacing w:after="0"/>
              <w:rPr>
                <w:sz w:val="19"/>
                <w:szCs w:val="19"/>
                <w:color w:val="auto"/>
              </w:rPr>
            </w:pPr>
          </w:p>
        </w:tc>
        <w:tc>
          <w:tcPr>
            <w:tcW w:w="10040" w:type="dxa"/>
            <w:vAlign w:val="bottom"/>
            <w:gridSpan w:val="2"/>
          </w:tcPr>
          <w:p>
            <w:pPr>
              <w:ind w:left="20"/>
              <w:spacing w:after="0"/>
              <w:rPr>
                <w:rFonts w:ascii="Arial" w:cs="Arial" w:eastAsia="Arial" w:hAnsi="Arial"/>
                <w:sz w:val="18"/>
                <w:szCs w:val="18"/>
                <w:color w:val="0000FF"/>
                <w:w w:val="96"/>
              </w:rPr>
            </w:pPr>
            <w:hyperlink r:id="rId148">
              <w:r>
                <w:rPr>
                  <w:rFonts w:ascii="Arial" w:cs="Arial" w:eastAsia="Arial" w:hAnsi="Arial"/>
                  <w:sz w:val="18"/>
                  <w:szCs w:val="18"/>
                  <w:color w:val="0000FF"/>
                  <w:w w:val="96"/>
                </w:rPr>
                <w:t>Specimen Unit Certificate (incorporated by reference to Exhibit 4.1 to the Registration Statement on Form S-1, filed July 26, 2016</w:t>
              </w:r>
            </w:hyperlink>
            <w:r>
              <w:rPr>
                <w:rFonts w:ascii="Arial" w:cs="Arial" w:eastAsia="Arial" w:hAnsi="Arial"/>
                <w:sz w:val="18"/>
                <w:szCs w:val="18"/>
                <w:color w:val="000000"/>
                <w:w w:val="96"/>
              </w:rPr>
              <w:t>).</w:t>
            </w:r>
          </w:p>
        </w:tc>
      </w:tr>
      <w:tr>
        <w:trPr>
          <w:trHeight w:val="176"/>
        </w:trPr>
        <w:tc>
          <w:tcPr>
            <w:tcW w:w="1100" w:type="dxa"/>
            <w:vAlign w:val="bottom"/>
            <w:shd w:val="clear" w:color="auto" w:fill="CCEEFF"/>
          </w:tcPr>
          <w:p>
            <w:pPr>
              <w:ind w:left="20"/>
              <w:spacing w:after="0" w:line="176" w:lineRule="exact"/>
              <w:rPr>
                <w:rFonts w:ascii="Arial" w:cs="Arial" w:eastAsia="Arial" w:hAnsi="Arial"/>
                <w:sz w:val="18"/>
                <w:szCs w:val="18"/>
                <w:color w:val="0000FF"/>
              </w:rPr>
            </w:pPr>
            <w:hyperlink r:id="rId149">
              <w:r>
                <w:rPr>
                  <w:rFonts w:ascii="Arial" w:cs="Arial" w:eastAsia="Arial" w:hAnsi="Arial"/>
                  <w:sz w:val="18"/>
                  <w:szCs w:val="18"/>
                  <w:color w:val="0000FF"/>
                </w:rPr>
                <w:t>4.2</w:t>
              </w:r>
            </w:hyperlink>
          </w:p>
        </w:tc>
        <w:tc>
          <w:tcPr>
            <w:tcW w:w="10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ind w:left="20"/>
              <w:spacing w:after="0" w:line="176" w:lineRule="exact"/>
              <w:rPr>
                <w:rFonts w:ascii="Arial" w:cs="Arial" w:eastAsia="Arial" w:hAnsi="Arial"/>
                <w:sz w:val="18"/>
                <w:szCs w:val="18"/>
                <w:color w:val="0000FF"/>
                <w:w w:val="93"/>
              </w:rPr>
            </w:pPr>
            <w:hyperlink r:id="rId149">
              <w:r>
                <w:rPr>
                  <w:rFonts w:ascii="Arial" w:cs="Arial" w:eastAsia="Arial" w:hAnsi="Arial"/>
                  <w:sz w:val="18"/>
                  <w:szCs w:val="18"/>
                  <w:color w:val="0000FF"/>
                  <w:w w:val="93"/>
                </w:rPr>
                <w:t>Specimen Common Stock Certificate (incorporated by reference to Exhibit 4.2 to the Registration Statement on Form S-1, filed July 26,</w:t>
              </w:r>
            </w:hyperlink>
          </w:p>
        </w:tc>
      </w:tr>
      <w:tr>
        <w:trPr>
          <w:trHeight w:val="229"/>
        </w:trPr>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320" w:type="dxa"/>
            <w:vAlign w:val="bottom"/>
            <w:shd w:val="clear" w:color="auto" w:fill="CCEEFF"/>
          </w:tcPr>
          <w:p>
            <w:pPr>
              <w:ind w:left="20"/>
              <w:spacing w:after="0"/>
              <w:rPr>
                <w:rFonts w:ascii="Arial" w:cs="Arial" w:eastAsia="Arial" w:hAnsi="Arial"/>
                <w:sz w:val="18"/>
                <w:szCs w:val="18"/>
                <w:color w:val="0000FF"/>
              </w:rPr>
            </w:pPr>
            <w:hyperlink r:id="rId149">
              <w:r>
                <w:rPr>
                  <w:rFonts w:ascii="Arial" w:cs="Arial" w:eastAsia="Arial" w:hAnsi="Arial"/>
                  <w:sz w:val="18"/>
                  <w:szCs w:val="18"/>
                  <w:color w:val="0000FF"/>
                </w:rPr>
                <w:t>2016).</w:t>
              </w:r>
            </w:hyperlink>
          </w:p>
        </w:tc>
        <w:tc>
          <w:tcPr>
            <w:tcW w:w="720" w:type="dxa"/>
            <w:vAlign w:val="bottom"/>
            <w:shd w:val="clear" w:color="auto" w:fill="CCEEFF"/>
          </w:tcPr>
          <w:p>
            <w:pPr>
              <w:spacing w:after="0"/>
              <w:rPr>
                <w:sz w:val="19"/>
                <w:szCs w:val="19"/>
                <w:color w:val="auto"/>
              </w:rPr>
            </w:pPr>
          </w:p>
        </w:tc>
      </w:tr>
      <w:tr>
        <w:trPr>
          <w:trHeight w:val="230"/>
        </w:trPr>
        <w:tc>
          <w:tcPr>
            <w:tcW w:w="1100" w:type="dxa"/>
            <w:vAlign w:val="bottom"/>
          </w:tcPr>
          <w:p>
            <w:pPr>
              <w:ind w:left="20"/>
              <w:spacing w:after="0"/>
              <w:rPr>
                <w:rFonts w:ascii="Arial" w:cs="Arial" w:eastAsia="Arial" w:hAnsi="Arial"/>
                <w:sz w:val="18"/>
                <w:szCs w:val="18"/>
                <w:color w:val="0000FF"/>
              </w:rPr>
            </w:pPr>
            <w:hyperlink r:id="rId150">
              <w:r>
                <w:rPr>
                  <w:rFonts w:ascii="Arial" w:cs="Arial" w:eastAsia="Arial" w:hAnsi="Arial"/>
                  <w:sz w:val="18"/>
                  <w:szCs w:val="18"/>
                  <w:color w:val="0000FF"/>
                </w:rPr>
                <w:t>4.3</w:t>
              </w:r>
            </w:hyperlink>
          </w:p>
        </w:tc>
        <w:tc>
          <w:tcPr>
            <w:tcW w:w="100" w:type="dxa"/>
            <w:vAlign w:val="bottom"/>
          </w:tcPr>
          <w:p>
            <w:pPr>
              <w:spacing w:after="0"/>
              <w:rPr>
                <w:sz w:val="20"/>
                <w:szCs w:val="20"/>
                <w:color w:val="auto"/>
              </w:rPr>
            </w:pPr>
          </w:p>
        </w:tc>
        <w:tc>
          <w:tcPr>
            <w:tcW w:w="10040" w:type="dxa"/>
            <w:vAlign w:val="bottom"/>
            <w:gridSpan w:val="2"/>
          </w:tcPr>
          <w:p>
            <w:pPr>
              <w:ind w:left="20"/>
              <w:spacing w:after="0"/>
              <w:rPr>
                <w:rFonts w:ascii="Arial" w:cs="Arial" w:eastAsia="Arial" w:hAnsi="Arial"/>
                <w:sz w:val="18"/>
                <w:szCs w:val="18"/>
                <w:color w:val="0000FF"/>
                <w:w w:val="93"/>
              </w:rPr>
            </w:pPr>
            <w:hyperlink r:id="rId150">
              <w:r>
                <w:rPr>
                  <w:rFonts w:ascii="Arial" w:cs="Arial" w:eastAsia="Arial" w:hAnsi="Arial"/>
                  <w:sz w:val="18"/>
                  <w:szCs w:val="18"/>
                  <w:color w:val="0000FF"/>
                  <w:w w:val="93"/>
                </w:rPr>
                <w:t>Specimen Warrant Certificate (incorporated by reference to Exhibit 4.3 to the Registration Statement on Form S-1, filed July 26, 2016).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380" w:type="dxa"/>
            <w:vAlign w:val="bottom"/>
            <w:shd w:val="clear" w:color="auto" w:fill="CCEEFF"/>
          </w:tcPr>
          <w:p>
            <w:pPr>
              <w:ind w:left="20"/>
              <w:spacing w:after="0"/>
              <w:rPr>
                <w:rFonts w:ascii="Arial" w:cs="Arial" w:eastAsia="Arial" w:hAnsi="Arial"/>
                <w:sz w:val="18"/>
                <w:szCs w:val="18"/>
                <w:color w:val="0000FF"/>
              </w:rPr>
            </w:pPr>
            <w:hyperlink r:id="rId152">
              <w:r>
                <w:rPr>
                  <w:rFonts w:ascii="Arial" w:cs="Arial" w:eastAsia="Arial" w:hAnsi="Arial"/>
                  <w:sz w:val="18"/>
                  <w:szCs w:val="18"/>
                  <w:color w:val="0000FF"/>
                </w:rPr>
                <w:t>4.4</w:t>
              </w:r>
            </w:hyperlink>
          </w:p>
        </w:tc>
        <w:tc>
          <w:tcPr>
            <w:tcW w:w="640" w:type="dxa"/>
            <w:vAlign w:val="bottom"/>
            <w:shd w:val="clear" w:color="auto" w:fill="CCEEFF"/>
          </w:tcPr>
          <w:p>
            <w:pPr>
              <w:spacing w:after="0"/>
              <w:rPr>
                <w:sz w:val="17"/>
                <w:szCs w:val="17"/>
                <w:color w:val="auto"/>
              </w:rPr>
            </w:pPr>
          </w:p>
        </w:tc>
        <w:tc>
          <w:tcPr>
            <w:tcW w:w="10220" w:type="dxa"/>
            <w:vAlign w:val="bottom"/>
            <w:shd w:val="clear" w:color="auto" w:fill="CCEEFF"/>
          </w:tcPr>
          <w:p>
            <w:pPr>
              <w:ind w:left="200"/>
              <w:spacing w:after="0"/>
              <w:rPr>
                <w:rFonts w:ascii="Arial" w:cs="Arial" w:eastAsia="Arial" w:hAnsi="Arial"/>
                <w:sz w:val="18"/>
                <w:szCs w:val="18"/>
                <w:color w:val="0000FF"/>
                <w:w w:val="94"/>
              </w:rPr>
            </w:pPr>
            <w:hyperlink r:id="rId152">
              <w:r>
                <w:rPr>
                  <w:rFonts w:ascii="Arial" w:cs="Arial" w:eastAsia="Arial" w:hAnsi="Arial"/>
                  <w:sz w:val="18"/>
                  <w:szCs w:val="18"/>
                  <w:color w:val="0000FF"/>
                  <w:w w:val="94"/>
                </w:rPr>
                <w:t>Warrant Agreement, dated September 13, 2016, by and between American Stock Transfer &amp; Trust Company, LLC and the Registrant</w:t>
              </w:r>
            </w:hyperlink>
          </w:p>
        </w:tc>
      </w:tr>
      <w:tr>
        <w:trPr>
          <w:trHeight w:val="230"/>
        </w:trPr>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20" w:type="dxa"/>
            <w:vAlign w:val="bottom"/>
            <w:shd w:val="clear" w:color="auto" w:fill="CCEEFF"/>
          </w:tcPr>
          <w:p>
            <w:pPr>
              <w:ind w:left="200"/>
              <w:spacing w:after="0"/>
              <w:rPr>
                <w:rFonts w:ascii="Arial" w:cs="Arial" w:eastAsia="Arial" w:hAnsi="Arial"/>
                <w:sz w:val="18"/>
                <w:szCs w:val="18"/>
                <w:color w:val="0000FF"/>
              </w:rPr>
            </w:pPr>
            <w:hyperlink r:id="rId152">
              <w:r>
                <w:rPr>
                  <w:rFonts w:ascii="Arial" w:cs="Arial" w:eastAsia="Arial" w:hAnsi="Arial"/>
                  <w:sz w:val="18"/>
                  <w:szCs w:val="18"/>
                  <w:color w:val="0000FF"/>
                </w:rPr>
                <w:t>(incorporated by reference to Exhibit 4.1 to the Current Report on Form 8-K, filed September 16, 2016).</w:t>
              </w:r>
            </w:hyperlink>
          </w:p>
        </w:tc>
      </w:tr>
      <w:tr>
        <w:trPr>
          <w:trHeight w:val="229"/>
        </w:trPr>
        <w:tc>
          <w:tcPr>
            <w:tcW w:w="380" w:type="dxa"/>
            <w:vAlign w:val="bottom"/>
          </w:tcPr>
          <w:p>
            <w:pPr>
              <w:ind w:left="20"/>
              <w:spacing w:after="0"/>
              <w:rPr>
                <w:sz w:val="20"/>
                <w:szCs w:val="20"/>
                <w:color w:val="auto"/>
              </w:rPr>
            </w:pPr>
            <w:r>
              <w:rPr>
                <w:rFonts w:ascii="Arial" w:cs="Arial" w:eastAsia="Arial" w:hAnsi="Arial"/>
                <w:sz w:val="18"/>
                <w:szCs w:val="18"/>
                <w:color w:val="0000FF"/>
                <w:w w:val="91"/>
              </w:rPr>
              <w:t xml:space="preserve">4.5 </w:t>
            </w:r>
            <w:r>
              <w:rPr>
                <w:rFonts w:ascii="Arial" w:cs="Arial" w:eastAsia="Arial" w:hAnsi="Arial"/>
                <w:sz w:val="18"/>
                <w:szCs w:val="18"/>
                <w:color w:val="000000"/>
                <w:w w:val="91"/>
              </w:rPr>
              <w:t>*</w:t>
            </w:r>
          </w:p>
        </w:tc>
        <w:tc>
          <w:tcPr>
            <w:tcW w:w="640" w:type="dxa"/>
            <w:vAlign w:val="bottom"/>
          </w:tcPr>
          <w:p>
            <w:pPr>
              <w:spacing w:after="0"/>
              <w:rPr>
                <w:sz w:val="19"/>
                <w:szCs w:val="19"/>
                <w:color w:val="auto"/>
              </w:rPr>
            </w:pPr>
          </w:p>
        </w:tc>
        <w:tc>
          <w:tcPr>
            <w:tcW w:w="10220" w:type="dxa"/>
            <w:vAlign w:val="bottom"/>
          </w:tcPr>
          <w:p>
            <w:pPr>
              <w:ind w:left="200"/>
              <w:spacing w:after="0"/>
              <w:rPr>
                <w:sz w:val="20"/>
                <w:szCs w:val="20"/>
                <w:color w:val="auto"/>
              </w:rPr>
            </w:pPr>
            <w:r>
              <w:rPr>
                <w:rFonts w:ascii="Arial" w:cs="Arial" w:eastAsia="Arial" w:hAnsi="Arial"/>
                <w:sz w:val="18"/>
                <w:szCs w:val="18"/>
                <w:color w:val="0000FF"/>
              </w:rPr>
              <w:t>Description of Securities</w:t>
            </w:r>
          </w:p>
        </w:tc>
      </w:tr>
      <w:tr>
        <w:trPr>
          <w:trHeight w:val="229"/>
        </w:trPr>
        <w:tc>
          <w:tcPr>
            <w:tcW w:w="380" w:type="dxa"/>
            <w:vAlign w:val="bottom"/>
            <w:shd w:val="clear" w:color="auto" w:fill="CCEEFF"/>
          </w:tcPr>
          <w:p>
            <w:pPr>
              <w:ind w:left="20"/>
              <w:spacing w:after="0"/>
              <w:rPr>
                <w:rFonts w:ascii="Arial" w:cs="Arial" w:eastAsia="Arial" w:hAnsi="Arial"/>
                <w:sz w:val="18"/>
                <w:szCs w:val="18"/>
                <w:color w:val="0000FF"/>
              </w:rPr>
            </w:pPr>
            <w:hyperlink r:id="rId153">
              <w:r>
                <w:rPr>
                  <w:rFonts w:ascii="Arial" w:cs="Arial" w:eastAsia="Arial" w:hAnsi="Arial"/>
                  <w:sz w:val="18"/>
                  <w:szCs w:val="18"/>
                  <w:color w:val="0000FF"/>
                </w:rPr>
                <w:t>4.6</w:t>
              </w:r>
            </w:hyperlink>
          </w:p>
        </w:tc>
        <w:tc>
          <w:tcPr>
            <w:tcW w:w="640" w:type="dxa"/>
            <w:vAlign w:val="bottom"/>
            <w:shd w:val="clear" w:color="auto" w:fill="CCEEFF"/>
          </w:tcPr>
          <w:p>
            <w:pPr>
              <w:spacing w:after="0"/>
              <w:rPr>
                <w:sz w:val="19"/>
                <w:szCs w:val="19"/>
                <w:color w:val="auto"/>
              </w:rPr>
            </w:pPr>
          </w:p>
        </w:tc>
        <w:tc>
          <w:tcPr>
            <w:tcW w:w="10220" w:type="dxa"/>
            <w:vAlign w:val="bottom"/>
            <w:shd w:val="clear" w:color="auto" w:fill="CCEEFF"/>
          </w:tcPr>
          <w:p>
            <w:pPr>
              <w:ind w:left="200"/>
              <w:spacing w:after="0"/>
              <w:rPr>
                <w:rFonts w:ascii="Arial" w:cs="Arial" w:eastAsia="Arial" w:hAnsi="Arial"/>
                <w:sz w:val="18"/>
                <w:szCs w:val="18"/>
                <w:color w:val="0000FF"/>
              </w:rPr>
            </w:pPr>
            <w:hyperlink r:id="rId153">
              <w:r>
                <w:rPr>
                  <w:rFonts w:ascii="Arial" w:cs="Arial" w:eastAsia="Arial" w:hAnsi="Arial"/>
                  <w:sz w:val="18"/>
                  <w:szCs w:val="18"/>
                  <w:color w:val="0000FF"/>
                </w:rPr>
                <w:t>Form of Warrant</w:t>
              </w:r>
            </w:hyperlink>
          </w:p>
        </w:tc>
      </w:tr>
      <w:tr>
        <w:trPr>
          <w:trHeight w:val="176"/>
        </w:trPr>
        <w:tc>
          <w:tcPr>
            <w:tcW w:w="380" w:type="dxa"/>
            <w:vAlign w:val="bottom"/>
          </w:tcPr>
          <w:p>
            <w:pPr>
              <w:ind w:left="20"/>
              <w:spacing w:after="0" w:line="176" w:lineRule="exact"/>
              <w:rPr>
                <w:rFonts w:ascii="Arial" w:cs="Arial" w:eastAsia="Arial" w:hAnsi="Arial"/>
                <w:sz w:val="18"/>
                <w:szCs w:val="18"/>
                <w:color w:val="0000FF"/>
                <w:w w:val="96"/>
              </w:rPr>
            </w:pPr>
            <w:hyperlink r:id="rId154">
              <w:r>
                <w:rPr>
                  <w:rFonts w:ascii="Arial" w:cs="Arial" w:eastAsia="Arial" w:hAnsi="Arial"/>
                  <w:sz w:val="18"/>
                  <w:szCs w:val="18"/>
                  <w:color w:val="0000FF"/>
                  <w:w w:val="96"/>
                </w:rPr>
                <w:t>10.1</w:t>
              </w:r>
            </w:hyperlink>
          </w:p>
        </w:tc>
        <w:tc>
          <w:tcPr>
            <w:tcW w:w="640" w:type="dxa"/>
            <w:vAlign w:val="bottom"/>
          </w:tcPr>
          <w:p>
            <w:pPr>
              <w:spacing w:after="0"/>
              <w:rPr>
                <w:sz w:val="15"/>
                <w:szCs w:val="15"/>
                <w:color w:val="auto"/>
              </w:rPr>
            </w:pPr>
          </w:p>
        </w:tc>
        <w:tc>
          <w:tcPr>
            <w:tcW w:w="10220" w:type="dxa"/>
            <w:vAlign w:val="bottom"/>
          </w:tcPr>
          <w:p>
            <w:pPr>
              <w:ind w:left="200"/>
              <w:spacing w:after="0" w:line="176" w:lineRule="exact"/>
              <w:rPr>
                <w:rFonts w:ascii="Arial" w:cs="Arial" w:eastAsia="Arial" w:hAnsi="Arial"/>
                <w:sz w:val="18"/>
                <w:szCs w:val="18"/>
                <w:color w:val="0000FF"/>
                <w:w w:val="92"/>
              </w:rPr>
            </w:pPr>
            <w:hyperlink r:id="rId154">
              <w:r>
                <w:rPr>
                  <w:rFonts w:ascii="Arial" w:cs="Arial" w:eastAsia="Arial" w:hAnsi="Arial"/>
                  <w:sz w:val="18"/>
                  <w:szCs w:val="18"/>
                  <w:color w:val="0000FF"/>
                  <w:w w:val="92"/>
                </w:rPr>
                <w:t>Registration Rights Agreement dated as of July 25, 2018 by and among M I Acquisitions, Inc. and the other parties thereto (incorporated</w:t>
              </w:r>
            </w:hyperlink>
          </w:p>
        </w:tc>
      </w:tr>
      <w:tr>
        <w:trPr>
          <w:trHeight w:val="229"/>
        </w:trPr>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20" w:type="dxa"/>
            <w:vAlign w:val="bottom"/>
          </w:tcPr>
          <w:p>
            <w:pPr>
              <w:ind w:left="200"/>
              <w:spacing w:after="0"/>
              <w:rPr>
                <w:rFonts w:ascii="Arial" w:cs="Arial" w:eastAsia="Arial" w:hAnsi="Arial"/>
                <w:sz w:val="18"/>
                <w:szCs w:val="18"/>
                <w:color w:val="0000FF"/>
              </w:rPr>
            </w:pPr>
            <w:hyperlink r:id="rId154">
              <w:r>
                <w:rPr>
                  <w:rFonts w:ascii="Arial" w:cs="Arial" w:eastAsia="Arial" w:hAnsi="Arial"/>
                  <w:sz w:val="18"/>
                  <w:szCs w:val="18"/>
                  <w:color w:val="0000FF"/>
                </w:rPr>
                <w:t>by reference to Exhibit 10.1 to the Company's Current Report on Form 8-K, filed July 31, 2018).</w:t>
              </w:r>
            </w:hyperlink>
          </w:p>
        </w:tc>
      </w:tr>
      <w:tr>
        <w:trPr>
          <w:trHeight w:val="176"/>
        </w:trPr>
        <w:tc>
          <w:tcPr>
            <w:tcW w:w="380" w:type="dxa"/>
            <w:vAlign w:val="bottom"/>
            <w:shd w:val="clear" w:color="auto" w:fill="CCEEFF"/>
          </w:tcPr>
          <w:p>
            <w:pPr>
              <w:ind w:left="20"/>
              <w:spacing w:after="0" w:line="176" w:lineRule="exact"/>
              <w:rPr>
                <w:rFonts w:ascii="Arial" w:cs="Arial" w:eastAsia="Arial" w:hAnsi="Arial"/>
                <w:sz w:val="18"/>
                <w:szCs w:val="18"/>
                <w:color w:val="0000FF"/>
                <w:w w:val="96"/>
              </w:rPr>
            </w:pPr>
            <w:hyperlink r:id="rId155">
              <w:r>
                <w:rPr>
                  <w:rFonts w:ascii="Arial" w:cs="Arial" w:eastAsia="Arial" w:hAnsi="Arial"/>
                  <w:sz w:val="18"/>
                  <w:szCs w:val="18"/>
                  <w:color w:val="0000FF"/>
                  <w:w w:val="96"/>
                </w:rPr>
                <w:t>10.2</w:t>
              </w:r>
            </w:hyperlink>
          </w:p>
        </w:tc>
        <w:tc>
          <w:tcPr>
            <w:tcW w:w="6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10220" w:type="dxa"/>
            <w:vAlign w:val="bottom"/>
            <w:shd w:val="clear" w:color="auto" w:fill="CCEEFF"/>
          </w:tcPr>
          <w:p>
            <w:pPr>
              <w:ind w:left="200"/>
              <w:spacing w:after="0" w:line="176" w:lineRule="exact"/>
              <w:rPr>
                <w:rFonts w:ascii="Arial" w:cs="Arial" w:eastAsia="Arial" w:hAnsi="Arial"/>
                <w:sz w:val="18"/>
                <w:szCs w:val="18"/>
                <w:color w:val="0000FF"/>
                <w:w w:val="96"/>
              </w:rPr>
            </w:pPr>
            <w:hyperlink r:id="rId155">
              <w:r>
                <w:rPr>
                  <w:rFonts w:ascii="Arial" w:cs="Arial" w:eastAsia="Arial" w:hAnsi="Arial"/>
                  <w:sz w:val="18"/>
                  <w:szCs w:val="18"/>
                  <w:color w:val="0000FF"/>
                  <w:w w:val="96"/>
                </w:rPr>
                <w:t>Priority Technology Holdings, Inc. 2018 Equity Incentive Plan (incorporated by reference to Exhibit 10.2 to the Company's Current</w:t>
              </w:r>
            </w:hyperlink>
          </w:p>
        </w:tc>
      </w:tr>
      <w:tr>
        <w:trPr>
          <w:trHeight w:val="229"/>
        </w:trPr>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20" w:type="dxa"/>
            <w:vAlign w:val="bottom"/>
            <w:shd w:val="clear" w:color="auto" w:fill="CCEEFF"/>
          </w:tcPr>
          <w:p>
            <w:pPr>
              <w:ind w:left="200"/>
              <w:spacing w:after="0"/>
              <w:rPr>
                <w:rFonts w:ascii="Arial" w:cs="Arial" w:eastAsia="Arial" w:hAnsi="Arial"/>
                <w:sz w:val="18"/>
                <w:szCs w:val="18"/>
                <w:color w:val="0000FF"/>
              </w:rPr>
            </w:pPr>
            <w:hyperlink r:id="rId155">
              <w:r>
                <w:rPr>
                  <w:rFonts w:ascii="Arial" w:cs="Arial" w:eastAsia="Arial" w:hAnsi="Arial"/>
                  <w:sz w:val="18"/>
                  <w:szCs w:val="18"/>
                  <w:color w:val="0000FF"/>
                </w:rPr>
                <w:t>Report on Form 8-K, filed July 31, 2018).</w:t>
              </w:r>
            </w:hyperlink>
          </w:p>
        </w:tc>
      </w:tr>
      <w:tr>
        <w:trPr>
          <w:trHeight w:val="230"/>
        </w:trPr>
        <w:tc>
          <w:tcPr>
            <w:tcW w:w="380" w:type="dxa"/>
            <w:vAlign w:val="bottom"/>
          </w:tcPr>
          <w:p>
            <w:pPr>
              <w:ind w:left="20"/>
              <w:spacing w:after="0"/>
              <w:rPr>
                <w:rFonts w:ascii="Arial" w:cs="Arial" w:eastAsia="Arial" w:hAnsi="Arial"/>
                <w:sz w:val="18"/>
                <w:szCs w:val="18"/>
                <w:color w:val="0000FF"/>
                <w:w w:val="96"/>
              </w:rPr>
            </w:pPr>
            <w:hyperlink r:id="rId156">
              <w:r>
                <w:rPr>
                  <w:rFonts w:ascii="Arial" w:cs="Arial" w:eastAsia="Arial" w:hAnsi="Arial"/>
                  <w:sz w:val="18"/>
                  <w:szCs w:val="18"/>
                  <w:color w:val="0000FF"/>
                  <w:w w:val="96"/>
                </w:rPr>
                <w:t>10.3</w:t>
              </w:r>
            </w:hyperlink>
          </w:p>
        </w:tc>
        <w:tc>
          <w:tcPr>
            <w:tcW w:w="640" w:type="dxa"/>
            <w:vAlign w:val="bottom"/>
          </w:tcPr>
          <w:p>
            <w:pPr>
              <w:spacing w:after="0"/>
              <w:rPr>
                <w:sz w:val="19"/>
                <w:szCs w:val="19"/>
                <w:color w:val="auto"/>
              </w:rPr>
            </w:pPr>
          </w:p>
        </w:tc>
        <w:tc>
          <w:tcPr>
            <w:tcW w:w="10220" w:type="dxa"/>
            <w:vAlign w:val="bottom"/>
          </w:tcPr>
          <w:p>
            <w:pPr>
              <w:ind w:left="200"/>
              <w:spacing w:after="0"/>
              <w:rPr>
                <w:rFonts w:ascii="Arial" w:cs="Arial" w:eastAsia="Arial" w:hAnsi="Arial"/>
                <w:sz w:val="18"/>
                <w:szCs w:val="18"/>
                <w:color w:val="0000FF"/>
              </w:rPr>
            </w:pPr>
            <w:hyperlink r:id="rId156">
              <w:r>
                <w:rPr>
                  <w:rFonts w:ascii="Arial" w:cs="Arial" w:eastAsia="Arial" w:hAnsi="Arial"/>
                  <w:sz w:val="18"/>
                  <w:szCs w:val="18"/>
                  <w:color w:val="0000FF"/>
                </w:rPr>
                <w:t>Priority Technology Holdings, Inc. 2021 Employee Stock Purchase Plan</w:t>
              </w:r>
            </w:hyperlink>
          </w:p>
        </w:tc>
      </w:tr>
      <w:tr>
        <w:trPr>
          <w:trHeight w:val="229"/>
        </w:trPr>
        <w:tc>
          <w:tcPr>
            <w:tcW w:w="1020" w:type="dxa"/>
            <w:vAlign w:val="bottom"/>
            <w:gridSpan w:val="2"/>
            <w:shd w:val="clear" w:color="auto" w:fill="CCEEFF"/>
          </w:tcPr>
          <w:p>
            <w:pPr>
              <w:ind w:left="20"/>
              <w:spacing w:after="0"/>
              <w:rPr>
                <w:rFonts w:ascii="Arial" w:cs="Arial" w:eastAsia="Arial" w:hAnsi="Arial"/>
                <w:sz w:val="18"/>
                <w:szCs w:val="18"/>
                <w:color w:val="0000FF"/>
              </w:rPr>
            </w:pPr>
            <w:hyperlink w:anchor="page105">
              <w:r>
                <w:rPr>
                  <w:rFonts w:ascii="Arial" w:cs="Arial" w:eastAsia="Arial" w:hAnsi="Arial"/>
                  <w:sz w:val="18"/>
                  <w:szCs w:val="18"/>
                  <w:color w:val="0000FF"/>
                </w:rPr>
                <w:t xml:space="preserve">10.3.1 </w:t>
              </w:r>
            </w:hyperlink>
            <w:r>
              <w:rPr>
                <w:rFonts w:ascii="Arial" w:cs="Arial" w:eastAsia="Arial" w:hAnsi="Arial"/>
                <w:sz w:val="18"/>
                <w:szCs w:val="18"/>
                <w:color w:val="000000"/>
              </w:rPr>
              <w:t>*</w:t>
            </w:r>
          </w:p>
        </w:tc>
        <w:tc>
          <w:tcPr>
            <w:tcW w:w="10220" w:type="dxa"/>
            <w:vAlign w:val="bottom"/>
            <w:shd w:val="clear" w:color="auto" w:fill="CCEEFF"/>
          </w:tcPr>
          <w:p>
            <w:pPr>
              <w:ind w:left="200"/>
              <w:spacing w:after="0"/>
              <w:rPr>
                <w:rFonts w:ascii="Arial" w:cs="Arial" w:eastAsia="Arial" w:hAnsi="Arial"/>
                <w:sz w:val="18"/>
                <w:szCs w:val="18"/>
                <w:color w:val="0000FF"/>
              </w:rPr>
            </w:pPr>
            <w:hyperlink w:anchor="page105">
              <w:r>
                <w:rPr>
                  <w:rFonts w:ascii="Arial" w:cs="Arial" w:eastAsia="Arial" w:hAnsi="Arial"/>
                  <w:sz w:val="18"/>
                  <w:szCs w:val="18"/>
                  <w:color w:val="0000FF"/>
                </w:rPr>
                <w:t>Amendment No. 1 to Priority Technology Holdings, Inc. 2021 Employee Stock Purchase Plan</w:t>
              </w:r>
            </w:hyperlink>
          </w:p>
        </w:tc>
      </w:tr>
      <w:tr>
        <w:trPr>
          <w:trHeight w:val="229"/>
        </w:trPr>
        <w:tc>
          <w:tcPr>
            <w:tcW w:w="380" w:type="dxa"/>
            <w:vAlign w:val="bottom"/>
          </w:tcPr>
          <w:p>
            <w:pPr>
              <w:ind w:left="20"/>
              <w:spacing w:after="0"/>
              <w:rPr>
                <w:rFonts w:ascii="Arial" w:cs="Arial" w:eastAsia="Arial" w:hAnsi="Arial"/>
                <w:sz w:val="18"/>
                <w:szCs w:val="18"/>
                <w:color w:val="0000FF"/>
                <w:w w:val="96"/>
              </w:rPr>
            </w:pPr>
            <w:hyperlink r:id="rId157">
              <w:r>
                <w:rPr>
                  <w:rFonts w:ascii="Arial" w:cs="Arial" w:eastAsia="Arial" w:hAnsi="Arial"/>
                  <w:sz w:val="18"/>
                  <w:szCs w:val="18"/>
                  <w:color w:val="0000FF"/>
                  <w:w w:val="96"/>
                </w:rPr>
                <w:t>10.4</w:t>
              </w:r>
            </w:hyperlink>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10220" w:type="dxa"/>
            <w:vAlign w:val="bottom"/>
          </w:tcPr>
          <w:p>
            <w:pPr>
              <w:ind w:left="200"/>
              <w:spacing w:after="0"/>
              <w:rPr>
                <w:rFonts w:ascii="Arial" w:cs="Arial" w:eastAsia="Arial" w:hAnsi="Arial"/>
                <w:sz w:val="18"/>
                <w:szCs w:val="18"/>
                <w:color w:val="0000FF"/>
              </w:rPr>
            </w:pPr>
            <w:hyperlink r:id="rId157">
              <w:r>
                <w:rPr>
                  <w:rFonts w:ascii="Arial" w:cs="Arial" w:eastAsia="Arial" w:hAnsi="Arial"/>
                  <w:sz w:val="18"/>
                  <w:szCs w:val="18"/>
                  <w:color w:val="0000FF"/>
                </w:rPr>
                <w:t>Credit Agreement, dated as of April 27, 2021, among the Loan Parties name therein and Truist Bank.</w:t>
              </w:r>
            </w:hyperlink>
          </w:p>
        </w:tc>
      </w:tr>
      <w:tr>
        <w:trPr>
          <w:trHeight w:val="176"/>
        </w:trPr>
        <w:tc>
          <w:tcPr>
            <w:tcW w:w="380" w:type="dxa"/>
            <w:vAlign w:val="bottom"/>
            <w:shd w:val="clear" w:color="auto" w:fill="CCEEFF"/>
          </w:tcPr>
          <w:p>
            <w:pPr>
              <w:ind w:left="20"/>
              <w:spacing w:after="0" w:line="176" w:lineRule="exact"/>
              <w:rPr>
                <w:rFonts w:ascii="Arial" w:cs="Arial" w:eastAsia="Arial" w:hAnsi="Arial"/>
                <w:sz w:val="18"/>
                <w:szCs w:val="18"/>
                <w:color w:val="0000FF"/>
                <w:w w:val="96"/>
              </w:rPr>
            </w:pPr>
            <w:hyperlink r:id="rId158">
              <w:r>
                <w:rPr>
                  <w:rFonts w:ascii="Arial" w:cs="Arial" w:eastAsia="Arial" w:hAnsi="Arial"/>
                  <w:sz w:val="18"/>
                  <w:szCs w:val="18"/>
                  <w:color w:val="0000FF"/>
                  <w:w w:val="96"/>
                </w:rPr>
                <w:t>10.5</w:t>
              </w:r>
            </w:hyperlink>
          </w:p>
        </w:tc>
        <w:tc>
          <w:tcPr>
            <w:tcW w:w="6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10220" w:type="dxa"/>
            <w:vAlign w:val="bottom"/>
            <w:shd w:val="clear" w:color="auto" w:fill="CCEEFF"/>
          </w:tcPr>
          <w:p>
            <w:pPr>
              <w:ind w:left="200"/>
              <w:spacing w:after="0" w:line="176" w:lineRule="exact"/>
              <w:rPr>
                <w:rFonts w:ascii="Arial" w:cs="Arial" w:eastAsia="Arial" w:hAnsi="Arial"/>
                <w:sz w:val="18"/>
                <w:szCs w:val="18"/>
                <w:color w:val="0000FF"/>
                <w:w w:val="95"/>
              </w:rPr>
            </w:pPr>
            <w:hyperlink r:id="rId158">
              <w:r>
                <w:rPr>
                  <w:rFonts w:ascii="Arial" w:cs="Arial" w:eastAsia="Arial" w:hAnsi="Arial"/>
                  <w:sz w:val="18"/>
                  <w:szCs w:val="18"/>
                  <w:color w:val="0000FF"/>
                  <w:w w:val="95"/>
                </w:rPr>
                <w:t>Director Agreement by and among Priority Holdings LLC, Pipeline Cynergy Holdings, LLC, Priority Payment Systems Holdings, LLC</w:t>
              </w:r>
            </w:hyperlink>
          </w:p>
        </w:tc>
      </w:tr>
      <w:tr>
        <w:trPr>
          <w:trHeight w:val="176"/>
        </w:trPr>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20" w:type="dxa"/>
            <w:vAlign w:val="bottom"/>
            <w:shd w:val="clear" w:color="auto" w:fill="CCEEFF"/>
          </w:tcPr>
          <w:p>
            <w:pPr>
              <w:ind w:left="200"/>
              <w:spacing w:after="0" w:line="176" w:lineRule="exact"/>
              <w:rPr>
                <w:rFonts w:ascii="Arial" w:cs="Arial" w:eastAsia="Arial" w:hAnsi="Arial"/>
                <w:sz w:val="18"/>
                <w:szCs w:val="18"/>
                <w:color w:val="0000FF"/>
                <w:w w:val="92"/>
              </w:rPr>
            </w:pPr>
            <w:hyperlink r:id="rId158">
              <w:r>
                <w:rPr>
                  <w:rFonts w:ascii="Arial" w:cs="Arial" w:eastAsia="Arial" w:hAnsi="Arial"/>
                  <w:sz w:val="18"/>
                  <w:szCs w:val="18"/>
                  <w:color w:val="0000FF"/>
                  <w:w w:val="92"/>
                </w:rPr>
                <w:t>and Thomas C. Priore, dated May 21, 2014 (incorporated by reference to Exhibit 10.6 to the Company's Registration Statement on Form</w:t>
              </w:r>
            </w:hyperlink>
          </w:p>
        </w:tc>
      </w:tr>
      <w:tr>
        <w:trPr>
          <w:trHeight w:val="229"/>
        </w:trPr>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20" w:type="dxa"/>
            <w:vAlign w:val="bottom"/>
            <w:shd w:val="clear" w:color="auto" w:fill="CCEEFF"/>
          </w:tcPr>
          <w:p>
            <w:pPr>
              <w:ind w:left="200"/>
              <w:spacing w:after="0"/>
              <w:rPr>
                <w:rFonts w:ascii="Arial" w:cs="Arial" w:eastAsia="Arial" w:hAnsi="Arial"/>
                <w:sz w:val="18"/>
                <w:szCs w:val="18"/>
                <w:color w:val="0000FF"/>
              </w:rPr>
            </w:pPr>
            <w:hyperlink r:id="rId158">
              <w:r>
                <w:rPr>
                  <w:rFonts w:ascii="Arial" w:cs="Arial" w:eastAsia="Arial" w:hAnsi="Arial"/>
                  <w:sz w:val="18"/>
                  <w:szCs w:val="18"/>
                  <w:color w:val="0000FF"/>
                </w:rPr>
                <w:t>S-4/A, filed December 26, 2018).</w:t>
              </w:r>
            </w:hyperlink>
          </w:p>
        </w:tc>
      </w:tr>
      <w:tr>
        <w:trPr>
          <w:trHeight w:val="176"/>
        </w:trPr>
        <w:tc>
          <w:tcPr>
            <w:tcW w:w="380" w:type="dxa"/>
            <w:vAlign w:val="bottom"/>
          </w:tcPr>
          <w:p>
            <w:pPr>
              <w:ind w:left="20"/>
              <w:spacing w:after="0" w:line="176" w:lineRule="exact"/>
              <w:rPr>
                <w:rFonts w:ascii="Arial" w:cs="Arial" w:eastAsia="Arial" w:hAnsi="Arial"/>
                <w:sz w:val="18"/>
                <w:szCs w:val="18"/>
                <w:color w:val="0000FF"/>
                <w:w w:val="96"/>
              </w:rPr>
            </w:pPr>
            <w:hyperlink r:id="rId159">
              <w:r>
                <w:rPr>
                  <w:rFonts w:ascii="Arial" w:cs="Arial" w:eastAsia="Arial" w:hAnsi="Arial"/>
                  <w:sz w:val="18"/>
                  <w:szCs w:val="18"/>
                  <w:color w:val="0000FF"/>
                  <w:w w:val="96"/>
                </w:rPr>
                <w:t>10.6</w:t>
              </w:r>
            </w:hyperlink>
          </w:p>
        </w:tc>
        <w:tc>
          <w:tcPr>
            <w:tcW w:w="64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10220" w:type="dxa"/>
            <w:vAlign w:val="bottom"/>
          </w:tcPr>
          <w:p>
            <w:pPr>
              <w:ind w:left="200"/>
              <w:spacing w:after="0" w:line="176" w:lineRule="exact"/>
              <w:rPr>
                <w:rFonts w:ascii="Arial" w:cs="Arial" w:eastAsia="Arial" w:hAnsi="Arial"/>
                <w:sz w:val="18"/>
                <w:szCs w:val="18"/>
                <w:color w:val="0000FF"/>
                <w:w w:val="97"/>
              </w:rPr>
            </w:pPr>
            <w:hyperlink r:id="rId159">
              <w:r>
                <w:rPr>
                  <w:rFonts w:ascii="Arial" w:cs="Arial" w:eastAsia="Arial" w:hAnsi="Arial"/>
                  <w:sz w:val="18"/>
                  <w:szCs w:val="18"/>
                  <w:color w:val="0000FF"/>
                  <w:w w:val="97"/>
                </w:rPr>
                <w:t>Amendment No. 1 to Director Agreement by and among Priority Holdings LLC, Pipeline Cynergy Holdings, LLC, Priority Payment</w:t>
              </w:r>
            </w:hyperlink>
          </w:p>
        </w:tc>
      </w:tr>
      <w:tr>
        <w:trPr>
          <w:trHeight w:val="175"/>
        </w:trPr>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20" w:type="dxa"/>
            <w:vAlign w:val="bottom"/>
          </w:tcPr>
          <w:p>
            <w:pPr>
              <w:ind w:left="200"/>
              <w:spacing w:after="0" w:line="176" w:lineRule="exact"/>
              <w:rPr>
                <w:rFonts w:ascii="Arial" w:cs="Arial" w:eastAsia="Arial" w:hAnsi="Arial"/>
                <w:sz w:val="18"/>
                <w:szCs w:val="18"/>
                <w:color w:val="0000FF"/>
                <w:w w:val="98"/>
              </w:rPr>
            </w:pPr>
            <w:hyperlink r:id="rId159">
              <w:r>
                <w:rPr>
                  <w:rFonts w:ascii="Arial" w:cs="Arial" w:eastAsia="Arial" w:hAnsi="Arial"/>
                  <w:sz w:val="18"/>
                  <w:szCs w:val="18"/>
                  <w:color w:val="0000FF"/>
                  <w:w w:val="98"/>
                </w:rPr>
                <w:t>Systems Holdings, LLC and Thomas C. Priore, dated April 19, 2018 (incorporated by reference to Exhibit 10.7 to the Company's</w:t>
              </w:r>
            </w:hyperlink>
          </w:p>
        </w:tc>
      </w:tr>
      <w:tr>
        <w:trPr>
          <w:trHeight w:val="229"/>
        </w:trPr>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20" w:type="dxa"/>
            <w:vAlign w:val="bottom"/>
          </w:tcPr>
          <w:p>
            <w:pPr>
              <w:ind w:left="200"/>
              <w:spacing w:after="0"/>
              <w:rPr>
                <w:rFonts w:ascii="Arial" w:cs="Arial" w:eastAsia="Arial" w:hAnsi="Arial"/>
                <w:sz w:val="18"/>
                <w:szCs w:val="18"/>
                <w:color w:val="0000FF"/>
              </w:rPr>
            </w:pPr>
            <w:hyperlink r:id="rId159">
              <w:r>
                <w:rPr>
                  <w:rFonts w:ascii="Arial" w:cs="Arial" w:eastAsia="Arial" w:hAnsi="Arial"/>
                  <w:sz w:val="18"/>
                  <w:szCs w:val="18"/>
                  <w:color w:val="0000FF"/>
                </w:rPr>
                <w:t>Registration Statement on Form S-4/A, filed December 26, 2018).</w:t>
              </w:r>
            </w:hyperlink>
          </w:p>
        </w:tc>
      </w:tr>
      <w:tr>
        <w:trPr>
          <w:trHeight w:val="176"/>
        </w:trPr>
        <w:tc>
          <w:tcPr>
            <w:tcW w:w="1020" w:type="dxa"/>
            <w:vAlign w:val="bottom"/>
            <w:gridSpan w:val="2"/>
            <w:shd w:val="clear" w:color="auto" w:fill="CCEEFF"/>
          </w:tcPr>
          <w:p>
            <w:pPr>
              <w:ind w:left="20"/>
              <w:spacing w:after="0" w:line="176" w:lineRule="exact"/>
              <w:rPr>
                <w:rFonts w:ascii="Arial" w:cs="Arial" w:eastAsia="Arial" w:hAnsi="Arial"/>
                <w:sz w:val="18"/>
                <w:szCs w:val="18"/>
                <w:color w:val="0000FF"/>
              </w:rPr>
            </w:pPr>
            <w:hyperlink r:id="rId160">
              <w:r>
                <w:rPr>
                  <w:rFonts w:ascii="Arial" w:cs="Arial" w:eastAsia="Arial" w:hAnsi="Arial"/>
                  <w:sz w:val="18"/>
                  <w:szCs w:val="18"/>
                  <w:color w:val="0000FF"/>
                </w:rPr>
                <w:t xml:space="preserve">10.11 </w:t>
              </w:r>
            </w:hyperlink>
            <w:r>
              <w:rPr>
                <w:rFonts w:ascii="Arial" w:cs="Arial" w:eastAsia="Arial" w:hAnsi="Arial"/>
                <w:sz w:val="18"/>
                <w:szCs w:val="18"/>
                <w:color w:val="000000"/>
              </w:rPr>
              <w:t>†</w:t>
            </w:r>
          </w:p>
        </w:tc>
        <w:tc>
          <w:tcPr>
            <w:tcW w:w="10220" w:type="dxa"/>
            <w:vAlign w:val="bottom"/>
            <w:shd w:val="clear" w:color="auto" w:fill="CCEEFF"/>
          </w:tcPr>
          <w:p>
            <w:pPr>
              <w:ind w:left="200"/>
              <w:spacing w:after="0" w:line="176" w:lineRule="exact"/>
              <w:rPr>
                <w:rFonts w:ascii="Arial" w:cs="Arial" w:eastAsia="Arial" w:hAnsi="Arial"/>
                <w:sz w:val="18"/>
                <w:szCs w:val="18"/>
                <w:color w:val="0000FF"/>
                <w:w w:val="95"/>
              </w:rPr>
            </w:pPr>
            <w:hyperlink r:id="rId160">
              <w:r>
                <w:rPr>
                  <w:rFonts w:ascii="Arial" w:cs="Arial" w:eastAsia="Arial" w:hAnsi="Arial"/>
                  <w:sz w:val="18"/>
                  <w:szCs w:val="18"/>
                  <w:color w:val="0000FF"/>
                  <w:w w:val="95"/>
                </w:rPr>
                <w:t>Executive Employment Agreement between Priority Technology Holdings, Inc. and Michael Vollkommer, dated December 20, 2018</w:t>
              </w:r>
            </w:hyperlink>
          </w:p>
        </w:tc>
      </w:tr>
      <w:tr>
        <w:trPr>
          <w:trHeight w:val="229"/>
        </w:trPr>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20" w:type="dxa"/>
            <w:vAlign w:val="bottom"/>
            <w:shd w:val="clear" w:color="auto" w:fill="CCEEFF"/>
          </w:tcPr>
          <w:p>
            <w:pPr>
              <w:ind w:left="200"/>
              <w:spacing w:after="0"/>
              <w:rPr>
                <w:rFonts w:ascii="Arial" w:cs="Arial" w:eastAsia="Arial" w:hAnsi="Arial"/>
                <w:sz w:val="18"/>
                <w:szCs w:val="18"/>
                <w:color w:val="0000FF"/>
              </w:rPr>
            </w:pPr>
            <w:hyperlink r:id="rId160">
              <w:r>
                <w:rPr>
                  <w:rFonts w:ascii="Arial" w:cs="Arial" w:eastAsia="Arial" w:hAnsi="Arial"/>
                  <w:sz w:val="18"/>
                  <w:szCs w:val="18"/>
                  <w:color w:val="0000FF"/>
                </w:rPr>
                <w:t>(incorporated by reference to Exhibit 10.1 to the Company's Current Report on Form 8-K, filed December 26, 2018).</w:t>
              </w:r>
            </w:hyperlink>
          </w:p>
        </w:tc>
      </w:tr>
      <w:tr>
        <w:trPr>
          <w:trHeight w:val="176"/>
        </w:trPr>
        <w:tc>
          <w:tcPr>
            <w:tcW w:w="1020" w:type="dxa"/>
            <w:vAlign w:val="bottom"/>
            <w:gridSpan w:val="2"/>
          </w:tcPr>
          <w:p>
            <w:pPr>
              <w:ind w:left="20"/>
              <w:spacing w:after="0" w:line="176" w:lineRule="exact"/>
              <w:rPr>
                <w:rFonts w:ascii="Arial" w:cs="Arial" w:eastAsia="Arial" w:hAnsi="Arial"/>
                <w:sz w:val="18"/>
                <w:szCs w:val="18"/>
                <w:color w:val="0000FF"/>
              </w:rPr>
            </w:pPr>
            <w:hyperlink r:id="rId161">
              <w:r>
                <w:rPr>
                  <w:rFonts w:ascii="Arial" w:cs="Arial" w:eastAsia="Arial" w:hAnsi="Arial"/>
                  <w:sz w:val="18"/>
                  <w:szCs w:val="18"/>
                  <w:color w:val="0000FF"/>
                </w:rPr>
                <w:t xml:space="preserve">10.12 </w:t>
              </w:r>
            </w:hyperlink>
            <w:r>
              <w:rPr>
                <w:rFonts w:ascii="Arial" w:cs="Arial" w:eastAsia="Arial" w:hAnsi="Arial"/>
                <w:sz w:val="18"/>
                <w:szCs w:val="18"/>
                <w:color w:val="000000"/>
              </w:rPr>
              <w:t>†</w:t>
            </w:r>
          </w:p>
        </w:tc>
        <w:tc>
          <w:tcPr>
            <w:tcW w:w="10220" w:type="dxa"/>
            <w:vAlign w:val="bottom"/>
          </w:tcPr>
          <w:p>
            <w:pPr>
              <w:ind w:left="200"/>
              <w:spacing w:after="0" w:line="176" w:lineRule="exact"/>
              <w:rPr>
                <w:rFonts w:ascii="Arial" w:cs="Arial" w:eastAsia="Arial" w:hAnsi="Arial"/>
                <w:sz w:val="18"/>
                <w:szCs w:val="18"/>
                <w:color w:val="0000FF"/>
                <w:w w:val="92"/>
              </w:rPr>
            </w:pPr>
            <w:hyperlink r:id="rId161">
              <w:r>
                <w:rPr>
                  <w:rFonts w:ascii="Arial" w:cs="Arial" w:eastAsia="Arial" w:hAnsi="Arial"/>
                  <w:sz w:val="18"/>
                  <w:szCs w:val="18"/>
                  <w:color w:val="0000FF"/>
                  <w:w w:val="92"/>
                </w:rPr>
                <w:t>Restricted Stock Unit Award Agreement between Priority Technology Holdings, Inc. and Michael Vollkommer, dated December 20, 2018</w:t>
              </w:r>
            </w:hyperlink>
          </w:p>
        </w:tc>
      </w:tr>
      <w:tr>
        <w:trPr>
          <w:trHeight w:val="229"/>
        </w:trPr>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20" w:type="dxa"/>
            <w:vAlign w:val="bottom"/>
          </w:tcPr>
          <w:p>
            <w:pPr>
              <w:ind w:left="200"/>
              <w:spacing w:after="0"/>
              <w:rPr>
                <w:rFonts w:ascii="Arial" w:cs="Arial" w:eastAsia="Arial" w:hAnsi="Arial"/>
                <w:sz w:val="18"/>
                <w:szCs w:val="18"/>
                <w:color w:val="0000FF"/>
              </w:rPr>
            </w:pPr>
            <w:hyperlink r:id="rId161">
              <w:r>
                <w:rPr>
                  <w:rFonts w:ascii="Arial" w:cs="Arial" w:eastAsia="Arial" w:hAnsi="Arial"/>
                  <w:sz w:val="18"/>
                  <w:szCs w:val="18"/>
                  <w:color w:val="0000FF"/>
                </w:rPr>
                <w:t>(incorporated by reference to Exhibit 10.13 to the Company's Annual Report on Form 10-K, filed March 29, 2019).</w:t>
              </w:r>
            </w:hyperlink>
          </w:p>
        </w:tc>
      </w:tr>
      <w:tr>
        <w:trPr>
          <w:trHeight w:val="176"/>
        </w:trPr>
        <w:tc>
          <w:tcPr>
            <w:tcW w:w="1020" w:type="dxa"/>
            <w:vAlign w:val="bottom"/>
            <w:gridSpan w:val="2"/>
            <w:shd w:val="clear" w:color="auto" w:fill="CCEEFF"/>
          </w:tcPr>
          <w:p>
            <w:pPr>
              <w:ind w:left="20"/>
              <w:spacing w:after="0" w:line="176" w:lineRule="exact"/>
              <w:rPr>
                <w:rFonts w:ascii="Arial" w:cs="Arial" w:eastAsia="Arial" w:hAnsi="Arial"/>
                <w:sz w:val="18"/>
                <w:szCs w:val="18"/>
                <w:color w:val="0000FF"/>
              </w:rPr>
            </w:pPr>
            <w:hyperlink r:id="rId162">
              <w:r>
                <w:rPr>
                  <w:rFonts w:ascii="Arial" w:cs="Arial" w:eastAsia="Arial" w:hAnsi="Arial"/>
                  <w:sz w:val="18"/>
                  <w:szCs w:val="18"/>
                  <w:color w:val="0000FF"/>
                </w:rPr>
                <w:t xml:space="preserve">10.13 </w:t>
              </w:r>
            </w:hyperlink>
            <w:r>
              <w:rPr>
                <w:rFonts w:ascii="Arial" w:cs="Arial" w:eastAsia="Arial" w:hAnsi="Arial"/>
                <w:sz w:val="18"/>
                <w:szCs w:val="18"/>
                <w:color w:val="000000"/>
              </w:rPr>
              <w:t>†</w:t>
            </w:r>
          </w:p>
        </w:tc>
        <w:tc>
          <w:tcPr>
            <w:tcW w:w="10220" w:type="dxa"/>
            <w:vAlign w:val="bottom"/>
            <w:shd w:val="clear" w:color="auto" w:fill="CCEEFF"/>
          </w:tcPr>
          <w:p>
            <w:pPr>
              <w:ind w:left="200"/>
              <w:spacing w:after="0" w:line="176" w:lineRule="exact"/>
              <w:rPr>
                <w:rFonts w:ascii="Arial" w:cs="Arial" w:eastAsia="Arial" w:hAnsi="Arial"/>
                <w:sz w:val="18"/>
                <w:szCs w:val="18"/>
                <w:color w:val="0000FF"/>
                <w:w w:val="94"/>
              </w:rPr>
            </w:pPr>
            <w:hyperlink r:id="rId162">
              <w:r>
                <w:rPr>
                  <w:rFonts w:ascii="Arial" w:cs="Arial" w:eastAsia="Arial" w:hAnsi="Arial"/>
                  <w:sz w:val="18"/>
                  <w:szCs w:val="18"/>
                  <w:color w:val="0000FF"/>
                  <w:w w:val="94"/>
                </w:rPr>
                <w:t>Form of Independent Director Agreement (incorporated by reference to Exhibit 10.19 to the Company's Annual Report on Form 10-K,</w:t>
              </w:r>
            </w:hyperlink>
          </w:p>
        </w:tc>
      </w:tr>
      <w:tr>
        <w:trPr>
          <w:trHeight w:val="229"/>
        </w:trPr>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20" w:type="dxa"/>
            <w:vAlign w:val="bottom"/>
            <w:shd w:val="clear" w:color="auto" w:fill="CCEEFF"/>
          </w:tcPr>
          <w:p>
            <w:pPr>
              <w:ind w:left="200"/>
              <w:spacing w:after="0"/>
              <w:rPr>
                <w:rFonts w:ascii="Arial" w:cs="Arial" w:eastAsia="Arial" w:hAnsi="Arial"/>
                <w:sz w:val="18"/>
                <w:szCs w:val="18"/>
                <w:color w:val="0000FF"/>
              </w:rPr>
            </w:pPr>
            <w:hyperlink r:id="rId162">
              <w:r>
                <w:rPr>
                  <w:rFonts w:ascii="Arial" w:cs="Arial" w:eastAsia="Arial" w:hAnsi="Arial"/>
                  <w:sz w:val="18"/>
                  <w:szCs w:val="18"/>
                  <w:color w:val="0000FF"/>
                </w:rPr>
                <w:t>filed March 29, 2019).</w:t>
              </w:r>
            </w:hyperlink>
          </w:p>
        </w:tc>
      </w:tr>
      <w:tr>
        <w:trPr>
          <w:trHeight w:val="176"/>
        </w:trPr>
        <w:tc>
          <w:tcPr>
            <w:tcW w:w="1020" w:type="dxa"/>
            <w:vAlign w:val="bottom"/>
            <w:gridSpan w:val="2"/>
          </w:tcPr>
          <w:p>
            <w:pPr>
              <w:ind w:left="20"/>
              <w:spacing w:after="0" w:line="176" w:lineRule="exact"/>
              <w:rPr>
                <w:rFonts w:ascii="Arial" w:cs="Arial" w:eastAsia="Arial" w:hAnsi="Arial"/>
                <w:sz w:val="18"/>
                <w:szCs w:val="18"/>
                <w:color w:val="0000FF"/>
              </w:rPr>
            </w:pPr>
            <w:hyperlink r:id="rId163">
              <w:r>
                <w:rPr>
                  <w:rFonts w:ascii="Arial" w:cs="Arial" w:eastAsia="Arial" w:hAnsi="Arial"/>
                  <w:sz w:val="18"/>
                  <w:szCs w:val="18"/>
                  <w:color w:val="0000FF"/>
                </w:rPr>
                <w:t>10.14</w:t>
              </w:r>
            </w:hyperlink>
          </w:p>
        </w:tc>
        <w:tc>
          <w:tcPr>
            <w:tcW w:w="10220" w:type="dxa"/>
            <w:vAlign w:val="bottom"/>
          </w:tcPr>
          <w:p>
            <w:pPr>
              <w:ind w:left="200"/>
              <w:spacing w:after="0" w:line="176" w:lineRule="exact"/>
              <w:rPr>
                <w:rFonts w:ascii="Arial" w:cs="Arial" w:eastAsia="Arial" w:hAnsi="Arial"/>
                <w:sz w:val="18"/>
                <w:szCs w:val="18"/>
                <w:color w:val="0000FF"/>
                <w:w w:val="94"/>
              </w:rPr>
            </w:pPr>
            <w:hyperlink r:id="rId163">
              <w:r>
                <w:rPr>
                  <w:rFonts w:ascii="Arial" w:cs="Arial" w:eastAsia="Arial" w:hAnsi="Arial"/>
                  <w:sz w:val="18"/>
                  <w:szCs w:val="18"/>
                  <w:color w:val="0000FF"/>
                  <w:w w:val="94"/>
                </w:rPr>
                <w:t>Asset Purchase Agreement by and between MRI Payments LLC, MRI Software LLC, and Priority Real Estate Technology LLC, dated</w:t>
              </w:r>
            </w:hyperlink>
          </w:p>
        </w:tc>
      </w:tr>
      <w:tr>
        <w:trPr>
          <w:trHeight w:val="230"/>
        </w:trPr>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20" w:type="dxa"/>
            <w:vAlign w:val="bottom"/>
          </w:tcPr>
          <w:p>
            <w:pPr>
              <w:ind w:left="200"/>
              <w:spacing w:after="0"/>
              <w:rPr>
                <w:rFonts w:ascii="Arial" w:cs="Arial" w:eastAsia="Arial" w:hAnsi="Arial"/>
                <w:sz w:val="18"/>
                <w:szCs w:val="18"/>
                <w:color w:val="0000FF"/>
                <w:w w:val="95"/>
              </w:rPr>
            </w:pPr>
            <w:hyperlink r:id="rId163">
              <w:r>
                <w:rPr>
                  <w:rFonts w:ascii="Arial" w:cs="Arial" w:eastAsia="Arial" w:hAnsi="Arial"/>
                  <w:sz w:val="18"/>
                  <w:szCs w:val="18"/>
                  <w:color w:val="0000FF"/>
                  <w:w w:val="95"/>
                </w:rPr>
                <w:t>August 31, 2020 (incorporated by reference to Exhibit 10.1 to the Company's Current Report on Form 8-K filed September 1, 2020).</w:t>
              </w:r>
            </w:hyperlink>
          </w:p>
        </w:tc>
      </w:tr>
      <w:tr>
        <w:trPr>
          <w:trHeight w:val="229"/>
        </w:trPr>
        <w:tc>
          <w:tcPr>
            <w:tcW w:w="1020" w:type="dxa"/>
            <w:vAlign w:val="bottom"/>
            <w:gridSpan w:val="2"/>
            <w:shd w:val="clear" w:color="auto" w:fill="CCEEFF"/>
          </w:tcPr>
          <w:p>
            <w:pPr>
              <w:ind w:left="20"/>
              <w:spacing w:after="0"/>
              <w:rPr>
                <w:rFonts w:ascii="Arial" w:cs="Arial" w:eastAsia="Arial" w:hAnsi="Arial"/>
                <w:sz w:val="18"/>
                <w:szCs w:val="18"/>
                <w:color w:val="0000FF"/>
              </w:rPr>
            </w:pPr>
            <w:hyperlink r:id="rId164">
              <w:r>
                <w:rPr>
                  <w:rFonts w:ascii="Arial" w:cs="Arial" w:eastAsia="Arial" w:hAnsi="Arial"/>
                  <w:sz w:val="18"/>
                  <w:szCs w:val="18"/>
                  <w:color w:val="0000FF"/>
                </w:rPr>
                <w:t>10.15</w:t>
              </w:r>
            </w:hyperlink>
          </w:p>
        </w:tc>
        <w:tc>
          <w:tcPr>
            <w:tcW w:w="10220" w:type="dxa"/>
            <w:vAlign w:val="bottom"/>
            <w:shd w:val="clear" w:color="auto" w:fill="CCEEFF"/>
          </w:tcPr>
          <w:p>
            <w:pPr>
              <w:ind w:left="200"/>
              <w:spacing w:after="0"/>
              <w:rPr>
                <w:rFonts w:ascii="Arial" w:cs="Arial" w:eastAsia="Arial" w:hAnsi="Arial"/>
                <w:sz w:val="18"/>
                <w:szCs w:val="18"/>
                <w:color w:val="0000FF"/>
              </w:rPr>
            </w:pPr>
            <w:hyperlink r:id="rId164">
              <w:r>
                <w:rPr>
                  <w:rFonts w:ascii="Arial" w:cs="Arial" w:eastAsia="Arial" w:hAnsi="Arial"/>
                  <w:sz w:val="18"/>
                  <w:szCs w:val="18"/>
                  <w:color w:val="0000FF"/>
                </w:rPr>
                <w:t>Support Agreement, dated as of March 5, 2021, by and among the Stockholders and Finxera</w:t>
              </w:r>
            </w:hyperlink>
          </w:p>
        </w:tc>
      </w:tr>
      <w:tr>
        <w:trPr>
          <w:trHeight w:val="230"/>
        </w:trPr>
        <w:tc>
          <w:tcPr>
            <w:tcW w:w="1020" w:type="dxa"/>
            <w:vAlign w:val="bottom"/>
            <w:gridSpan w:val="2"/>
          </w:tcPr>
          <w:p>
            <w:pPr>
              <w:ind w:left="20"/>
              <w:spacing w:after="0"/>
              <w:rPr>
                <w:rFonts w:ascii="Arial" w:cs="Arial" w:eastAsia="Arial" w:hAnsi="Arial"/>
                <w:sz w:val="18"/>
                <w:szCs w:val="18"/>
                <w:color w:val="0000FF"/>
              </w:rPr>
            </w:pPr>
            <w:hyperlink r:id="rId165">
              <w:r>
                <w:rPr>
                  <w:rFonts w:ascii="Arial" w:cs="Arial" w:eastAsia="Arial" w:hAnsi="Arial"/>
                  <w:sz w:val="18"/>
                  <w:szCs w:val="18"/>
                  <w:color w:val="0000FF"/>
                </w:rPr>
                <w:t>10.16</w:t>
              </w:r>
            </w:hyperlink>
          </w:p>
        </w:tc>
        <w:tc>
          <w:tcPr>
            <w:tcW w:w="10220" w:type="dxa"/>
            <w:vAlign w:val="bottom"/>
          </w:tcPr>
          <w:p>
            <w:pPr>
              <w:ind w:left="200"/>
              <w:spacing w:after="0"/>
              <w:rPr>
                <w:rFonts w:ascii="Arial" w:cs="Arial" w:eastAsia="Arial" w:hAnsi="Arial"/>
                <w:sz w:val="18"/>
                <w:szCs w:val="18"/>
                <w:color w:val="0000FF"/>
              </w:rPr>
            </w:pPr>
            <w:hyperlink r:id="rId165">
              <w:r>
                <w:rPr>
                  <w:rFonts w:ascii="Arial" w:cs="Arial" w:eastAsia="Arial" w:hAnsi="Arial"/>
                  <w:sz w:val="18"/>
                  <w:szCs w:val="18"/>
                  <w:color w:val="0000FF"/>
                </w:rPr>
                <w:t>Debt Commitment Letter, dated as of March 5, 2021, between Priority Holdings, LLC and Truist Securities, Inc.</w:t>
              </w:r>
            </w:hyperlink>
          </w:p>
        </w:tc>
      </w:tr>
      <w:tr>
        <w:trPr>
          <w:trHeight w:val="175"/>
        </w:trPr>
        <w:tc>
          <w:tcPr>
            <w:tcW w:w="1020" w:type="dxa"/>
            <w:vAlign w:val="bottom"/>
            <w:gridSpan w:val="2"/>
            <w:shd w:val="clear" w:color="auto" w:fill="CCEEFF"/>
          </w:tcPr>
          <w:p>
            <w:pPr>
              <w:ind w:left="20"/>
              <w:spacing w:after="0" w:line="176" w:lineRule="exact"/>
              <w:rPr>
                <w:rFonts w:ascii="Arial" w:cs="Arial" w:eastAsia="Arial" w:hAnsi="Arial"/>
                <w:sz w:val="18"/>
                <w:szCs w:val="18"/>
                <w:color w:val="0000FF"/>
              </w:rPr>
            </w:pPr>
            <w:hyperlink r:id="rId166">
              <w:r>
                <w:rPr>
                  <w:rFonts w:ascii="Arial" w:cs="Arial" w:eastAsia="Arial" w:hAnsi="Arial"/>
                  <w:sz w:val="18"/>
                  <w:szCs w:val="18"/>
                  <w:color w:val="0000FF"/>
                </w:rPr>
                <w:t>10.17</w:t>
              </w:r>
            </w:hyperlink>
          </w:p>
        </w:tc>
        <w:tc>
          <w:tcPr>
            <w:tcW w:w="10220" w:type="dxa"/>
            <w:vAlign w:val="bottom"/>
            <w:shd w:val="clear" w:color="auto" w:fill="CCEEFF"/>
          </w:tcPr>
          <w:p>
            <w:pPr>
              <w:ind w:left="200"/>
              <w:spacing w:after="0" w:line="176" w:lineRule="exact"/>
              <w:rPr>
                <w:rFonts w:ascii="Arial" w:cs="Arial" w:eastAsia="Arial" w:hAnsi="Arial"/>
                <w:sz w:val="18"/>
                <w:szCs w:val="18"/>
                <w:color w:val="0000FF"/>
                <w:w w:val="92"/>
              </w:rPr>
            </w:pPr>
            <w:hyperlink r:id="rId166">
              <w:r>
                <w:rPr>
                  <w:rFonts w:ascii="Arial" w:cs="Arial" w:eastAsia="Arial" w:hAnsi="Arial"/>
                  <w:sz w:val="18"/>
                  <w:szCs w:val="18"/>
                  <w:color w:val="0000FF"/>
                  <w:w w:val="92"/>
                </w:rPr>
                <w:t>Preferred Stock Commitment Letter, dated as of March 5, 2021, among the Company and certain affiliates of Ares Capital Management</w:t>
              </w:r>
            </w:hyperlink>
          </w:p>
        </w:tc>
      </w:tr>
      <w:tr>
        <w:trPr>
          <w:trHeight w:val="230"/>
        </w:trPr>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20" w:type="dxa"/>
            <w:vAlign w:val="bottom"/>
            <w:shd w:val="clear" w:color="auto" w:fill="CCEEFF"/>
          </w:tcPr>
          <w:p>
            <w:pPr>
              <w:ind w:left="200"/>
              <w:spacing w:after="0"/>
              <w:rPr>
                <w:rFonts w:ascii="Arial" w:cs="Arial" w:eastAsia="Arial" w:hAnsi="Arial"/>
                <w:sz w:val="18"/>
                <w:szCs w:val="18"/>
                <w:color w:val="0000FF"/>
              </w:rPr>
            </w:pPr>
            <w:hyperlink r:id="rId166">
              <w:r>
                <w:rPr>
                  <w:rFonts w:ascii="Arial" w:cs="Arial" w:eastAsia="Arial" w:hAnsi="Arial"/>
                  <w:sz w:val="18"/>
                  <w:szCs w:val="18"/>
                  <w:color w:val="0000FF"/>
                </w:rPr>
                <w:t>LLC</w:t>
              </w:r>
            </w:hyperlink>
          </w:p>
        </w:tc>
      </w:tr>
      <w:tr>
        <w:trPr>
          <w:trHeight w:val="230"/>
        </w:trPr>
        <w:tc>
          <w:tcPr>
            <w:tcW w:w="1020" w:type="dxa"/>
            <w:vAlign w:val="bottom"/>
            <w:gridSpan w:val="2"/>
          </w:tcPr>
          <w:p>
            <w:pPr>
              <w:ind w:left="20"/>
              <w:spacing w:after="0"/>
              <w:rPr>
                <w:rFonts w:ascii="Arial" w:cs="Arial" w:eastAsia="Arial" w:hAnsi="Arial"/>
                <w:sz w:val="18"/>
                <w:szCs w:val="18"/>
                <w:color w:val="0000FF"/>
              </w:rPr>
            </w:pPr>
            <w:hyperlink r:id="rId167">
              <w:r>
                <w:rPr>
                  <w:rFonts w:ascii="Arial" w:cs="Arial" w:eastAsia="Arial" w:hAnsi="Arial"/>
                  <w:sz w:val="18"/>
                  <w:szCs w:val="18"/>
                  <w:color w:val="0000FF"/>
                </w:rPr>
                <w:t xml:space="preserve">10.18 </w:t>
              </w:r>
            </w:hyperlink>
            <w:r>
              <w:rPr>
                <w:rFonts w:ascii="Arial" w:cs="Arial" w:eastAsia="Arial" w:hAnsi="Arial"/>
                <w:sz w:val="18"/>
                <w:szCs w:val="18"/>
                <w:color w:val="000000"/>
              </w:rPr>
              <w:t>†</w:t>
            </w:r>
          </w:p>
        </w:tc>
        <w:tc>
          <w:tcPr>
            <w:tcW w:w="10220" w:type="dxa"/>
            <w:vAlign w:val="bottom"/>
          </w:tcPr>
          <w:p>
            <w:pPr>
              <w:ind w:left="200"/>
              <w:spacing w:after="0"/>
              <w:rPr>
                <w:rFonts w:ascii="Arial" w:cs="Arial" w:eastAsia="Arial" w:hAnsi="Arial"/>
                <w:sz w:val="18"/>
                <w:szCs w:val="18"/>
                <w:color w:val="0000FF"/>
              </w:rPr>
            </w:pPr>
            <w:hyperlink r:id="rId167">
              <w:r>
                <w:rPr>
                  <w:rFonts w:ascii="Arial" w:cs="Arial" w:eastAsia="Arial" w:hAnsi="Arial"/>
                  <w:sz w:val="18"/>
                  <w:szCs w:val="18"/>
                  <w:color w:val="0000FF"/>
                </w:rPr>
                <w:t>Securities Purchase Agreement, dated as of April 27, 2021, among the Company and the Investors named therein</w:t>
              </w:r>
            </w:hyperlink>
          </w:p>
        </w:tc>
      </w:tr>
      <w:tr>
        <w:trPr>
          <w:trHeight w:val="230"/>
        </w:trPr>
        <w:tc>
          <w:tcPr>
            <w:tcW w:w="1020" w:type="dxa"/>
            <w:vAlign w:val="bottom"/>
            <w:gridSpan w:val="2"/>
            <w:shd w:val="clear" w:color="auto" w:fill="CCEEFF"/>
          </w:tcPr>
          <w:p>
            <w:pPr>
              <w:ind w:left="20"/>
              <w:spacing w:after="0"/>
              <w:rPr>
                <w:rFonts w:ascii="Arial" w:cs="Arial" w:eastAsia="Arial" w:hAnsi="Arial"/>
                <w:sz w:val="18"/>
                <w:szCs w:val="18"/>
                <w:color w:val="0000FF"/>
              </w:rPr>
            </w:pPr>
            <w:hyperlink r:id="rId168">
              <w:r>
                <w:rPr>
                  <w:rFonts w:ascii="Arial" w:cs="Arial" w:eastAsia="Arial" w:hAnsi="Arial"/>
                  <w:sz w:val="18"/>
                  <w:szCs w:val="18"/>
                  <w:color w:val="0000FF"/>
                </w:rPr>
                <w:t xml:space="preserve">10.19 </w:t>
              </w:r>
            </w:hyperlink>
            <w:r>
              <w:rPr>
                <w:rFonts w:ascii="Arial" w:cs="Arial" w:eastAsia="Arial" w:hAnsi="Arial"/>
                <w:sz w:val="18"/>
                <w:szCs w:val="18"/>
                <w:color w:val="000000"/>
              </w:rPr>
              <w:t>†</w:t>
            </w:r>
          </w:p>
        </w:tc>
        <w:tc>
          <w:tcPr>
            <w:tcW w:w="10220" w:type="dxa"/>
            <w:vAlign w:val="bottom"/>
            <w:shd w:val="clear" w:color="auto" w:fill="CCEEFF"/>
          </w:tcPr>
          <w:p>
            <w:pPr>
              <w:ind w:left="200"/>
              <w:spacing w:after="0"/>
              <w:rPr>
                <w:rFonts w:ascii="Arial" w:cs="Arial" w:eastAsia="Arial" w:hAnsi="Arial"/>
                <w:sz w:val="18"/>
                <w:szCs w:val="18"/>
                <w:color w:val="0000FF"/>
              </w:rPr>
            </w:pPr>
            <w:hyperlink r:id="rId168">
              <w:r>
                <w:rPr>
                  <w:rFonts w:ascii="Arial" w:cs="Arial" w:eastAsia="Arial" w:hAnsi="Arial"/>
                  <w:sz w:val="18"/>
                  <w:szCs w:val="18"/>
                  <w:color w:val="0000FF"/>
                </w:rPr>
                <w:t>Registration Rights Agreement, dated as of April 27, 2021, among the Company and the Investors name therein</w:t>
              </w:r>
            </w:hyperlink>
          </w:p>
        </w:tc>
      </w:tr>
      <w:tr>
        <w:trPr>
          <w:trHeight w:val="229"/>
        </w:trPr>
        <w:tc>
          <w:tcPr>
            <w:tcW w:w="1020" w:type="dxa"/>
            <w:vAlign w:val="bottom"/>
            <w:gridSpan w:val="2"/>
          </w:tcPr>
          <w:p>
            <w:pPr>
              <w:ind w:left="20"/>
              <w:spacing w:after="0"/>
              <w:rPr>
                <w:rFonts w:ascii="Arial" w:cs="Arial" w:eastAsia="Arial" w:hAnsi="Arial"/>
                <w:sz w:val="18"/>
                <w:szCs w:val="18"/>
                <w:color w:val="0000FF"/>
              </w:rPr>
            </w:pPr>
            <w:hyperlink r:id="rId157">
              <w:r>
                <w:rPr>
                  <w:rFonts w:ascii="Arial" w:cs="Arial" w:eastAsia="Arial" w:hAnsi="Arial"/>
                  <w:sz w:val="18"/>
                  <w:szCs w:val="18"/>
                  <w:color w:val="0000FF"/>
                </w:rPr>
                <w:t xml:space="preserve">10.21 </w:t>
              </w:r>
            </w:hyperlink>
            <w:r>
              <w:rPr>
                <w:rFonts w:ascii="Arial" w:cs="Arial" w:eastAsia="Arial" w:hAnsi="Arial"/>
                <w:sz w:val="18"/>
                <w:szCs w:val="18"/>
                <w:color w:val="000000"/>
              </w:rPr>
              <w:t>†</w:t>
            </w:r>
          </w:p>
        </w:tc>
        <w:tc>
          <w:tcPr>
            <w:tcW w:w="10220" w:type="dxa"/>
            <w:vAlign w:val="bottom"/>
          </w:tcPr>
          <w:p>
            <w:pPr>
              <w:ind w:left="200"/>
              <w:spacing w:after="0"/>
              <w:rPr>
                <w:rFonts w:ascii="Arial" w:cs="Arial" w:eastAsia="Arial" w:hAnsi="Arial"/>
                <w:sz w:val="18"/>
                <w:szCs w:val="18"/>
                <w:color w:val="0000FF"/>
              </w:rPr>
            </w:pPr>
            <w:hyperlink r:id="rId157">
              <w:r>
                <w:rPr>
                  <w:rFonts w:ascii="Arial" w:cs="Arial" w:eastAsia="Arial" w:hAnsi="Arial"/>
                  <w:sz w:val="18"/>
                  <w:szCs w:val="18"/>
                  <w:color w:val="0000FF"/>
                </w:rPr>
                <w:t>Credit Agreement, dated as of April 27, 2021, among the Loan Parties name therein and Truist Bank</w:t>
              </w:r>
            </w:hyperlink>
          </w:p>
        </w:tc>
      </w:tr>
      <w:tr>
        <w:trPr>
          <w:trHeight w:val="176"/>
        </w:trPr>
        <w:tc>
          <w:tcPr>
            <w:tcW w:w="1020" w:type="dxa"/>
            <w:vAlign w:val="bottom"/>
            <w:gridSpan w:val="2"/>
            <w:shd w:val="clear" w:color="auto" w:fill="CCEEFF"/>
          </w:tcPr>
          <w:p>
            <w:pPr>
              <w:ind w:left="20"/>
              <w:spacing w:after="0" w:line="176" w:lineRule="exact"/>
              <w:rPr>
                <w:rFonts w:ascii="Arial" w:cs="Arial" w:eastAsia="Arial" w:hAnsi="Arial"/>
                <w:sz w:val="18"/>
                <w:szCs w:val="18"/>
                <w:color w:val="0000FF"/>
              </w:rPr>
            </w:pPr>
            <w:hyperlink r:id="rId169">
              <w:r>
                <w:rPr>
                  <w:rFonts w:ascii="Arial" w:cs="Arial" w:eastAsia="Arial" w:hAnsi="Arial"/>
                  <w:sz w:val="18"/>
                  <w:szCs w:val="18"/>
                  <w:color w:val="0000FF"/>
                </w:rPr>
                <w:t>10.22</w:t>
              </w:r>
            </w:hyperlink>
          </w:p>
        </w:tc>
        <w:tc>
          <w:tcPr>
            <w:tcW w:w="10220" w:type="dxa"/>
            <w:vAlign w:val="bottom"/>
            <w:shd w:val="clear" w:color="auto" w:fill="CCEEFF"/>
          </w:tcPr>
          <w:p>
            <w:pPr>
              <w:ind w:left="200"/>
              <w:spacing w:after="0" w:line="176" w:lineRule="exact"/>
              <w:rPr>
                <w:rFonts w:ascii="Arial" w:cs="Arial" w:eastAsia="Arial" w:hAnsi="Arial"/>
                <w:sz w:val="18"/>
                <w:szCs w:val="18"/>
                <w:color w:val="0000FF"/>
                <w:w w:val="90"/>
              </w:rPr>
            </w:pPr>
            <w:hyperlink r:id="rId169">
              <w:r>
                <w:rPr>
                  <w:rFonts w:ascii="Arial" w:cs="Arial" w:eastAsia="Arial" w:hAnsi="Arial"/>
                  <w:sz w:val="18"/>
                  <w:szCs w:val="18"/>
                  <w:color w:val="0000FF"/>
                  <w:w w:val="90"/>
                </w:rPr>
                <w:t>Amendment No. 2, dated September 17, 2021, to the Credit Agreement, dated as of April 27, 2021, by and among the Loan Parties named</w:t>
              </w:r>
            </w:hyperlink>
          </w:p>
        </w:tc>
      </w:tr>
      <w:tr>
        <w:trPr>
          <w:trHeight w:val="229"/>
        </w:trPr>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20" w:type="dxa"/>
            <w:vAlign w:val="bottom"/>
            <w:shd w:val="clear" w:color="auto" w:fill="CCEEFF"/>
          </w:tcPr>
          <w:p>
            <w:pPr>
              <w:ind w:left="200"/>
              <w:spacing w:after="0"/>
              <w:rPr>
                <w:rFonts w:ascii="Arial" w:cs="Arial" w:eastAsia="Arial" w:hAnsi="Arial"/>
                <w:sz w:val="18"/>
                <w:szCs w:val="18"/>
                <w:color w:val="0000FF"/>
              </w:rPr>
            </w:pPr>
            <w:hyperlink r:id="rId169">
              <w:r>
                <w:rPr>
                  <w:rFonts w:ascii="Arial" w:cs="Arial" w:eastAsia="Arial" w:hAnsi="Arial"/>
                  <w:sz w:val="18"/>
                  <w:szCs w:val="18"/>
                  <w:color w:val="0000FF"/>
                </w:rPr>
                <w:t>therein and Truist Bank.</w:t>
              </w:r>
            </w:hyperlink>
          </w:p>
        </w:tc>
      </w:tr>
      <w:tr>
        <w:trPr>
          <w:trHeight w:val="230"/>
        </w:trPr>
        <w:tc>
          <w:tcPr>
            <w:tcW w:w="380" w:type="dxa"/>
            <w:vAlign w:val="bottom"/>
          </w:tcPr>
          <w:p>
            <w:pPr>
              <w:ind w:left="20"/>
              <w:spacing w:after="0"/>
              <w:rPr>
                <w:sz w:val="20"/>
                <w:szCs w:val="20"/>
                <w:color w:val="auto"/>
              </w:rPr>
            </w:pPr>
            <w:r>
              <w:rPr>
                <w:rFonts w:ascii="Arial" w:cs="Arial" w:eastAsia="Arial" w:hAnsi="Arial"/>
                <w:sz w:val="18"/>
                <w:szCs w:val="18"/>
                <w:color w:val="0000FF"/>
                <w:w w:val="96"/>
              </w:rPr>
              <w:t>21.1</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10220" w:type="dxa"/>
            <w:vAlign w:val="bottom"/>
          </w:tcPr>
          <w:p>
            <w:pPr>
              <w:ind w:left="200"/>
              <w:spacing w:after="0"/>
              <w:rPr>
                <w:sz w:val="20"/>
                <w:szCs w:val="20"/>
                <w:color w:val="auto"/>
              </w:rPr>
            </w:pPr>
            <w:r>
              <w:rPr>
                <w:rFonts w:ascii="Arial" w:cs="Arial" w:eastAsia="Arial" w:hAnsi="Arial"/>
                <w:sz w:val="18"/>
                <w:szCs w:val="18"/>
                <w:color w:val="0000FF"/>
              </w:rPr>
              <w:t>Subsidiaries</w:t>
            </w:r>
          </w:p>
        </w:tc>
      </w:tr>
      <w:tr>
        <w:trPr>
          <w:trHeight w:val="230"/>
        </w:trPr>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0000FF"/>
                <w:w w:val="96"/>
              </w:rPr>
              <w:t>23.1</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20" w:type="dxa"/>
            <w:vAlign w:val="bottom"/>
            <w:shd w:val="clear" w:color="auto" w:fill="CCEEFF"/>
          </w:tcPr>
          <w:p>
            <w:pPr>
              <w:ind w:left="200"/>
              <w:spacing w:after="0"/>
              <w:rPr>
                <w:sz w:val="20"/>
                <w:szCs w:val="20"/>
                <w:color w:val="auto"/>
              </w:rPr>
            </w:pPr>
            <w:r>
              <w:rPr>
                <w:rFonts w:ascii="Arial" w:cs="Arial" w:eastAsia="Arial" w:hAnsi="Arial"/>
                <w:sz w:val="18"/>
                <w:szCs w:val="18"/>
                <w:color w:val="0000FF"/>
              </w:rPr>
              <w:t>Consent of Independent Registered Public Accounting Firm.</w:t>
            </w:r>
          </w:p>
        </w:tc>
      </w:tr>
      <w:tr>
        <w:trPr>
          <w:trHeight w:val="230"/>
        </w:trPr>
        <w:tc>
          <w:tcPr>
            <w:tcW w:w="380" w:type="dxa"/>
            <w:vAlign w:val="bottom"/>
          </w:tcPr>
          <w:p>
            <w:pPr>
              <w:ind w:left="20"/>
              <w:spacing w:after="0"/>
              <w:rPr>
                <w:sz w:val="20"/>
                <w:szCs w:val="20"/>
                <w:color w:val="auto"/>
              </w:rPr>
            </w:pPr>
            <w:r>
              <w:rPr>
                <w:rFonts w:ascii="Arial" w:cs="Arial" w:eastAsia="Arial" w:hAnsi="Arial"/>
                <w:sz w:val="18"/>
                <w:szCs w:val="18"/>
                <w:color w:val="0000FF"/>
                <w:w w:val="96"/>
              </w:rPr>
              <w:t>23.2</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10220" w:type="dxa"/>
            <w:vAlign w:val="bottom"/>
          </w:tcPr>
          <w:p>
            <w:pPr>
              <w:ind w:left="200"/>
              <w:spacing w:after="0"/>
              <w:rPr>
                <w:sz w:val="20"/>
                <w:szCs w:val="20"/>
                <w:color w:val="auto"/>
              </w:rPr>
            </w:pPr>
            <w:r>
              <w:rPr>
                <w:rFonts w:ascii="Arial" w:cs="Arial" w:eastAsia="Arial" w:hAnsi="Arial"/>
                <w:sz w:val="18"/>
                <w:szCs w:val="18"/>
                <w:color w:val="0000FF"/>
              </w:rPr>
              <w:t>Consent of Independent Registered Public Accounting Firm.</w:t>
            </w:r>
          </w:p>
        </w:tc>
      </w:tr>
      <w:tr>
        <w:trPr>
          <w:trHeight w:val="175"/>
        </w:trPr>
        <w:tc>
          <w:tcPr>
            <w:tcW w:w="380" w:type="dxa"/>
            <w:vAlign w:val="bottom"/>
            <w:shd w:val="clear" w:color="auto" w:fill="CCEEFF"/>
          </w:tcPr>
          <w:p>
            <w:pPr>
              <w:ind w:left="20"/>
              <w:spacing w:after="0" w:line="176" w:lineRule="exact"/>
              <w:rPr>
                <w:rFonts w:ascii="Arial" w:cs="Arial" w:eastAsia="Arial" w:hAnsi="Arial"/>
                <w:sz w:val="18"/>
                <w:szCs w:val="18"/>
                <w:color w:val="0000FF"/>
                <w:w w:val="96"/>
              </w:rPr>
            </w:pPr>
            <w:hyperlink w:anchor="page109">
              <w:r>
                <w:rPr>
                  <w:rFonts w:ascii="Arial" w:cs="Arial" w:eastAsia="Arial" w:hAnsi="Arial"/>
                  <w:sz w:val="18"/>
                  <w:szCs w:val="18"/>
                  <w:color w:val="0000FF"/>
                  <w:w w:val="96"/>
                </w:rPr>
                <w:t>31.1</w:t>
              </w:r>
            </w:hyperlink>
          </w:p>
        </w:tc>
        <w:tc>
          <w:tcPr>
            <w:tcW w:w="6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10220" w:type="dxa"/>
            <w:vAlign w:val="bottom"/>
            <w:shd w:val="clear" w:color="auto" w:fill="CCEEFF"/>
          </w:tcPr>
          <w:p>
            <w:pPr>
              <w:ind w:left="200"/>
              <w:spacing w:after="0" w:line="176" w:lineRule="exact"/>
              <w:rPr>
                <w:rFonts w:ascii="Arial" w:cs="Arial" w:eastAsia="Arial" w:hAnsi="Arial"/>
                <w:sz w:val="18"/>
                <w:szCs w:val="18"/>
                <w:color w:val="0000FF"/>
                <w:w w:val="91"/>
              </w:rPr>
            </w:pPr>
            <w:hyperlink w:anchor="page109">
              <w:r>
                <w:rPr>
                  <w:rFonts w:ascii="Arial" w:cs="Arial" w:eastAsia="Arial" w:hAnsi="Arial"/>
                  <w:sz w:val="18"/>
                  <w:szCs w:val="18"/>
                  <w:color w:val="0000FF"/>
                  <w:w w:val="91"/>
                </w:rPr>
                <w:t>Certification of Chief Executive Officer pursuant to Rule 13a-14 and Rule 15d-14(a), promulgated under the Securities and Exchange Act</w:t>
              </w:r>
            </w:hyperlink>
          </w:p>
        </w:tc>
      </w:tr>
      <w:tr>
        <w:trPr>
          <w:trHeight w:val="229"/>
        </w:trPr>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20" w:type="dxa"/>
            <w:vAlign w:val="bottom"/>
            <w:shd w:val="clear" w:color="auto" w:fill="CCEEFF"/>
          </w:tcPr>
          <w:p>
            <w:pPr>
              <w:ind w:left="200"/>
              <w:spacing w:after="0"/>
              <w:rPr>
                <w:rFonts w:ascii="Arial" w:cs="Arial" w:eastAsia="Arial" w:hAnsi="Arial"/>
                <w:sz w:val="18"/>
                <w:szCs w:val="18"/>
                <w:color w:val="0000FF"/>
              </w:rPr>
            </w:pPr>
            <w:hyperlink w:anchor="page109">
              <w:r>
                <w:rPr>
                  <w:rFonts w:ascii="Arial" w:cs="Arial" w:eastAsia="Arial" w:hAnsi="Arial"/>
                  <w:sz w:val="18"/>
                  <w:szCs w:val="18"/>
                  <w:color w:val="0000FF"/>
                </w:rPr>
                <w:t>of 1934, as amended.</w:t>
              </w:r>
            </w:hyperlink>
          </w:p>
        </w:tc>
      </w:tr>
      <w:tr>
        <w:trPr>
          <w:trHeight w:val="176"/>
        </w:trPr>
        <w:tc>
          <w:tcPr>
            <w:tcW w:w="380" w:type="dxa"/>
            <w:vAlign w:val="bottom"/>
          </w:tcPr>
          <w:p>
            <w:pPr>
              <w:ind w:left="20"/>
              <w:spacing w:after="0" w:line="176" w:lineRule="exact"/>
              <w:rPr>
                <w:rFonts w:ascii="Arial" w:cs="Arial" w:eastAsia="Arial" w:hAnsi="Arial"/>
                <w:sz w:val="18"/>
                <w:szCs w:val="18"/>
                <w:color w:val="0000FF"/>
                <w:w w:val="96"/>
              </w:rPr>
            </w:pPr>
            <w:hyperlink w:anchor="page110">
              <w:r>
                <w:rPr>
                  <w:rFonts w:ascii="Arial" w:cs="Arial" w:eastAsia="Arial" w:hAnsi="Arial"/>
                  <w:sz w:val="18"/>
                  <w:szCs w:val="18"/>
                  <w:color w:val="0000FF"/>
                  <w:w w:val="96"/>
                </w:rPr>
                <w:t>31.2</w:t>
              </w:r>
            </w:hyperlink>
          </w:p>
        </w:tc>
        <w:tc>
          <w:tcPr>
            <w:tcW w:w="64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10220" w:type="dxa"/>
            <w:vAlign w:val="bottom"/>
          </w:tcPr>
          <w:p>
            <w:pPr>
              <w:ind w:left="200"/>
              <w:spacing w:after="0" w:line="176" w:lineRule="exact"/>
              <w:rPr>
                <w:rFonts w:ascii="Arial" w:cs="Arial" w:eastAsia="Arial" w:hAnsi="Arial"/>
                <w:sz w:val="18"/>
                <w:szCs w:val="18"/>
                <w:color w:val="0000FF"/>
                <w:w w:val="92"/>
              </w:rPr>
            </w:pPr>
            <w:hyperlink w:anchor="page110">
              <w:r>
                <w:rPr>
                  <w:rFonts w:ascii="Arial" w:cs="Arial" w:eastAsia="Arial" w:hAnsi="Arial"/>
                  <w:sz w:val="18"/>
                  <w:szCs w:val="18"/>
                  <w:color w:val="0000FF"/>
                  <w:w w:val="92"/>
                </w:rPr>
                <w:t>Certification of Chief Financial Officer pursuant to Rule 13a-14 and Rule 15d-14(a), promulgated under the Securities and Exchange Act</w:t>
              </w:r>
            </w:hyperlink>
          </w:p>
        </w:tc>
      </w:tr>
      <w:tr>
        <w:trPr>
          <w:trHeight w:val="229"/>
        </w:trPr>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20" w:type="dxa"/>
            <w:vAlign w:val="bottom"/>
          </w:tcPr>
          <w:p>
            <w:pPr>
              <w:ind w:left="200"/>
              <w:spacing w:after="0"/>
              <w:rPr>
                <w:rFonts w:ascii="Arial" w:cs="Arial" w:eastAsia="Arial" w:hAnsi="Arial"/>
                <w:sz w:val="18"/>
                <w:szCs w:val="18"/>
                <w:color w:val="0000FF"/>
              </w:rPr>
            </w:pPr>
            <w:hyperlink w:anchor="page110">
              <w:r>
                <w:rPr>
                  <w:rFonts w:ascii="Arial" w:cs="Arial" w:eastAsia="Arial" w:hAnsi="Arial"/>
                  <w:sz w:val="18"/>
                  <w:szCs w:val="18"/>
                  <w:color w:val="0000FF"/>
                </w:rPr>
                <w:t>of 1934, as amended.</w:t>
              </w:r>
            </w:hyperlink>
          </w:p>
        </w:tc>
      </w:tr>
      <w:tr>
        <w:trPr>
          <w:trHeight w:val="176"/>
        </w:trPr>
        <w:tc>
          <w:tcPr>
            <w:tcW w:w="1020" w:type="dxa"/>
            <w:vAlign w:val="bottom"/>
            <w:gridSpan w:val="2"/>
            <w:shd w:val="clear" w:color="auto" w:fill="CCEEFF"/>
          </w:tcPr>
          <w:p>
            <w:pPr>
              <w:ind w:left="20"/>
              <w:spacing w:after="0" w:line="176" w:lineRule="exact"/>
              <w:rPr>
                <w:rFonts w:ascii="Arial" w:cs="Arial" w:eastAsia="Arial" w:hAnsi="Arial"/>
                <w:sz w:val="18"/>
                <w:szCs w:val="18"/>
                <w:color w:val="0000FF"/>
              </w:rPr>
            </w:pPr>
            <w:hyperlink w:anchor="page111">
              <w:r>
                <w:rPr>
                  <w:rFonts w:ascii="Arial" w:cs="Arial" w:eastAsia="Arial" w:hAnsi="Arial"/>
                  <w:sz w:val="18"/>
                  <w:szCs w:val="18"/>
                  <w:color w:val="0000FF"/>
                </w:rPr>
                <w:t xml:space="preserve">32 </w:t>
              </w:r>
            </w:hyperlink>
            <w:r>
              <w:rPr>
                <w:rFonts w:ascii="Arial" w:cs="Arial" w:eastAsia="Arial" w:hAnsi="Arial"/>
                <w:sz w:val="18"/>
                <w:szCs w:val="18"/>
                <w:color w:val="000000"/>
              </w:rPr>
              <w:t>**</w:t>
            </w:r>
          </w:p>
        </w:tc>
        <w:tc>
          <w:tcPr>
            <w:tcW w:w="10220" w:type="dxa"/>
            <w:vAlign w:val="bottom"/>
            <w:shd w:val="clear" w:color="auto" w:fill="CCEEFF"/>
          </w:tcPr>
          <w:p>
            <w:pPr>
              <w:ind w:left="200"/>
              <w:spacing w:after="0" w:line="176" w:lineRule="exact"/>
              <w:rPr>
                <w:rFonts w:ascii="Arial" w:cs="Arial" w:eastAsia="Arial" w:hAnsi="Arial"/>
                <w:sz w:val="18"/>
                <w:szCs w:val="18"/>
                <w:color w:val="0000FF"/>
                <w:w w:val="93"/>
              </w:rPr>
            </w:pPr>
            <w:hyperlink w:anchor="page111">
              <w:r>
                <w:rPr>
                  <w:rFonts w:ascii="Arial" w:cs="Arial" w:eastAsia="Arial" w:hAnsi="Arial"/>
                  <w:sz w:val="18"/>
                  <w:szCs w:val="18"/>
                  <w:color w:val="0000FF"/>
                  <w:w w:val="93"/>
                </w:rPr>
                <w:t>Certification of Chief Executive Officer and Chief Financial Officer pursuant to 18 U.S.C. Section 1350, as adopted pursuant to Section</w:t>
              </w:r>
            </w:hyperlink>
          </w:p>
        </w:tc>
      </w:tr>
      <w:tr>
        <w:trPr>
          <w:trHeight w:val="229"/>
        </w:trPr>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20" w:type="dxa"/>
            <w:vAlign w:val="bottom"/>
            <w:shd w:val="clear" w:color="auto" w:fill="CCEEFF"/>
          </w:tcPr>
          <w:p>
            <w:pPr>
              <w:ind w:left="200"/>
              <w:spacing w:after="0"/>
              <w:rPr>
                <w:rFonts w:ascii="Arial" w:cs="Arial" w:eastAsia="Arial" w:hAnsi="Arial"/>
                <w:sz w:val="18"/>
                <w:szCs w:val="18"/>
                <w:color w:val="0000FF"/>
              </w:rPr>
            </w:pPr>
            <w:hyperlink w:anchor="page111">
              <w:r>
                <w:rPr>
                  <w:rFonts w:ascii="Arial" w:cs="Arial" w:eastAsia="Arial" w:hAnsi="Arial"/>
                  <w:sz w:val="18"/>
                  <w:szCs w:val="18"/>
                  <w:color w:val="0000FF"/>
                </w:rPr>
                <w:t>906 of the Sarbanes-Oxley Act of 2002.</w:t>
              </w:r>
            </w:hyperlink>
          </w:p>
        </w:tc>
      </w:tr>
      <w:tr>
        <w:trPr>
          <w:trHeight w:val="175"/>
        </w:trPr>
        <w:tc>
          <w:tcPr>
            <w:tcW w:w="10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101.INS *</w:t>
            </w:r>
          </w:p>
        </w:tc>
        <w:tc>
          <w:tcPr>
            <w:tcW w:w="10220" w:type="dxa"/>
            <w:vAlign w:val="bottom"/>
          </w:tcPr>
          <w:p>
            <w:pPr>
              <w:ind w:left="200"/>
              <w:spacing w:after="0" w:line="176" w:lineRule="exact"/>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 embedded</w:t>
            </w:r>
          </w:p>
        </w:tc>
      </w:tr>
      <w:tr>
        <w:trPr>
          <w:trHeight w:val="230"/>
        </w:trPr>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20" w:type="dxa"/>
            <w:vAlign w:val="bottom"/>
          </w:tcPr>
          <w:p>
            <w:pPr>
              <w:ind w:left="200"/>
              <w:spacing w:after="0"/>
              <w:rPr>
                <w:sz w:val="20"/>
                <w:szCs w:val="20"/>
                <w:color w:val="auto"/>
              </w:rPr>
            </w:pPr>
            <w:r>
              <w:rPr>
                <w:rFonts w:ascii="Arial" w:cs="Arial" w:eastAsia="Arial" w:hAnsi="Arial"/>
                <w:sz w:val="18"/>
                <w:szCs w:val="18"/>
                <w:color w:val="auto"/>
              </w:rPr>
              <w:t>within the Inline XBRL document.</w:t>
            </w:r>
          </w:p>
        </w:tc>
      </w:tr>
      <w:tr>
        <w:trPr>
          <w:trHeight w:val="230"/>
        </w:trPr>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101.SCH *</w:t>
            </w:r>
          </w:p>
        </w:tc>
        <w:tc>
          <w:tcPr>
            <w:tcW w:w="10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Taxonomy Extension Schema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98" w:name="page99"/>
    <w:bookmarkEnd w:id="98"/>
    <w:p>
      <w:pPr>
        <w:spacing w:after="0" w:line="22"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101.CAL *</w:t>
      </w:r>
      <w:r>
        <w:rPr>
          <w:sz w:val="20"/>
          <w:szCs w:val="20"/>
          <w:color w:val="auto"/>
        </w:rPr>
        <w:tab/>
      </w:r>
      <w:r>
        <w:rPr>
          <w:rFonts w:ascii="Arial" w:cs="Arial" w:eastAsia="Arial" w:hAnsi="Arial"/>
          <w:sz w:val="16"/>
          <w:szCs w:val="16"/>
          <w:color w:val="auto"/>
        </w:rPr>
        <w:t>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101.LAB *</w:t>
      </w:r>
      <w:r>
        <w:rPr>
          <w:sz w:val="20"/>
          <w:szCs w:val="20"/>
          <w:color w:val="auto"/>
        </w:rPr>
        <w:tab/>
      </w:r>
      <w:r>
        <w:rPr>
          <w:rFonts w:ascii="Arial" w:cs="Arial" w:eastAsia="Arial" w:hAnsi="Arial"/>
          <w:sz w:val="16"/>
          <w:szCs w:val="16"/>
          <w:color w:val="auto"/>
        </w:rPr>
        <w:t>XBRL Taxonomy Extension Label Linkbase Document</w:t>
      </w:r>
    </w:p>
    <w:p>
      <w:pPr>
        <w:spacing w:after="0" w:line="23"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101.PRE *</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101.DEF *</w:t>
      </w:r>
      <w:r>
        <w:rPr>
          <w:sz w:val="20"/>
          <w:szCs w:val="20"/>
          <w:color w:val="auto"/>
        </w:rPr>
        <w:tab/>
      </w:r>
      <w:r>
        <w:rPr>
          <w:rFonts w:ascii="Arial" w:cs="Arial" w:eastAsia="Arial" w:hAnsi="Arial"/>
          <w:sz w:val="16"/>
          <w:szCs w:val="16"/>
          <w:color w:val="auto"/>
        </w:rPr>
        <w:t>XBRL Taxonomy Extension Definition Linkbase Document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8" w:lineRule="exact"/>
        <w:rPr>
          <w:sz w:val="20"/>
          <w:szCs w:val="20"/>
          <w:color w:val="auto"/>
        </w:rPr>
      </w:pPr>
    </w:p>
    <w:p>
      <w:pPr>
        <w:ind w:left="160" w:hanging="152"/>
        <w:spacing w:after="0"/>
        <w:tabs>
          <w:tab w:leader="none" w:pos="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Indicates exhibits that constitute management contracts or compensation plans or arrangements.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9" w:name="page100"/>
    <w:bookmarkEnd w:id="99"/>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6620" w:type="dxa"/>
            <w:vAlign w:val="bottom"/>
            <w:gridSpan w:val="3"/>
          </w:tcPr>
          <w:p>
            <w:pPr>
              <w:ind w:left="1620"/>
              <w:spacing w:after="0"/>
              <w:rPr>
                <w:sz w:val="20"/>
                <w:szCs w:val="20"/>
                <w:color w:val="auto"/>
              </w:rPr>
            </w:pPr>
            <w:r>
              <w:rPr>
                <w:rFonts w:ascii="Arial" w:cs="Arial" w:eastAsia="Arial" w:hAnsi="Arial"/>
                <w:sz w:val="18"/>
                <w:szCs w:val="18"/>
                <w:color w:val="auto"/>
              </w:rPr>
              <w:t>PRIORITY TECHNOLOGY HOLDINGS, INC.</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March 17, 2022</w:t>
            </w:r>
          </w:p>
        </w:tc>
        <w:tc>
          <w:tcPr>
            <w:tcW w:w="306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/s/ Thomas C. Priore</w:t>
            </w:r>
          </w:p>
        </w:tc>
      </w:tr>
      <w:tr>
        <w:trPr>
          <w:trHeight w:val="142"/>
        </w:trPr>
        <w:tc>
          <w:tcPr>
            <w:tcW w:w="27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50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Thomas C. Priore</w:t>
            </w:r>
          </w:p>
        </w:tc>
        <w:tc>
          <w:tcPr>
            <w:tcW w:w="2060" w:type="dxa"/>
            <w:vAlign w:val="bottom"/>
          </w:tcPr>
          <w:p>
            <w:pPr>
              <w:spacing w:after="0"/>
              <w:rPr>
                <w:sz w:val="12"/>
                <w:szCs w:val="12"/>
                <w:color w:val="auto"/>
              </w:rPr>
            </w:pPr>
          </w:p>
        </w:tc>
      </w:tr>
      <w:tr>
        <w:trPr>
          <w:trHeight w:val="175"/>
        </w:trPr>
        <w:tc>
          <w:tcPr>
            <w:tcW w:w="27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560" w:type="dxa"/>
            <w:vAlign w:val="bottom"/>
            <w:gridSpan w:val="2"/>
          </w:tcPr>
          <w:p>
            <w:pPr>
              <w:spacing w:after="0" w:line="176" w:lineRule="exact"/>
              <w:rPr>
                <w:sz w:val="20"/>
                <w:szCs w:val="20"/>
                <w:color w:val="auto"/>
              </w:rPr>
            </w:pPr>
            <w:r>
              <w:rPr>
                <w:rFonts w:ascii="Arial" w:cs="Arial" w:eastAsia="Arial" w:hAnsi="Arial"/>
                <w:sz w:val="18"/>
                <w:szCs w:val="18"/>
                <w:i w:val="1"/>
                <w:iCs w:val="1"/>
                <w:color w:val="auto"/>
                <w:w w:val="91"/>
              </w:rPr>
              <w:t>President, Chief Executive Officer and Chairman</w:t>
            </w:r>
          </w:p>
        </w:tc>
      </w:tr>
      <w:tr>
        <w:trPr>
          <w:trHeight w:val="230"/>
        </w:trPr>
        <w:tc>
          <w:tcPr>
            <w:tcW w:w="27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56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3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rPr>
              <w:t>Signature</w:t>
            </w:r>
          </w:p>
        </w:tc>
        <w:tc>
          <w:tcPr>
            <w:tcW w:w="502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Title</w:t>
            </w:r>
          </w:p>
        </w:tc>
        <w:tc>
          <w:tcPr>
            <w:tcW w:w="1840" w:type="dxa"/>
            <w:vAlign w:val="bottom"/>
          </w:tcPr>
          <w:p>
            <w:pPr>
              <w:jc w:val="center"/>
              <w:ind w:left="63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18"/>
        </w:trPr>
        <w:tc>
          <w:tcPr>
            <w:tcW w:w="3080" w:type="dxa"/>
            <w:vAlign w:val="bottom"/>
            <w:gridSpan w:val="9"/>
          </w:tcPr>
          <w:p>
            <w:pPr>
              <w:spacing w:after="0"/>
              <w:rPr>
                <w:sz w:val="20"/>
                <w:szCs w:val="20"/>
                <w:color w:val="auto"/>
              </w:rPr>
            </w:pPr>
            <w:r>
              <w:rPr>
                <w:rFonts w:ascii="Arial" w:cs="Arial" w:eastAsia="Arial" w:hAnsi="Arial"/>
                <w:sz w:val="18"/>
                <w:szCs w:val="18"/>
                <w:color w:val="auto"/>
              </w:rPr>
              <w:t>/s/ Thomas C. Priore</w:t>
            </w:r>
          </w:p>
        </w:tc>
        <w:tc>
          <w:tcPr>
            <w:tcW w:w="5020" w:type="dxa"/>
            <w:vAlign w:val="bottom"/>
          </w:tcPr>
          <w:p>
            <w:pPr>
              <w:jc w:val="center"/>
              <w:ind w:left="30"/>
              <w:spacing w:after="0"/>
              <w:rPr>
                <w:sz w:val="20"/>
                <w:szCs w:val="20"/>
                <w:color w:val="auto"/>
              </w:rPr>
            </w:pPr>
            <w:r>
              <w:rPr>
                <w:rFonts w:ascii="Arial" w:cs="Arial" w:eastAsia="Arial" w:hAnsi="Arial"/>
                <w:sz w:val="18"/>
                <w:szCs w:val="18"/>
                <w:color w:val="auto"/>
                <w:w w:val="91"/>
              </w:rPr>
              <w:t>President, Chief Executive Officer and Chairman</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Thomas C. Priore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020" w:type="dxa"/>
            <w:vAlign w:val="bottom"/>
          </w:tcPr>
          <w:p>
            <w:pPr>
              <w:jc w:val="center"/>
              <w:ind w:left="70"/>
              <w:spacing w:after="0"/>
              <w:rPr>
                <w:sz w:val="20"/>
                <w:szCs w:val="20"/>
                <w:color w:val="auto"/>
              </w:rPr>
            </w:pPr>
            <w:r>
              <w:rPr>
                <w:rFonts w:ascii="Arial" w:cs="Arial" w:eastAsia="Arial" w:hAnsi="Arial"/>
                <w:sz w:val="18"/>
                <w:szCs w:val="18"/>
                <w:color w:val="auto"/>
                <w:w w:val="94"/>
              </w:rPr>
              <w:t>(Principal Executive Officer)</w:t>
            </w:r>
          </w:p>
        </w:tc>
        <w:tc>
          <w:tcPr>
            <w:tcW w:w="1840" w:type="dxa"/>
            <w:vAlign w:val="bottom"/>
          </w:tcPr>
          <w:p>
            <w:pPr>
              <w:jc w:val="center"/>
              <w:ind w:left="610"/>
              <w:spacing w:after="0"/>
              <w:rPr>
                <w:sz w:val="20"/>
                <w:szCs w:val="20"/>
                <w:color w:val="auto"/>
              </w:rPr>
            </w:pPr>
            <w:r>
              <w:rPr>
                <w:rFonts w:ascii="Arial" w:cs="Arial" w:eastAsia="Arial" w:hAnsi="Arial"/>
                <w:sz w:val="18"/>
                <w:szCs w:val="18"/>
                <w:color w:val="auto"/>
                <w:w w:val="91"/>
              </w:rPr>
              <w:t>March 17, 2022</w:t>
            </w:r>
          </w:p>
        </w:tc>
        <w:tc>
          <w:tcPr>
            <w:tcW w:w="0" w:type="dxa"/>
            <w:vAlign w:val="bottom"/>
          </w:tcPr>
          <w:p>
            <w:pPr>
              <w:spacing w:after="0"/>
              <w:rPr>
                <w:sz w:val="1"/>
                <w:szCs w:val="1"/>
                <w:color w:val="auto"/>
              </w:rPr>
            </w:pPr>
          </w:p>
        </w:tc>
      </w:tr>
      <w:tr>
        <w:trPr>
          <w:trHeight w:val="391"/>
        </w:trPr>
        <w:tc>
          <w:tcPr>
            <w:tcW w:w="3080" w:type="dxa"/>
            <w:vAlign w:val="bottom"/>
            <w:gridSpan w:val="9"/>
          </w:tcPr>
          <w:p>
            <w:pPr>
              <w:spacing w:after="0"/>
              <w:rPr>
                <w:sz w:val="20"/>
                <w:szCs w:val="20"/>
                <w:color w:val="auto"/>
              </w:rPr>
            </w:pPr>
            <w:r>
              <w:rPr>
                <w:rFonts w:ascii="Arial" w:cs="Arial" w:eastAsia="Arial" w:hAnsi="Arial"/>
                <w:sz w:val="18"/>
                <w:szCs w:val="18"/>
                <w:color w:val="auto"/>
              </w:rPr>
              <w:t>/s/ Michael Vollkommer</w:t>
            </w:r>
          </w:p>
        </w:tc>
        <w:tc>
          <w:tcPr>
            <w:tcW w:w="5020" w:type="dxa"/>
            <w:vAlign w:val="bottom"/>
          </w:tcPr>
          <w:p>
            <w:pPr>
              <w:jc w:val="center"/>
              <w:ind w:left="70"/>
              <w:spacing w:after="0"/>
              <w:rPr>
                <w:sz w:val="20"/>
                <w:szCs w:val="20"/>
                <w:color w:val="auto"/>
              </w:rPr>
            </w:pPr>
            <w:r>
              <w:rPr>
                <w:rFonts w:ascii="Arial" w:cs="Arial" w:eastAsia="Arial" w:hAnsi="Arial"/>
                <w:sz w:val="18"/>
                <w:szCs w:val="18"/>
                <w:color w:val="auto"/>
                <w:w w:val="93"/>
              </w:rPr>
              <w:t>Chief Financial Officer</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6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Michael Vollkommer</w:t>
            </w:r>
          </w:p>
        </w:tc>
        <w:tc>
          <w:tcPr>
            <w:tcW w:w="1320" w:type="dxa"/>
            <w:vAlign w:val="bottom"/>
          </w:tcPr>
          <w:p>
            <w:pPr>
              <w:spacing w:after="0"/>
              <w:rPr>
                <w:sz w:val="19"/>
                <w:szCs w:val="19"/>
                <w:color w:val="auto"/>
              </w:rPr>
            </w:pPr>
          </w:p>
        </w:tc>
        <w:tc>
          <w:tcPr>
            <w:tcW w:w="5020" w:type="dxa"/>
            <w:vAlign w:val="bottom"/>
          </w:tcPr>
          <w:p>
            <w:pPr>
              <w:jc w:val="center"/>
              <w:ind w:left="70"/>
              <w:spacing w:after="0"/>
              <w:rPr>
                <w:sz w:val="20"/>
                <w:szCs w:val="20"/>
                <w:color w:val="auto"/>
              </w:rPr>
            </w:pPr>
            <w:r>
              <w:rPr>
                <w:rFonts w:ascii="Arial" w:cs="Arial" w:eastAsia="Arial" w:hAnsi="Arial"/>
                <w:sz w:val="18"/>
                <w:szCs w:val="18"/>
                <w:color w:val="auto"/>
                <w:w w:val="95"/>
              </w:rPr>
              <w:t>(Principal Financial Officer)</w:t>
            </w:r>
          </w:p>
        </w:tc>
        <w:tc>
          <w:tcPr>
            <w:tcW w:w="1840" w:type="dxa"/>
            <w:vAlign w:val="bottom"/>
          </w:tcPr>
          <w:p>
            <w:pPr>
              <w:jc w:val="center"/>
              <w:ind w:left="610"/>
              <w:spacing w:after="0"/>
              <w:rPr>
                <w:sz w:val="20"/>
                <w:szCs w:val="20"/>
                <w:color w:val="auto"/>
              </w:rPr>
            </w:pPr>
            <w:r>
              <w:rPr>
                <w:rFonts w:ascii="Arial" w:cs="Arial" w:eastAsia="Arial" w:hAnsi="Arial"/>
                <w:sz w:val="18"/>
                <w:szCs w:val="18"/>
                <w:color w:val="auto"/>
                <w:w w:val="91"/>
              </w:rPr>
              <w:t>March 17, 2022</w:t>
            </w:r>
          </w:p>
        </w:tc>
        <w:tc>
          <w:tcPr>
            <w:tcW w:w="0" w:type="dxa"/>
            <w:vAlign w:val="bottom"/>
          </w:tcPr>
          <w:p>
            <w:pPr>
              <w:spacing w:after="0"/>
              <w:rPr>
                <w:sz w:val="1"/>
                <w:szCs w:val="1"/>
                <w:color w:val="auto"/>
              </w:rPr>
            </w:pPr>
          </w:p>
        </w:tc>
      </w:tr>
      <w:tr>
        <w:trPr>
          <w:trHeight w:val="418"/>
        </w:trPr>
        <w:tc>
          <w:tcPr>
            <w:tcW w:w="3080" w:type="dxa"/>
            <w:vAlign w:val="bottom"/>
            <w:gridSpan w:val="9"/>
            <w:vMerge w:val="restart"/>
          </w:tcPr>
          <w:p>
            <w:pPr>
              <w:spacing w:after="0"/>
              <w:rPr>
                <w:sz w:val="20"/>
                <w:szCs w:val="20"/>
                <w:color w:val="auto"/>
              </w:rPr>
            </w:pPr>
            <w:r>
              <w:rPr>
                <w:rFonts w:ascii="Arial" w:cs="Arial" w:eastAsia="Arial" w:hAnsi="Arial"/>
                <w:sz w:val="18"/>
                <w:szCs w:val="18"/>
                <w:color w:val="auto"/>
              </w:rPr>
              <w:t>/s/ Rajiv Kumar</w:t>
            </w:r>
          </w:p>
        </w:tc>
        <w:tc>
          <w:tcPr>
            <w:tcW w:w="5020" w:type="dxa"/>
            <w:vAlign w:val="bottom"/>
          </w:tcPr>
          <w:p>
            <w:pPr>
              <w:jc w:val="center"/>
              <w:ind w:left="30"/>
              <w:spacing w:after="0"/>
              <w:rPr>
                <w:sz w:val="20"/>
                <w:szCs w:val="20"/>
                <w:color w:val="auto"/>
              </w:rPr>
            </w:pPr>
            <w:r>
              <w:rPr>
                <w:rFonts w:ascii="Arial" w:cs="Arial" w:eastAsia="Arial" w:hAnsi="Arial"/>
                <w:sz w:val="18"/>
                <w:szCs w:val="18"/>
                <w:color w:val="auto"/>
                <w:w w:val="89"/>
              </w:rPr>
              <w:t>Senior Vice President and</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080" w:type="dxa"/>
            <w:vAlign w:val="bottom"/>
            <w:gridSpan w:val="9"/>
            <w:vMerge w:val="continue"/>
          </w:tcPr>
          <w:p>
            <w:pPr>
              <w:spacing w:after="0"/>
              <w:rPr>
                <w:sz w:val="16"/>
                <w:szCs w:val="16"/>
                <w:color w:val="auto"/>
              </w:rPr>
            </w:pPr>
          </w:p>
        </w:tc>
        <w:tc>
          <w:tcPr>
            <w:tcW w:w="5020" w:type="dxa"/>
            <w:vAlign w:val="bottom"/>
          </w:tcPr>
          <w:p>
            <w:pPr>
              <w:jc w:val="center"/>
              <w:ind w:left="70"/>
              <w:spacing w:after="0" w:line="189" w:lineRule="exact"/>
              <w:rPr>
                <w:sz w:val="20"/>
                <w:szCs w:val="20"/>
                <w:color w:val="auto"/>
              </w:rPr>
            </w:pPr>
            <w:r>
              <w:rPr>
                <w:rFonts w:ascii="Arial" w:cs="Arial" w:eastAsia="Arial" w:hAnsi="Arial"/>
                <w:sz w:val="18"/>
                <w:szCs w:val="18"/>
                <w:color w:val="auto"/>
                <w:w w:val="95"/>
              </w:rPr>
              <w:t>Chief Accounting Officer</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Rajiv Kumar</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spacing w:after="0"/>
              <w:rPr>
                <w:sz w:val="19"/>
                <w:szCs w:val="19"/>
                <w:color w:val="auto"/>
              </w:rPr>
            </w:pPr>
          </w:p>
        </w:tc>
        <w:tc>
          <w:tcPr>
            <w:tcW w:w="5020" w:type="dxa"/>
            <w:vAlign w:val="bottom"/>
          </w:tcPr>
          <w:p>
            <w:pPr>
              <w:jc w:val="center"/>
              <w:ind w:left="70"/>
              <w:spacing w:after="0"/>
              <w:rPr>
                <w:sz w:val="20"/>
                <w:szCs w:val="20"/>
                <w:color w:val="auto"/>
              </w:rPr>
            </w:pPr>
            <w:r>
              <w:rPr>
                <w:rFonts w:ascii="Arial" w:cs="Arial" w:eastAsia="Arial" w:hAnsi="Arial"/>
                <w:sz w:val="18"/>
                <w:szCs w:val="18"/>
                <w:color w:val="auto"/>
                <w:w w:val="95"/>
              </w:rPr>
              <w:t>(Principal Accounting Officer)</w:t>
            </w:r>
          </w:p>
        </w:tc>
        <w:tc>
          <w:tcPr>
            <w:tcW w:w="1840" w:type="dxa"/>
            <w:vAlign w:val="bottom"/>
          </w:tcPr>
          <w:p>
            <w:pPr>
              <w:jc w:val="center"/>
              <w:ind w:left="610"/>
              <w:spacing w:after="0"/>
              <w:rPr>
                <w:sz w:val="20"/>
                <w:szCs w:val="20"/>
                <w:color w:val="auto"/>
              </w:rPr>
            </w:pPr>
            <w:r>
              <w:rPr>
                <w:rFonts w:ascii="Arial" w:cs="Arial" w:eastAsia="Arial" w:hAnsi="Arial"/>
                <w:sz w:val="18"/>
                <w:szCs w:val="18"/>
                <w:color w:val="auto"/>
                <w:w w:val="91"/>
              </w:rPr>
              <w:t>March 17, 2022</w:t>
            </w:r>
          </w:p>
        </w:tc>
        <w:tc>
          <w:tcPr>
            <w:tcW w:w="0" w:type="dxa"/>
            <w:vAlign w:val="bottom"/>
          </w:tcPr>
          <w:p>
            <w:pPr>
              <w:spacing w:after="0"/>
              <w:rPr>
                <w:sz w:val="1"/>
                <w:szCs w:val="1"/>
                <w:color w:val="auto"/>
              </w:rPr>
            </w:pPr>
          </w:p>
        </w:tc>
      </w:tr>
      <w:tr>
        <w:trPr>
          <w:trHeight w:val="391"/>
        </w:trPr>
        <w:tc>
          <w:tcPr>
            <w:tcW w:w="3080" w:type="dxa"/>
            <w:vAlign w:val="bottom"/>
            <w:gridSpan w:val="9"/>
          </w:tcPr>
          <w:p>
            <w:pPr>
              <w:spacing w:after="0"/>
              <w:rPr>
                <w:sz w:val="20"/>
                <w:szCs w:val="20"/>
                <w:color w:val="auto"/>
              </w:rPr>
            </w:pPr>
            <w:r>
              <w:rPr>
                <w:rFonts w:ascii="Arial" w:cs="Arial" w:eastAsia="Arial" w:hAnsi="Arial"/>
                <w:sz w:val="18"/>
                <w:szCs w:val="18"/>
                <w:color w:val="auto"/>
              </w:rPr>
              <w:t>/s/ John Priore</w:t>
            </w:r>
          </w:p>
        </w:tc>
        <w:tc>
          <w:tcPr>
            <w:tcW w:w="5020" w:type="dxa"/>
            <w:vAlign w:val="bottom"/>
          </w:tcPr>
          <w:p>
            <w:pPr>
              <w:jc w:val="center"/>
              <w:ind w:left="9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jc w:val="center"/>
              <w:ind w:left="610"/>
              <w:spacing w:after="0"/>
              <w:rPr>
                <w:sz w:val="20"/>
                <w:szCs w:val="20"/>
                <w:color w:val="auto"/>
              </w:rPr>
            </w:pPr>
            <w:r>
              <w:rPr>
                <w:rFonts w:ascii="Arial" w:cs="Arial" w:eastAsia="Arial" w:hAnsi="Arial"/>
                <w:sz w:val="18"/>
                <w:szCs w:val="18"/>
                <w:color w:val="auto"/>
                <w:w w:val="91"/>
              </w:rPr>
              <w:t>March 17, 2022</w:t>
            </w:r>
          </w:p>
        </w:tc>
        <w:tc>
          <w:tcPr>
            <w:tcW w:w="0" w:type="dxa"/>
            <w:vAlign w:val="bottom"/>
          </w:tcPr>
          <w:p>
            <w:pPr>
              <w:spacing w:after="0"/>
              <w:rPr>
                <w:sz w:val="1"/>
                <w:szCs w:val="1"/>
                <w:color w:val="auto"/>
              </w:rPr>
            </w:pPr>
          </w:p>
        </w:tc>
      </w:tr>
      <w:tr>
        <w:trPr>
          <w:trHeight w:val="250"/>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Priore</w:t>
            </w:r>
          </w:p>
        </w:tc>
        <w:tc>
          <w:tcPr>
            <w:tcW w:w="2040" w:type="dxa"/>
            <w:vAlign w:val="bottom"/>
            <w:gridSpan w:val="8"/>
          </w:tcPr>
          <w:p>
            <w:pPr>
              <w:spacing w:after="0"/>
              <w:rPr>
                <w:sz w:val="21"/>
                <w:szCs w:val="21"/>
                <w:color w:val="auto"/>
              </w:rPr>
            </w:pPr>
          </w:p>
        </w:tc>
        <w:tc>
          <w:tcPr>
            <w:tcW w:w="50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3080" w:type="dxa"/>
            <w:vAlign w:val="bottom"/>
            <w:gridSpan w:val="9"/>
          </w:tcPr>
          <w:p>
            <w:pPr>
              <w:spacing w:after="0"/>
              <w:rPr>
                <w:sz w:val="20"/>
                <w:szCs w:val="20"/>
                <w:color w:val="auto"/>
              </w:rPr>
            </w:pPr>
            <w:r>
              <w:rPr>
                <w:rFonts w:ascii="Arial" w:cs="Arial" w:eastAsia="Arial" w:hAnsi="Arial"/>
                <w:sz w:val="18"/>
                <w:szCs w:val="18"/>
                <w:color w:val="auto"/>
              </w:rPr>
              <w:t>/s/ Michael Passilla</w:t>
            </w:r>
          </w:p>
        </w:tc>
        <w:tc>
          <w:tcPr>
            <w:tcW w:w="5020" w:type="dxa"/>
            <w:vAlign w:val="bottom"/>
            <w:vMerge w:val="restart"/>
          </w:tcPr>
          <w:p>
            <w:pPr>
              <w:jc w:val="center"/>
              <w:ind w:left="90"/>
              <w:spacing w:after="0"/>
              <w:rPr>
                <w:sz w:val="20"/>
                <w:szCs w:val="20"/>
                <w:color w:val="auto"/>
              </w:rPr>
            </w:pPr>
            <w:r>
              <w:rPr>
                <w:rFonts w:ascii="Arial" w:cs="Arial" w:eastAsia="Arial" w:hAnsi="Arial"/>
                <w:sz w:val="18"/>
                <w:szCs w:val="18"/>
                <w:color w:val="auto"/>
                <w:w w:val="95"/>
              </w:rPr>
              <w:t>Director</w:t>
            </w:r>
          </w:p>
        </w:tc>
        <w:tc>
          <w:tcPr>
            <w:tcW w:w="1840" w:type="dxa"/>
            <w:vAlign w:val="bottom"/>
            <w:vMerge w:val="restart"/>
          </w:tcPr>
          <w:p>
            <w:pPr>
              <w:jc w:val="center"/>
              <w:ind w:left="610"/>
              <w:spacing w:after="0"/>
              <w:rPr>
                <w:sz w:val="20"/>
                <w:szCs w:val="20"/>
                <w:color w:val="auto"/>
              </w:rPr>
            </w:pPr>
            <w:r>
              <w:rPr>
                <w:rFonts w:ascii="Arial" w:cs="Arial" w:eastAsia="Arial" w:hAnsi="Arial"/>
                <w:sz w:val="18"/>
                <w:szCs w:val="18"/>
                <w:color w:val="auto"/>
                <w:w w:val="91"/>
              </w:rPr>
              <w:t>March 17, 2022</w:t>
            </w:r>
          </w:p>
        </w:tc>
        <w:tc>
          <w:tcPr>
            <w:tcW w:w="0" w:type="dxa"/>
            <w:vAlign w:val="bottom"/>
          </w:tcPr>
          <w:p>
            <w:pPr>
              <w:spacing w:after="0"/>
              <w:rPr>
                <w:sz w:val="1"/>
                <w:szCs w:val="1"/>
                <w:color w:val="auto"/>
              </w:rPr>
            </w:pPr>
          </w:p>
        </w:tc>
      </w:tr>
      <w:tr>
        <w:trPr>
          <w:trHeight w:val="224"/>
        </w:trPr>
        <w:tc>
          <w:tcPr>
            <w:tcW w:w="14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Michael Passilla</w:t>
            </w:r>
          </w:p>
        </w:tc>
        <w:tc>
          <w:tcPr>
            <w:tcW w:w="4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spacing w:after="0"/>
              <w:rPr>
                <w:sz w:val="19"/>
                <w:szCs w:val="19"/>
                <w:color w:val="auto"/>
              </w:rPr>
            </w:pPr>
          </w:p>
        </w:tc>
        <w:tc>
          <w:tcPr>
            <w:tcW w:w="502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080" w:type="dxa"/>
            <w:vAlign w:val="bottom"/>
            <w:gridSpan w:val="9"/>
          </w:tcPr>
          <w:p>
            <w:pPr>
              <w:spacing w:after="0"/>
              <w:rPr>
                <w:sz w:val="20"/>
                <w:szCs w:val="20"/>
                <w:color w:val="auto"/>
              </w:rPr>
            </w:pPr>
            <w:r>
              <w:rPr>
                <w:rFonts w:ascii="Arial" w:cs="Arial" w:eastAsia="Arial" w:hAnsi="Arial"/>
                <w:sz w:val="18"/>
                <w:szCs w:val="18"/>
                <w:color w:val="auto"/>
              </w:rPr>
              <w:t>/s/ Marietta C. Davis</w:t>
            </w:r>
          </w:p>
        </w:tc>
        <w:tc>
          <w:tcPr>
            <w:tcW w:w="5020" w:type="dxa"/>
            <w:vAlign w:val="bottom"/>
            <w:vMerge w:val="restart"/>
          </w:tcPr>
          <w:p>
            <w:pPr>
              <w:jc w:val="center"/>
              <w:ind w:left="90"/>
              <w:spacing w:after="0"/>
              <w:rPr>
                <w:sz w:val="20"/>
                <w:szCs w:val="20"/>
                <w:color w:val="auto"/>
              </w:rPr>
            </w:pPr>
            <w:r>
              <w:rPr>
                <w:rFonts w:ascii="Arial" w:cs="Arial" w:eastAsia="Arial" w:hAnsi="Arial"/>
                <w:sz w:val="18"/>
                <w:szCs w:val="18"/>
                <w:color w:val="auto"/>
                <w:w w:val="95"/>
              </w:rPr>
              <w:t>Director</w:t>
            </w:r>
          </w:p>
        </w:tc>
        <w:tc>
          <w:tcPr>
            <w:tcW w:w="1840" w:type="dxa"/>
            <w:vAlign w:val="bottom"/>
            <w:vMerge w:val="restart"/>
          </w:tcPr>
          <w:p>
            <w:pPr>
              <w:jc w:val="center"/>
              <w:ind w:left="610"/>
              <w:spacing w:after="0"/>
              <w:rPr>
                <w:sz w:val="20"/>
                <w:szCs w:val="20"/>
                <w:color w:val="auto"/>
              </w:rPr>
            </w:pPr>
            <w:r>
              <w:rPr>
                <w:rFonts w:ascii="Arial" w:cs="Arial" w:eastAsia="Arial" w:hAnsi="Arial"/>
                <w:sz w:val="18"/>
                <w:szCs w:val="18"/>
                <w:color w:val="auto"/>
                <w:w w:val="91"/>
              </w:rPr>
              <w:t>March 17, 2022</w:t>
            </w:r>
          </w:p>
        </w:tc>
        <w:tc>
          <w:tcPr>
            <w:tcW w:w="0" w:type="dxa"/>
            <w:vAlign w:val="bottom"/>
          </w:tcPr>
          <w:p>
            <w:pPr>
              <w:spacing w:after="0"/>
              <w:rPr>
                <w:sz w:val="1"/>
                <w:szCs w:val="1"/>
                <w:color w:val="auto"/>
              </w:rPr>
            </w:pPr>
          </w:p>
        </w:tc>
      </w:tr>
      <w:tr>
        <w:trPr>
          <w:trHeight w:val="224"/>
        </w:trPr>
        <w:tc>
          <w:tcPr>
            <w:tcW w:w="152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Marietta C. Davis</w:t>
            </w:r>
          </w:p>
        </w:tc>
        <w:tc>
          <w:tcPr>
            <w:tcW w:w="160" w:type="dxa"/>
            <w:vAlign w:val="bottom"/>
          </w:tcPr>
          <w:p>
            <w:pPr>
              <w:spacing w:after="0"/>
              <w:rPr>
                <w:sz w:val="19"/>
                <w:szCs w:val="19"/>
                <w:color w:val="auto"/>
              </w:rPr>
            </w:pPr>
          </w:p>
        </w:tc>
        <w:tc>
          <w:tcPr>
            <w:tcW w:w="1400" w:type="dxa"/>
            <w:vAlign w:val="bottom"/>
            <w:gridSpan w:val="2"/>
          </w:tcPr>
          <w:p>
            <w:pPr>
              <w:spacing w:after="0"/>
              <w:rPr>
                <w:sz w:val="19"/>
                <w:szCs w:val="19"/>
                <w:color w:val="auto"/>
              </w:rPr>
            </w:pPr>
          </w:p>
        </w:tc>
        <w:tc>
          <w:tcPr>
            <w:tcW w:w="502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080" w:type="dxa"/>
            <w:vAlign w:val="bottom"/>
            <w:gridSpan w:val="9"/>
          </w:tcPr>
          <w:p>
            <w:pPr>
              <w:spacing w:after="0"/>
              <w:rPr>
                <w:sz w:val="20"/>
                <w:szCs w:val="20"/>
                <w:color w:val="auto"/>
              </w:rPr>
            </w:pPr>
            <w:r>
              <w:rPr>
                <w:rFonts w:ascii="Arial" w:cs="Arial" w:eastAsia="Arial" w:hAnsi="Arial"/>
                <w:sz w:val="18"/>
                <w:szCs w:val="18"/>
                <w:color w:val="auto"/>
              </w:rPr>
              <w:t>/s/ Christina M. Favilla</w:t>
            </w:r>
          </w:p>
        </w:tc>
        <w:tc>
          <w:tcPr>
            <w:tcW w:w="5020" w:type="dxa"/>
            <w:vAlign w:val="bottom"/>
            <w:vMerge w:val="restart"/>
          </w:tcPr>
          <w:p>
            <w:pPr>
              <w:jc w:val="center"/>
              <w:ind w:left="90"/>
              <w:spacing w:after="0"/>
              <w:rPr>
                <w:sz w:val="20"/>
                <w:szCs w:val="20"/>
                <w:color w:val="auto"/>
              </w:rPr>
            </w:pPr>
            <w:r>
              <w:rPr>
                <w:rFonts w:ascii="Arial" w:cs="Arial" w:eastAsia="Arial" w:hAnsi="Arial"/>
                <w:sz w:val="18"/>
                <w:szCs w:val="18"/>
                <w:color w:val="auto"/>
                <w:w w:val="95"/>
              </w:rPr>
              <w:t>Director</w:t>
            </w:r>
          </w:p>
        </w:tc>
        <w:tc>
          <w:tcPr>
            <w:tcW w:w="1840" w:type="dxa"/>
            <w:vAlign w:val="bottom"/>
            <w:vMerge w:val="restart"/>
          </w:tcPr>
          <w:p>
            <w:pPr>
              <w:jc w:val="center"/>
              <w:ind w:left="610"/>
              <w:spacing w:after="0"/>
              <w:rPr>
                <w:sz w:val="20"/>
                <w:szCs w:val="20"/>
                <w:color w:val="auto"/>
              </w:rPr>
            </w:pPr>
            <w:r>
              <w:rPr>
                <w:rFonts w:ascii="Arial" w:cs="Arial" w:eastAsia="Arial" w:hAnsi="Arial"/>
                <w:sz w:val="18"/>
                <w:szCs w:val="18"/>
                <w:color w:val="auto"/>
                <w:w w:val="91"/>
              </w:rPr>
              <w:t>March 17, 2022</w:t>
            </w:r>
          </w:p>
        </w:tc>
        <w:tc>
          <w:tcPr>
            <w:tcW w:w="0" w:type="dxa"/>
            <w:vAlign w:val="bottom"/>
          </w:tcPr>
          <w:p>
            <w:pPr>
              <w:spacing w:after="0"/>
              <w:rPr>
                <w:sz w:val="1"/>
                <w:szCs w:val="1"/>
                <w:color w:val="auto"/>
              </w:rPr>
            </w:pPr>
          </w:p>
        </w:tc>
      </w:tr>
      <w:tr>
        <w:trPr>
          <w:trHeight w:val="224"/>
        </w:trPr>
        <w:tc>
          <w:tcPr>
            <w:tcW w:w="168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Christina M. Favilla</w:t>
            </w:r>
          </w:p>
        </w:tc>
        <w:tc>
          <w:tcPr>
            <w:tcW w:w="1400" w:type="dxa"/>
            <w:vAlign w:val="bottom"/>
            <w:gridSpan w:val="2"/>
          </w:tcPr>
          <w:p>
            <w:pPr>
              <w:spacing w:after="0"/>
              <w:rPr>
                <w:sz w:val="19"/>
                <w:szCs w:val="19"/>
                <w:color w:val="auto"/>
              </w:rPr>
            </w:pPr>
          </w:p>
        </w:tc>
        <w:tc>
          <w:tcPr>
            <w:tcW w:w="502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3080" w:type="dxa"/>
            <w:vAlign w:val="bottom"/>
            <w:gridSpan w:val="9"/>
          </w:tcPr>
          <w:p>
            <w:pPr>
              <w:spacing w:after="0"/>
              <w:rPr>
                <w:sz w:val="20"/>
                <w:szCs w:val="20"/>
                <w:color w:val="auto"/>
              </w:rPr>
            </w:pPr>
            <w:r>
              <w:rPr>
                <w:rFonts w:ascii="Arial" w:cs="Arial" w:eastAsia="Arial" w:hAnsi="Arial"/>
                <w:sz w:val="18"/>
                <w:szCs w:val="18"/>
                <w:color w:val="auto"/>
              </w:rPr>
              <w:t>/s/ Stephen W. Hipp</w:t>
            </w:r>
          </w:p>
        </w:tc>
        <w:tc>
          <w:tcPr>
            <w:tcW w:w="5020" w:type="dxa"/>
            <w:vAlign w:val="bottom"/>
            <w:vMerge w:val="restart"/>
          </w:tcPr>
          <w:p>
            <w:pPr>
              <w:jc w:val="center"/>
              <w:ind w:left="90"/>
              <w:spacing w:after="0"/>
              <w:rPr>
                <w:sz w:val="20"/>
                <w:szCs w:val="20"/>
                <w:color w:val="auto"/>
              </w:rPr>
            </w:pPr>
            <w:r>
              <w:rPr>
                <w:rFonts w:ascii="Arial" w:cs="Arial" w:eastAsia="Arial" w:hAnsi="Arial"/>
                <w:sz w:val="18"/>
                <w:szCs w:val="18"/>
                <w:color w:val="auto"/>
                <w:w w:val="95"/>
              </w:rPr>
              <w:t>Director</w:t>
            </w:r>
          </w:p>
        </w:tc>
        <w:tc>
          <w:tcPr>
            <w:tcW w:w="1840" w:type="dxa"/>
            <w:vAlign w:val="bottom"/>
            <w:vMerge w:val="restart"/>
          </w:tcPr>
          <w:p>
            <w:pPr>
              <w:jc w:val="center"/>
              <w:ind w:left="610"/>
              <w:spacing w:after="0"/>
              <w:rPr>
                <w:sz w:val="20"/>
                <w:szCs w:val="20"/>
                <w:color w:val="auto"/>
              </w:rPr>
            </w:pPr>
            <w:r>
              <w:rPr>
                <w:rFonts w:ascii="Arial" w:cs="Arial" w:eastAsia="Arial" w:hAnsi="Arial"/>
                <w:sz w:val="18"/>
                <w:szCs w:val="18"/>
                <w:color w:val="auto"/>
                <w:w w:val="91"/>
              </w:rPr>
              <w:t>March 17, 2022</w:t>
            </w:r>
          </w:p>
        </w:tc>
        <w:tc>
          <w:tcPr>
            <w:tcW w:w="0" w:type="dxa"/>
            <w:vAlign w:val="bottom"/>
          </w:tcPr>
          <w:p>
            <w:pPr>
              <w:spacing w:after="0"/>
              <w:rPr>
                <w:sz w:val="1"/>
                <w:szCs w:val="1"/>
                <w:color w:val="auto"/>
              </w:rPr>
            </w:pPr>
          </w:p>
        </w:tc>
      </w:tr>
      <w:tr>
        <w:trPr>
          <w:trHeight w:val="224"/>
        </w:trPr>
        <w:tc>
          <w:tcPr>
            <w:tcW w:w="14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Stephen W. Hipp</w:t>
            </w:r>
          </w:p>
        </w:tc>
        <w:tc>
          <w:tcPr>
            <w:tcW w:w="1640" w:type="dxa"/>
            <w:vAlign w:val="bottom"/>
            <w:gridSpan w:val="5"/>
          </w:tcPr>
          <w:p>
            <w:pPr>
              <w:spacing w:after="0"/>
              <w:rPr>
                <w:sz w:val="19"/>
                <w:szCs w:val="19"/>
                <w:color w:val="auto"/>
              </w:rPr>
            </w:pPr>
          </w:p>
        </w:tc>
        <w:tc>
          <w:tcPr>
            <w:tcW w:w="502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52" w:lineRule="exact"/>
        <w:rPr>
          <w:sz w:val="20"/>
          <w:szCs w:val="20"/>
          <w:color w:val="auto"/>
        </w:rPr>
      </w:pPr>
    </w:p>
    <w:p>
      <w:pPr>
        <w:jc w:val="center"/>
        <w:spacing w:after="0" w:line="307" w:lineRule="auto"/>
        <w:rPr>
          <w:sz w:val="20"/>
          <w:szCs w:val="20"/>
          <w:color w:val="auto"/>
        </w:rPr>
      </w:pPr>
      <w:r>
        <w:rPr>
          <w:rFonts w:ascii="Arial" w:cs="Arial" w:eastAsia="Arial" w:hAnsi="Arial"/>
          <w:sz w:val="22"/>
          <w:szCs w:val="22"/>
          <w:b w:val="1"/>
          <w:bCs w:val="1"/>
          <w:color w:val="auto"/>
        </w:rPr>
        <w:t>DESCRIPTION OF THE REGISTRANT’S SECURITIES REGISTERED PURSUANT TO SECTION 12 OF THE SECURITIES EXCHANGE ACT OF 1934</w:t>
      </w:r>
    </w:p>
    <w:p>
      <w:pPr>
        <w:spacing w:after="0" w:line="200" w:lineRule="exact"/>
        <w:rPr>
          <w:sz w:val="20"/>
          <w:szCs w:val="20"/>
          <w:color w:val="auto"/>
        </w:rPr>
      </w:pP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is a summary description of the Common Stock, par value $0.001 per share (the “Common Stock”), of Priority Technology Holdings, Inc. (“Priority”), which is the only security of Priority registered pursuant to Section 12 of the Securities Exchange Act of 1934, as amended.</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COMMON STOCK</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following description of our Common Stock is based on our Second Amended and Restated Certificate of Incorporation (“Certificate of Incorporation”) and Amended and Restated Bylaws (“Bylaws”), and applicable provisions of law. We have summarized certain portions of our Certificate of Incorporation and Bylaws below. The summary is subject to, and is qualified in its entirety by, our Certificate of Incorporation and our Bylaws, each of which is filed as an exhibit to our Annual Report on Form 10-K, and the applicable provisions of the Delaware General Corporation Law (“DGCL”). You should read our Certificate of Incorporation, Bylaws, and the applicable provision of the DGCL for additional information. For purposes of this description, references to “Company,” “Priority,” “Registrant,” “we,” “our,” and “us” refer to Priority Technology Holdings, Inc. and its subsidiaries.</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Authorized Capitalization</w:t>
      </w:r>
    </w:p>
    <w:p>
      <w:pPr>
        <w:spacing w:after="0" w:line="30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Our authorized capitalization consists of 1,000,000,000 shares of Common Stock and 100,000,000 shares of preferred stock, par value $.001 per share.</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As of March [xx], 2022, there were [xx,xxx,xxx] shares of Common Stock issued and outstanding and no shares of preferred stock issued and outstanding. This amount for issued shares of Common Stock includes approximately 451,000 shares held by Priority as “treasury shares.” On December 31, 2020, there were employee stock options and restricted stock awards outstanding to issue approximately [x,xxx,000] shares of Priority's Common Stock and warrants to issue approximately [x.xxx.000] shares of our Common Stock. A former underwriter holds options for 300,000 shares of our common stock and 300,000 warrants whereby each warrant represents one share of Priority's common stock.</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Voting Rights</w:t>
      </w:r>
      <w:r>
        <w:rPr>
          <w:rFonts w:ascii="Arial" w:cs="Arial" w:eastAsia="Arial" w:hAnsi="Arial"/>
          <w:sz w:val="20"/>
          <w:szCs w:val="20"/>
          <w:color w:val="auto"/>
        </w:rPr>
        <w:t>. Each holder of Priority's Common Stock is entitled to one vote for each share of Common Stock held of record on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applicable record date on all matters submitted to a vote of stockholders. Holders of Common Stock do not have cumulative voting rights in the election of directors.</w:t>
      </w:r>
    </w:p>
    <w:p>
      <w:pPr>
        <w:sectPr>
          <w:pgSz w:w="11900" w:h="16838" w:orient="portrait"/>
          <w:cols w:equalWidth="0" w:num="1">
            <w:col w:w="11240"/>
          </w:cols>
          <w:pgMar w:left="320" w:top="1440" w:right="339" w:bottom="1440" w:gutter="0" w:footer="0" w:header="0"/>
        </w:sectPr>
      </w:pPr>
    </w:p>
    <w:bookmarkStart w:id="101" w:name="page102"/>
    <w:bookmarkEnd w:id="101"/>
    <w:p>
      <w:pPr>
        <w:jc w:val="both"/>
        <w:spacing w:after="0" w:line="244" w:lineRule="auto"/>
        <w:rPr>
          <w:sz w:val="20"/>
          <w:szCs w:val="20"/>
          <w:color w:val="auto"/>
        </w:rPr>
      </w:pPr>
      <w:r>
        <w:rPr>
          <w:rFonts w:ascii="Arial" w:cs="Arial" w:eastAsia="Arial" w:hAnsi="Arial"/>
          <w:sz w:val="20"/>
          <w:szCs w:val="20"/>
          <w:color w:val="auto"/>
        </w:rPr>
        <w:t>Our Bylaws provide for a majority vote standard for all corporate actions. Except as otherwise provided by law or by the Certificate of Incorporation, the holders of a majority of the votes entitled to be cast by the stockholders entitled to vote generally, present in person or by proxy, shall constitute a quorum at any meeting of the stockholders; provided, however, that in the case of any vote to be taken by classes or series, the holders of a majority of the votes entitled to be cast by the stockholders of a particular class or series, present in person or by proxy, shall constitute a quorum of such class or series.</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Dividend Rights</w:t>
      </w:r>
      <w:r>
        <w:rPr>
          <w:rFonts w:ascii="Arial" w:cs="Arial" w:eastAsia="Arial" w:hAnsi="Arial"/>
          <w:sz w:val="20"/>
          <w:szCs w:val="20"/>
          <w:color w:val="auto"/>
        </w:rPr>
        <w:t>. Subject to any preferential dividend rights of outstanding preferred stock, holders of Common Stock are entitled to receive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equally and ratably, share for share, dividends, if any, as may be declared by our board of directors (our “Board”) out of funds legally available therefor.</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Liquidation Rights</w:t>
      </w:r>
      <w:r>
        <w:rPr>
          <w:rFonts w:ascii="Arial" w:cs="Arial" w:eastAsia="Arial" w:hAnsi="Arial"/>
          <w:sz w:val="20"/>
          <w:szCs w:val="20"/>
          <w:color w:val="auto"/>
        </w:rPr>
        <w:t>. Upon liquidation, dissolution of assets or other winding up, the holders of Common Stock are entitled to receive ratably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assets available for distribution to the stockholders after payment of liabilities and the liquidation preference of any outstanding shares of preferred stock.</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Fully Paid and Nonassessable. </w:t>
      </w:r>
      <w:r>
        <w:rPr>
          <w:rFonts w:ascii="Arial" w:cs="Arial" w:eastAsia="Arial" w:hAnsi="Arial"/>
          <w:sz w:val="20"/>
          <w:szCs w:val="20"/>
          <w:color w:val="auto"/>
        </w:rPr>
        <w:t>The outstanding shares of our Common Stock are fully paid and non-assessable.</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Other Matters</w:t>
      </w:r>
      <w:r>
        <w:rPr>
          <w:rFonts w:ascii="Arial" w:cs="Arial" w:eastAsia="Arial" w:hAnsi="Arial"/>
          <w:sz w:val="20"/>
          <w:szCs w:val="20"/>
          <w:color w:val="auto"/>
        </w:rPr>
        <w:t>. Holders of our Common Stock have no preemptive or conversion rights and are not subject to further calls or assessment by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us. There are no redemption or sinking fund provisions applicable to the Common Stock.</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Listing and Transfer Agent</w:t>
      </w:r>
      <w:r>
        <w:rPr>
          <w:rFonts w:ascii="Arial" w:cs="Arial" w:eastAsia="Arial" w:hAnsi="Arial"/>
          <w:sz w:val="20"/>
          <w:szCs w:val="20"/>
          <w:color w:val="auto"/>
        </w:rPr>
        <w:t>. Our Common Stock is listed for trading on the NASDAQ Stock Market under the symbol “PRTH.” The transfer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agent and registrar for our Common Stock is American Stock Transfer.</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Provisions</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Certain provisions in our Certificate of Incorporation, Bylaws and the DGCL may have the effect of delaying, deferring or discouraging another party from acquiring us. These provisions, which are summarized below, are expected to discourage coercive takeover practices and inadequate takeover bids. These provisions also are designed to encourage persons seeking to acquire control of us to first negotiate with our Board.</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Amendment to Certificate of Incorporation and Bylaws</w:t>
      </w:r>
      <w:r>
        <w:rPr>
          <w:rFonts w:ascii="Arial" w:cs="Arial" w:eastAsia="Arial" w:hAnsi="Arial"/>
          <w:sz w:val="18"/>
          <w:szCs w:val="18"/>
          <w:color w:val="auto"/>
        </w:rPr>
        <w:t>. Our Bylaws may be amended, altered, changed or repealed by a majority vote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In addition to any other vote otherwise required by law, any amendment, alteration, change, or repeal of our Bylaws by our stockholders will require the affirmative vote of at least 66</w:t>
      </w:r>
      <w:r>
        <w:rPr>
          <w:rFonts w:ascii="Arial" w:cs="Arial" w:eastAsia="Arial" w:hAnsi="Arial"/>
          <w:sz w:val="21"/>
          <w:szCs w:val="21"/>
          <w:color w:val="auto"/>
          <w:vertAlign w:val="superscript"/>
        </w:rPr>
        <w:t>2/3</w:t>
      </w:r>
      <w:r>
        <w:rPr>
          <w:rFonts w:ascii="Arial" w:cs="Arial" w:eastAsia="Arial" w:hAnsi="Arial"/>
          <w:sz w:val="18"/>
          <w:szCs w:val="18"/>
          <w:color w:val="auto"/>
        </w:rPr>
        <w:t>% of the voting power of our outstanding shares of common stock, voting as a single class. Additionally, the affirmative vote of at least 66</w:t>
      </w:r>
      <w:r>
        <w:rPr>
          <w:rFonts w:ascii="Arial" w:cs="Arial" w:eastAsia="Arial" w:hAnsi="Arial"/>
          <w:sz w:val="21"/>
          <w:szCs w:val="21"/>
          <w:color w:val="auto"/>
          <w:vertAlign w:val="superscript"/>
        </w:rPr>
        <w:t>2/3</w:t>
      </w:r>
      <w:r>
        <w:rPr>
          <w:rFonts w:ascii="Arial" w:cs="Arial" w:eastAsia="Arial" w:hAnsi="Arial"/>
          <w:sz w:val="18"/>
          <w:szCs w:val="18"/>
          <w:color w:val="auto"/>
        </w:rPr>
        <w:t>% of the voting power of our outstanding shares of common stock, voting as a single class, will be required to amend or repeal certain provisions of our Certificate of Incorporation or to adopt any provision inconsistent with specified provisions of our Certificate of Incorporation. This requirement of a supermajority vote to approve amendments to our Certificate of Incorporation and Bylaws could enable a minority of our stockholders to exercise veto power over any such amendments.</w:t>
      </w:r>
    </w:p>
    <w:p>
      <w:pPr>
        <w:spacing w:after="0" w:line="205"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b w:val="1"/>
          <w:bCs w:val="1"/>
          <w:i w:val="1"/>
          <w:iCs w:val="1"/>
          <w:color w:val="auto"/>
        </w:rPr>
        <w:t>Advance Notice Requirements for Stockholder Proposals and Director Nominations</w:t>
      </w:r>
      <w:r>
        <w:rPr>
          <w:rFonts w:ascii="Arial" w:cs="Arial" w:eastAsia="Arial" w:hAnsi="Arial"/>
          <w:sz w:val="20"/>
          <w:szCs w:val="20"/>
          <w:color w:val="auto"/>
        </w:rPr>
        <w:t>. Our Bylaws establish advance notice procedures with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respect to stockholder proposals and the nomination of candidates for election as directors. In order for any matter to be “properly brought” before a meeting, a</w:t>
      </w:r>
    </w:p>
    <w:p>
      <w:pPr>
        <w:sectPr>
          <w:pgSz w:w="11900" w:h="16838" w:orient="portrait"/>
          <w:cols w:equalWidth="0" w:num="1">
            <w:col w:w="11240"/>
          </w:cols>
          <w:pgMar w:left="320" w:top="1419" w:right="339" w:bottom="1440" w:gutter="0" w:footer="0" w:header="0"/>
        </w:sectPr>
      </w:pPr>
    </w:p>
    <w:bookmarkStart w:id="102" w:name="page103"/>
    <w:bookmarkEnd w:id="102"/>
    <w:p>
      <w:pPr>
        <w:jc w:val="both"/>
        <w:spacing w:after="0" w:line="244" w:lineRule="auto"/>
        <w:rPr>
          <w:sz w:val="20"/>
          <w:szCs w:val="20"/>
          <w:color w:val="auto"/>
        </w:rPr>
      </w:pPr>
      <w:r>
        <w:rPr>
          <w:rFonts w:ascii="Arial" w:cs="Arial" w:eastAsia="Arial" w:hAnsi="Arial"/>
          <w:sz w:val="20"/>
          <w:szCs w:val="20"/>
          <w:color w:val="auto"/>
        </w:rPr>
        <w:t>stockholder will have to comply with advance notice requirements and provide us with certain information. Our Bylaws allow the presiding officer at a meeting of the stockholders to adopt rules and regulations for the conduct of meetings which may have the effect of precluding the conduct of certain business at a meeting if the rules and regulations are not followed. These provisions may defer, delay or discourage a potential acquirer from conducting a solicitation of proxies to elect the acquirer’s own slate of directors or otherwise attempting to obtain control of Priority.</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9"/>
          <w:szCs w:val="19"/>
          <w:b w:val="1"/>
          <w:bCs w:val="1"/>
          <w:i w:val="1"/>
          <w:iCs w:val="1"/>
          <w:color w:val="auto"/>
        </w:rPr>
        <w:t>Choice of Forum</w:t>
      </w:r>
      <w:r>
        <w:rPr>
          <w:rFonts w:ascii="Arial" w:cs="Arial" w:eastAsia="Arial" w:hAnsi="Arial"/>
          <w:sz w:val="19"/>
          <w:szCs w:val="19"/>
          <w:color w:val="auto"/>
        </w:rPr>
        <w:t>. Our Certificate of Incorporation provides that, unless we consent in writing to the selection of an alternative forum,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Court of Chancery of the State of Delaware (or, if the Court of Chancery does not have jurisdiction, the United States District Court for the District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the Company or any director or officer of our Company arising pursuant to any provision of the DGCL, our Certificate of Incorporation or our Bylaws or (4) any other action asserting a claim against our Company or any director or officer of our Company that is governed by the internal affairs doctrine. Although we believe these provisions benefit us by providing increased consistency in the application of Delaware law for the specified types of actions and proceedings, the provisions may have the effect of discouraging lawsuits against us or our directors and officers. The exclusive forum provision does not apply to any actions under United States federal securities laws.</w:t>
      </w:r>
    </w:p>
    <w:p>
      <w:pPr>
        <w:spacing w:after="0" w:line="21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i w:val="1"/>
          <w:iCs w:val="1"/>
          <w:color w:val="auto"/>
        </w:rPr>
        <w:t>Controlled Company</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Mr. Thomas Priore controls a majority of the voting power of Priority's outstanding Common Stock. As a result,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Priority is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w:t>
      </w:r>
    </w:p>
    <w:p>
      <w:pPr>
        <w:spacing w:after="0" w:line="24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20"/>
          <w:szCs w:val="20"/>
          <w:color w:val="auto"/>
        </w:rPr>
        <w:t>the requirement that a majority of our board of directors consist of independent directors;</w:t>
      </w:r>
    </w:p>
    <w:p>
      <w:pPr>
        <w:spacing w:after="0" w:line="249" w:lineRule="exact"/>
        <w:rPr>
          <w:rFonts w:ascii="Arial" w:cs="Arial" w:eastAsia="Arial" w:hAnsi="Arial"/>
          <w:sz w:val="22"/>
          <w:szCs w:val="22"/>
          <w:color w:val="auto"/>
        </w:rPr>
      </w:pPr>
    </w:p>
    <w:p>
      <w:pPr>
        <w:ind w:left="660" w:right="20" w:hanging="328"/>
        <w:spacing w:after="0" w:line="238" w:lineRule="auto"/>
        <w:tabs>
          <w:tab w:leader="none" w:pos="655" w:val="left"/>
        </w:tabs>
        <w:numPr>
          <w:ilvl w:val="0"/>
          <w:numId w:val="42"/>
        </w:numPr>
        <w:rPr>
          <w:rFonts w:ascii="Arial" w:cs="Arial" w:eastAsia="Arial" w:hAnsi="Arial"/>
          <w:sz w:val="22"/>
          <w:szCs w:val="22"/>
          <w:color w:val="auto"/>
        </w:rPr>
      </w:pPr>
      <w:r>
        <w:rPr>
          <w:rFonts w:ascii="Arial" w:cs="Arial" w:eastAsia="Arial" w:hAnsi="Arial"/>
          <w:sz w:val="20"/>
          <w:szCs w:val="20"/>
          <w:color w:val="auto"/>
        </w:rPr>
        <w:t>the requirement that we have a Nominating/Corporate Governance Committee that is composed entirely of independent directors with a written charter addressing the committee's purpose and responsibilities; and</w:t>
      </w:r>
    </w:p>
    <w:p>
      <w:pPr>
        <w:spacing w:after="0" w:line="250" w:lineRule="exact"/>
        <w:rPr>
          <w:rFonts w:ascii="Arial" w:cs="Arial" w:eastAsia="Arial" w:hAnsi="Arial"/>
          <w:sz w:val="22"/>
          <w:szCs w:val="22"/>
          <w:color w:val="auto"/>
        </w:rPr>
      </w:pPr>
    </w:p>
    <w:p>
      <w:pPr>
        <w:ind w:left="660" w:right="20" w:hanging="328"/>
        <w:spacing w:after="0" w:line="238" w:lineRule="auto"/>
        <w:tabs>
          <w:tab w:leader="none" w:pos="655" w:val="left"/>
        </w:tabs>
        <w:numPr>
          <w:ilvl w:val="0"/>
          <w:numId w:val="42"/>
        </w:numPr>
        <w:rPr>
          <w:rFonts w:ascii="Arial" w:cs="Arial" w:eastAsia="Arial" w:hAnsi="Arial"/>
          <w:sz w:val="22"/>
          <w:szCs w:val="22"/>
          <w:color w:val="auto"/>
        </w:rPr>
      </w:pPr>
      <w:r>
        <w:rPr>
          <w:rFonts w:ascii="Arial" w:cs="Arial" w:eastAsia="Arial" w:hAnsi="Arial"/>
          <w:sz w:val="20"/>
          <w:szCs w:val="20"/>
          <w:color w:val="auto"/>
        </w:rPr>
        <w:t>the requirement that we have a Compensation Committee that is composed entirely of independent directors with a written charter addressing the committee's purpose and responsibilities.</w:t>
      </w:r>
    </w:p>
    <w:p>
      <w:pPr>
        <w:spacing w:after="0" w:line="22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utilize and intend to continue to utilize these exemptions. As a result, we do not have a majority of independent directors and our Compensation Committee and Nominating/Corporate Governance Committee does not consist entirely of independent directors. Accordingly, our stockholders do not have the same protections afforded to stockholders of companies that are subject to all of the corporate governance requirements of Nasdaq.</w:t>
      </w:r>
    </w:p>
    <w:p>
      <w:pPr>
        <w:spacing w:after="0" w:line="21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i w:val="1"/>
          <w:iCs w:val="1"/>
          <w:color w:val="auto"/>
        </w:rPr>
        <w:t>No Cumulative Voting</w:t>
      </w:r>
      <w:r>
        <w:rPr>
          <w:rFonts w:ascii="Arial" w:cs="Arial" w:eastAsia="Arial" w:hAnsi="Arial"/>
          <w:sz w:val="20"/>
          <w:szCs w:val="20"/>
          <w:color w:val="auto"/>
        </w:rPr>
        <w:t>. The DGCL provides that stockholders are not entitled to the right to cumulate votes in the election of directors unless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our Certificate of Incorporation provides otherwise. Our Certificate of Incorporation prohibits cumulative voting.</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i w:val="1"/>
          <w:iCs w:val="1"/>
          <w:color w:val="auto"/>
        </w:rPr>
        <w:t xml:space="preserve">Delaware General Corporation Law. </w:t>
      </w:r>
      <w:r>
        <w:rPr>
          <w:rFonts w:ascii="Arial" w:cs="Arial" w:eastAsia="Arial" w:hAnsi="Arial"/>
          <w:sz w:val="20"/>
          <w:szCs w:val="20"/>
          <w:color w:val="auto"/>
        </w:rPr>
        <w:t>As a Delaware corporation, we are subject to certain anti-takeover provisions of the DGCL. Subject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certain exceptions, Section 203 of the DGCL prevents a publicly held</w:t>
      </w:r>
    </w:p>
    <w:p>
      <w:pPr>
        <w:sectPr>
          <w:pgSz w:w="11900" w:h="16838" w:orient="portrait"/>
          <w:cols w:equalWidth="0" w:num="1">
            <w:col w:w="11240"/>
          </w:cols>
          <w:pgMar w:left="320" w:top="1419" w:right="339" w:bottom="1440" w:gutter="0" w:footer="0" w:header="0"/>
        </w:sectPr>
      </w:pPr>
    </w:p>
    <w:bookmarkStart w:id="103" w:name="page104"/>
    <w:bookmarkEnd w:id="103"/>
    <w:p>
      <w:pPr>
        <w:jc w:val="both"/>
        <w:spacing w:after="0" w:line="255" w:lineRule="auto"/>
        <w:rPr>
          <w:sz w:val="20"/>
          <w:szCs w:val="20"/>
          <w:color w:val="auto"/>
        </w:rPr>
      </w:pPr>
      <w:r>
        <w:rPr>
          <w:rFonts w:ascii="Arial" w:cs="Arial" w:eastAsia="Arial" w:hAnsi="Arial"/>
          <w:sz w:val="19"/>
          <w:szCs w:val="19"/>
          <w:color w:val="auto"/>
        </w:rPr>
        <w:t>Delaware corporation from engaging in a “business combination” with any “interested stockholder” for three years following the date that the person became an interested stockholder, unless the interested stockholder attained such status with the approval of our Board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Section 203 of the DGCL makes it more difficult for an interested stockholder to effect various business combinations with a corporation for a three-year period. This statute could prohibit or delay mergers or other takeover or change in control attempts not approved in advance by our Board and as a result could discourage attempts to acquire us, which could depress the market price of our Common Stock.</w:t>
      </w:r>
    </w:p>
    <w:p>
      <w:pPr>
        <w:spacing w:after="0" w:line="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Undesignated Preferred Stock</w:t>
      </w:r>
      <w:r>
        <w:rPr>
          <w:rFonts w:ascii="Arial" w:cs="Arial" w:eastAsia="Arial" w:hAnsi="Arial"/>
          <w:sz w:val="18"/>
          <w:szCs w:val="18"/>
          <w:color w:val="auto"/>
        </w:rPr>
        <w:t>. Our Certificate of Incorporation authorizes our Board to issue preferred stock in one or more series and to fix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shares constituting such series and the designation of such series, the voting powers (if any) of the shares of such series, and the preferences and relative, participating, optional or other special rights, if any, and any qualifications, limitations or restrictions thereof, of the shares of such series. The powers, preferences and relative, participating, optional and other special rights of each series of preferred stock, and the qualifications, limitations or restrictions thereof, if any, may differ from those of any and all other series at any time</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outstanding. Except as otherwise required by the Certificate of Incorporation or by applicable law, holders of a series of preferred stock, as such, shall be entitled only to such voting rights, if any, as shall expressly be granted to such holders by the Certificate of Incorporation (including any certificate of designation relating to such series). Our authorized preferred stock consists of 100,000,000 shares of preferred stock, par value $.001 per share. Issuance of preferred stock in the future could discourage bids for the Common stock at a premium as well as create a depressive effect on the market price of the Common stock.</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i w:val="1"/>
          <w:iCs w:val="1"/>
          <w:color w:val="auto"/>
        </w:rPr>
        <w:t>Removal of Directors; Vacancies</w:t>
      </w:r>
      <w:r>
        <w:rPr>
          <w:rFonts w:ascii="Arial" w:cs="Arial" w:eastAsia="Arial" w:hAnsi="Arial"/>
          <w:sz w:val="20"/>
          <w:szCs w:val="20"/>
          <w:color w:val="auto"/>
        </w:rPr>
        <w:t>. Our Certificate of Incorporation provides that directors may be removed from office only for cause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only upon the affirmative vote of at least 66</w:t>
      </w:r>
      <w:r>
        <w:rPr>
          <w:rFonts w:ascii="Arial" w:cs="Arial" w:eastAsia="Arial" w:hAnsi="Arial"/>
          <w:sz w:val="23"/>
          <w:szCs w:val="23"/>
          <w:color w:val="auto"/>
          <w:vertAlign w:val="superscript"/>
        </w:rPr>
        <w:t>2/3</w:t>
      </w:r>
      <w:r>
        <w:rPr>
          <w:rFonts w:ascii="Arial" w:cs="Arial" w:eastAsia="Arial" w:hAnsi="Arial"/>
          <w:sz w:val="20"/>
          <w:szCs w:val="20"/>
          <w:color w:val="auto"/>
        </w:rPr>
        <w:t>% of the voting power of our outstanding shares of common stock entitled to vote in the election of directors. In addition, any newly-created directorship on our Board that results from an increase in the number of directors and any vacancy occurring on our Board shall be filled only by a majority of the directors then in office, although less than a quorum, or by a sole remaining director.</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Special Meetings</w:t>
      </w:r>
      <w:r>
        <w:rPr>
          <w:rFonts w:ascii="Arial" w:cs="Arial" w:eastAsia="Arial" w:hAnsi="Arial"/>
          <w:sz w:val="20"/>
          <w:szCs w:val="20"/>
          <w:color w:val="auto"/>
        </w:rPr>
        <w:t>. A special meeting of stockholders of Priority may be called only by (a) the Board or (b) the Secretary of the Company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upon the written request of stockholders owning at least twenty-five percent (25%) in amount of the entire capital stock of the Company issued and outstanding, or entitled to vote at the special meeting.</w:t>
      </w:r>
    </w:p>
    <w:p>
      <w:pPr>
        <w:sectPr>
          <w:pgSz w:w="11900" w:h="16838" w:orient="portrait"/>
          <w:cols w:equalWidth="0" w:num="1">
            <w:col w:w="11240"/>
          </w:cols>
          <w:pgMar w:left="320" w:top="1419"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20"/>
          <w:szCs w:val="20"/>
          <w:b w:val="1"/>
          <w:bCs w:val="1"/>
          <w:color w:val="auto"/>
        </w:rPr>
        <w:t>AMENDMENT NO. 1</w:t>
      </w:r>
    </w:p>
    <w:p>
      <w:pPr>
        <w:jc w:val="center"/>
        <w:spacing w:after="0" w:line="197" w:lineRule="auto"/>
        <w:rPr>
          <w:sz w:val="20"/>
          <w:szCs w:val="20"/>
          <w:color w:val="auto"/>
        </w:rPr>
      </w:pPr>
      <w:r>
        <w:rPr>
          <w:rFonts w:ascii="Arial" w:cs="Arial" w:eastAsia="Arial" w:hAnsi="Arial"/>
          <w:sz w:val="20"/>
          <w:szCs w:val="20"/>
          <w:b w:val="1"/>
          <w:bCs w:val="1"/>
          <w:color w:val="auto"/>
        </w:rPr>
        <w:t>TO THE PRIORITY TECHNOLOGY HOLDINGS, INC.</w:t>
      </w:r>
    </w:p>
    <w:p>
      <w:pPr>
        <w:jc w:val="center"/>
        <w:spacing w:after="0"/>
        <w:rPr>
          <w:sz w:val="20"/>
          <w:szCs w:val="20"/>
          <w:color w:val="auto"/>
        </w:rPr>
      </w:pPr>
      <w:r>
        <w:rPr>
          <w:rFonts w:ascii="Arial" w:cs="Arial" w:eastAsia="Arial" w:hAnsi="Arial"/>
          <w:sz w:val="20"/>
          <w:szCs w:val="20"/>
          <w:b w:val="1"/>
          <w:bCs w:val="1"/>
          <w:color w:val="auto"/>
        </w:rPr>
        <w:t>2021 EMPLOYEE STOCK PURCHASE PLAN</w:t>
      </w:r>
    </w:p>
    <w:p>
      <w:pPr>
        <w:spacing w:after="0" w:line="180" w:lineRule="exact"/>
        <w:rPr>
          <w:sz w:val="20"/>
          <w:szCs w:val="20"/>
          <w:color w:val="auto"/>
        </w:rPr>
      </w:pPr>
    </w:p>
    <w:p>
      <w:pPr>
        <w:ind w:right="20" w:firstLine="198"/>
        <w:spacing w:after="0" w:line="232" w:lineRule="auto"/>
        <w:rPr>
          <w:sz w:val="20"/>
          <w:szCs w:val="20"/>
          <w:color w:val="auto"/>
        </w:rPr>
      </w:pPr>
      <w:r>
        <w:rPr>
          <w:rFonts w:ascii="Arial" w:cs="Arial" w:eastAsia="Arial" w:hAnsi="Arial"/>
          <w:sz w:val="20"/>
          <w:szCs w:val="20"/>
          <w:b w:val="1"/>
          <w:bCs w:val="1"/>
          <w:color w:val="auto"/>
        </w:rPr>
        <w:t xml:space="preserve">THIS AMENDMENT NO. 1 </w:t>
      </w:r>
      <w:r>
        <w:rPr>
          <w:rFonts w:ascii="Arial" w:cs="Arial" w:eastAsia="Arial" w:hAnsi="Arial"/>
          <w:sz w:val="20"/>
          <w:szCs w:val="20"/>
          <w:color w:val="auto"/>
        </w:rPr>
        <w:t>to the Priority Technology Holdings, Inc. 2021 Employee Stock Purchase Plan is made as of the 17th day of</w:t>
      </w:r>
      <w:r>
        <w:rPr>
          <w:rFonts w:ascii="Arial" w:cs="Arial" w:eastAsia="Arial" w:hAnsi="Arial"/>
          <w:sz w:val="20"/>
          <w:szCs w:val="20"/>
          <w:b w:val="1"/>
          <w:bCs w:val="1"/>
          <w:color w:val="auto"/>
        </w:rPr>
        <w:t xml:space="preserve"> </w:t>
      </w:r>
      <w:r>
        <w:rPr>
          <w:rFonts w:ascii="Arial" w:cs="Arial" w:eastAsia="Arial" w:hAnsi="Arial"/>
          <w:sz w:val="20"/>
          <w:szCs w:val="20"/>
          <w:color w:val="auto"/>
        </w:rPr>
        <w:t>March, 2022, by Priority Technology Holdings, Inc., (the “</w:t>
      </w:r>
      <w:r>
        <w:rPr>
          <w:rFonts w:ascii="Arial" w:cs="Arial" w:eastAsia="Arial" w:hAnsi="Arial"/>
          <w:sz w:val="20"/>
          <w:szCs w:val="20"/>
          <w:b w:val="1"/>
          <w:bCs w:val="1"/>
          <w:color w:val="auto"/>
        </w:rPr>
        <w:t>Company</w:t>
      </w:r>
      <w:r>
        <w:rPr>
          <w:rFonts w:ascii="Arial" w:cs="Arial" w:eastAsia="Arial" w:hAnsi="Arial"/>
          <w:sz w:val="20"/>
          <w:szCs w:val="20"/>
          <w:color w:val="auto"/>
        </w:rPr>
        <w:t>”), to be effective as set forth herein.</w:t>
      </w:r>
    </w:p>
    <w:p>
      <w:pPr>
        <w:spacing w:after="0" w:line="176" w:lineRule="exact"/>
        <w:rPr>
          <w:sz w:val="20"/>
          <w:szCs w:val="20"/>
          <w:color w:val="auto"/>
        </w:rPr>
      </w:pPr>
    </w:p>
    <w:p>
      <w:pPr>
        <w:jc w:val="both"/>
        <w:ind w:firstLine="319"/>
        <w:spacing w:after="0" w:line="214"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previously established the Priority Technology Holdings, Inc. 2021 Employee Stock Purchase Plan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Plan</w:t>
      </w:r>
      <w:r>
        <w:rPr>
          <w:rFonts w:ascii="Arial" w:cs="Arial" w:eastAsia="Arial" w:hAnsi="Arial"/>
          <w:sz w:val="20"/>
          <w:szCs w:val="20"/>
          <w:color w:val="auto"/>
        </w:rPr>
        <w:t>”), which was adopted by the Company’s Board of Directors on April 16, 2021 and approved by the Company’s shareholders on June 9, 2021, to provide employees of the Company and certain of its Subsidiaries with an opportunity to purchase Common Stock of the Company through payroll deductions;</w:t>
      </w:r>
    </w:p>
    <w:p>
      <w:pPr>
        <w:spacing w:after="0" w:line="15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Plan is intended to qualify as an “employee stock purchase plan” under Section 423 of the Internal Revenue Code</w:t>
      </w:r>
      <w:r>
        <w:rPr>
          <w:rFonts w:ascii="Arial" w:cs="Arial" w:eastAsia="Arial" w:hAnsi="Arial"/>
          <w:sz w:val="20"/>
          <w:szCs w:val="20"/>
          <w:b w:val="1"/>
          <w:bCs w:val="1"/>
          <w:color w:val="auto"/>
        </w:rPr>
        <w:t xml:space="preserve"> </w:t>
      </w:r>
      <w:r>
        <w:rPr>
          <w:rFonts w:ascii="Arial" w:cs="Arial" w:eastAsia="Arial" w:hAnsi="Arial"/>
          <w:sz w:val="20"/>
          <w:szCs w:val="20"/>
          <w:color w:val="auto"/>
        </w:rPr>
        <w:t>(the “</w:t>
      </w:r>
      <w:r>
        <w:rPr>
          <w:rFonts w:ascii="Arial" w:cs="Arial" w:eastAsia="Arial" w:hAnsi="Arial"/>
          <w:sz w:val="20"/>
          <w:szCs w:val="20"/>
          <w:b w:val="1"/>
          <w:bCs w:val="1"/>
          <w:color w:val="auto"/>
        </w:rPr>
        <w:t>Code</w:t>
      </w:r>
      <w:r>
        <w:rPr>
          <w:rFonts w:ascii="Arial" w:cs="Arial" w:eastAsia="Arial" w:hAnsi="Arial"/>
          <w:sz w:val="20"/>
          <w:szCs w:val="20"/>
          <w:color w:val="auto"/>
        </w:rPr>
        <w:t>”);</w:t>
      </w:r>
    </w:p>
    <w:p>
      <w:pPr>
        <w:spacing w:after="0" w:line="14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Section 10.9 of the Plan, the Administrator (as defined in the Plan) may amend the Plan at any time,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that if the Plan is amended in a manner that is considered the adoption of a new plan pursuant to Section 423 of the Code (e.g., increase shares available for issuance under the Plan), such amendment shall not be effective until approved by the Company’s shareholders;</w:t>
      </w:r>
    </w:p>
    <w:p>
      <w:pPr>
        <w:spacing w:after="0" w:line="10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has determined that it is in the best interest of the Company and its shareholders and</w:t>
      </w:r>
      <w:r>
        <w:rPr>
          <w:rFonts w:ascii="Arial" w:cs="Arial" w:eastAsia="Arial" w:hAnsi="Arial"/>
          <w:sz w:val="19"/>
          <w:szCs w:val="19"/>
          <w:b w:val="1"/>
          <w:bCs w:val="1"/>
          <w:color w:val="auto"/>
        </w:rPr>
        <w:t xml:space="preserve">] </w:t>
      </w:r>
      <w:r>
        <w:rPr>
          <w:rFonts w:ascii="Arial" w:cs="Arial" w:eastAsia="Arial" w:hAnsi="Arial"/>
          <w:sz w:val="19"/>
          <w:szCs w:val="19"/>
          <w:color w:val="auto"/>
        </w:rPr>
        <w:t>now desires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amend the Plan to increase the aggregate number of shares of Company Common Stock available for issuance under the Plan </w:t>
      </w:r>
      <w:r>
        <w:rPr>
          <w:rFonts w:ascii="Arial" w:cs="Arial" w:eastAsia="Arial" w:hAnsi="Arial"/>
          <w:sz w:val="16"/>
          <w:szCs w:val="16"/>
          <w:color w:val="auto"/>
        </w:rPr>
        <w:t>from</w:t>
      </w:r>
      <w:r>
        <w:rPr>
          <w:rFonts w:ascii="Arial" w:cs="Arial" w:eastAsia="Arial" w:hAnsi="Arial"/>
          <w:sz w:val="19"/>
          <w:szCs w:val="19"/>
          <w:color w:val="auto"/>
        </w:rPr>
        <w:t xml:space="preserve"> </w:t>
      </w:r>
      <w:r>
        <w:rPr>
          <w:rFonts w:ascii="Arial" w:cs="Arial" w:eastAsia="Arial" w:hAnsi="Arial"/>
          <w:sz w:val="16"/>
          <w:szCs w:val="16"/>
          <w:color w:val="auto"/>
        </w:rPr>
        <w:t>20,000 shares to 200,000 shares, an increase of 180,000 shares</w:t>
      </w:r>
      <w:r>
        <w:rPr>
          <w:rFonts w:ascii="Arial" w:cs="Arial" w:eastAsia="Arial" w:hAnsi="Arial"/>
          <w:sz w:val="18"/>
          <w:szCs w:val="18"/>
          <w:color w:val="auto"/>
        </w:rPr>
        <w:t>, subject to approval of the Company’s shareholders; and</w:t>
      </w:r>
    </w:p>
    <w:p>
      <w:pPr>
        <w:spacing w:after="0" w:line="17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the Plan is hereby amended, as follows, subject to and effective as of the date on which the amendment is</w:t>
      </w:r>
      <w:r>
        <w:rPr>
          <w:rFonts w:ascii="Arial" w:cs="Arial" w:eastAsia="Arial" w:hAnsi="Arial"/>
          <w:sz w:val="20"/>
          <w:szCs w:val="20"/>
          <w:b w:val="1"/>
          <w:bCs w:val="1"/>
          <w:color w:val="auto"/>
        </w:rPr>
        <w:t xml:space="preserve"> </w:t>
      </w:r>
      <w:r>
        <w:rPr>
          <w:rFonts w:ascii="Arial" w:cs="Arial" w:eastAsia="Arial" w:hAnsi="Arial"/>
          <w:sz w:val="20"/>
          <w:szCs w:val="20"/>
          <w:color w:val="auto"/>
        </w:rPr>
        <w:t>approved by the Company’s shareholders:</w:t>
      </w:r>
    </w:p>
    <w:p>
      <w:pPr>
        <w:spacing w:after="0" w:line="180"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Section 3.1 of the Plan is hereby amended by deleting the present section in its entirety and substituting the following in lieu</w:t>
      </w:r>
    </w:p>
    <w:p>
      <w:pPr>
        <w:spacing w:after="0"/>
        <w:rPr>
          <w:sz w:val="20"/>
          <w:szCs w:val="20"/>
          <w:color w:val="auto"/>
        </w:rPr>
      </w:pPr>
      <w:r>
        <w:rPr>
          <w:rFonts w:ascii="Arial" w:cs="Arial" w:eastAsia="Arial" w:hAnsi="Arial"/>
          <w:sz w:val="20"/>
          <w:szCs w:val="20"/>
          <w:color w:val="auto"/>
        </w:rPr>
        <w:t>thereof:</w:t>
      </w:r>
    </w:p>
    <w:p>
      <w:pPr>
        <w:spacing w:after="0" w:line="16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0"/>
          <w:szCs w:val="20"/>
          <w:i w:val="1"/>
          <w:iCs w:val="1"/>
          <w:color w:val="auto"/>
        </w:rPr>
        <w:t>Section 3.1</w:t>
      </w:r>
      <w:r>
        <w:rPr>
          <w:sz w:val="20"/>
          <w:szCs w:val="20"/>
          <w:color w:val="auto"/>
        </w:rPr>
        <w:tab/>
      </w:r>
      <w:r>
        <w:rPr>
          <w:rFonts w:ascii="Arial" w:cs="Arial" w:eastAsia="Arial" w:hAnsi="Arial"/>
          <w:sz w:val="16"/>
          <w:szCs w:val="16"/>
          <w:i w:val="1"/>
          <w:iCs w:val="1"/>
          <w:color w:val="auto"/>
        </w:rPr>
        <w:t>Available Shares</w:t>
      </w:r>
      <w:r>
        <w:rPr>
          <w:rFonts w:ascii="Arial" w:cs="Arial" w:eastAsia="Arial" w:hAnsi="Arial"/>
          <w:sz w:val="16"/>
          <w:szCs w:val="16"/>
          <w:color w:val="auto"/>
        </w:rPr>
        <w:t>.</w:t>
      </w:r>
    </w:p>
    <w:p>
      <w:pPr>
        <w:ind w:left="660" w:right="20"/>
        <w:spacing w:after="0" w:line="227" w:lineRule="auto"/>
        <w:rPr>
          <w:sz w:val="20"/>
          <w:szCs w:val="20"/>
          <w:color w:val="auto"/>
        </w:rPr>
      </w:pPr>
      <w:r>
        <w:rPr>
          <w:rFonts w:ascii="Arial" w:cs="Arial" w:eastAsia="Arial" w:hAnsi="Arial"/>
          <w:sz w:val="18"/>
          <w:szCs w:val="18"/>
          <w:color w:val="auto"/>
        </w:rPr>
        <w:t>Subject to adjustments as provided in this Article III, the maximum aggregate number of Shares available for purchase under the Plan after its approval by the Company’s stockholders at the Company’s stockholders meeting scheduled for May 25, 2022 (the “Stockholder Approval Date”) shall be increased by 180,000 Shares, which will increase the number of Shares available for purchase under the Plan from 20,000 Shares to 200,000 Shares. The aggregate number of Shares available for purchase under the Plan shall be reduced on a one-for-one basis by the number of Shares issued or issuable for Offer Dates prior to the Stockholder Approval Date. Shares issued under the Plan may be authorized but unissued or reacquired shares of Common Stock.</w:t>
      </w:r>
    </w:p>
    <w:p>
      <w:pPr>
        <w:spacing w:after="0" w:line="186" w:lineRule="exact"/>
        <w:rPr>
          <w:sz w:val="20"/>
          <w:szCs w:val="20"/>
          <w:color w:val="auto"/>
        </w:rPr>
      </w:pPr>
    </w:p>
    <w:p>
      <w:pPr>
        <w:jc w:val="both"/>
        <w:ind w:firstLine="656"/>
        <w:spacing w:after="0" w:line="213" w:lineRule="auto"/>
        <w:tabs>
          <w:tab w:leader="none" w:pos="1296"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This Amendment No. 1 to the Plan is subject to approval by the shareholders of the Company at a meeting duly called for such purposes. The increase in the number of shares of Company Common Stock available for issuance may not be issued pursuant to the Plan unless and until such amendment is approved by the shareholders within twelve months after the date first written above. Except as hereby modified, the Plan shall remain in full force and effect.</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Company has executed this Amendment No. 1 as of the date first written above.</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PRIORITY TECHNOLOGY HOLDINGS, INC.</w:t>
      </w:r>
    </w:p>
    <w:p>
      <w:pPr>
        <w:spacing w:after="0" w:line="18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ind w:left="3900"/>
        <w:spacing w:after="0" w:line="197"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-118745</wp:posOffset>
            </wp:positionV>
            <wp:extent cx="7537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-144780</wp:posOffset>
            </wp:positionV>
            <wp:extent cx="7537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753745" cy="8255"/>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-24765</wp:posOffset>
            </wp:positionV>
            <wp:extent cx="75374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0"/>
          <w:szCs w:val="20"/>
          <w:b w:val="1"/>
          <w:bCs w:val="1"/>
          <w:color w:val="auto"/>
        </w:rPr>
        <w:t>Exhibit 21.1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Subsidiaries of Priority Technology Holdings, Inc.</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Priority Technology Holdings,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Priority Holdings, LLC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Priority Commercial Payments, LLC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Pipeline Cynergy Holdings, LLC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Priority Payment Systems Holdings, LLC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Priority Finance, LLC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Priority Newco, LLC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Priority Payment Systems, LLC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Priority Integrated Partner Holdings, LLC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Priority Hospitality Technology, LLC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Priority Payright Health Solutions, LLC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Priority Real Estate Technology, LLC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Finxera Holdings,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Finxera Intermediate, LLC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Finxera,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Finxera India Private Limited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Enhanced Capital RETC Fund XII, LLC</w:t>
      </w:r>
    </w:p>
    <w:p>
      <w:pPr>
        <w:sectPr>
          <w:pgSz w:w="11900" w:h="16838" w:orient="portrait"/>
          <w:cols w:equalWidth="0" w:num="1">
            <w:col w:w="11240"/>
          </w:cols>
          <w:pgMar w:left="320" w:top="1399" w:right="339" w:bottom="1440" w:gutter="0" w:footer="0" w:header="0"/>
        </w:sectPr>
      </w:pPr>
    </w:p>
    <w:bookmarkStart w:id="106" w:name="page107"/>
    <w:bookmarkEnd w:id="106"/>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We consent to the incorporation by reference in the Registration Statements (No. 333-226713) on Form S-3 and (No. 333-230620) on Form S-8 of Priority Technology Holdings, Inc. of our report dated March 30, 2020, except for the change in reportable segments described in Note 20 as to which the date is March 17, 2022, relating to our audit of the consolidated financial statements of Priority Technology Holdings, Inc. which appears in this Annual Report on Form 10-K of Priority Technology Holdings, Inc. for the year ended December 31, 2021.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rPr>
          <w:sz w:val="20"/>
          <w:szCs w:val="20"/>
          <w:color w:val="auto"/>
        </w:rPr>
      </w:pPr>
      <w:r>
        <w:rPr>
          <w:rFonts w:ascii="Arial" w:cs="Arial" w:eastAsia="Arial" w:hAnsi="Arial"/>
          <w:sz w:val="18"/>
          <w:szCs w:val="18"/>
          <w:color w:val="auto"/>
        </w:rPr>
        <w:t>March 17, 2022</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64" w:lineRule="exact"/>
        <w:rPr>
          <w:sz w:val="20"/>
          <w:szCs w:val="20"/>
          <w:color w:val="auto"/>
        </w:rPr>
      </w:pPr>
    </w:p>
    <w:p>
      <w:pPr>
        <w:ind w:left="1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360" w:lineRule="exact"/>
        <w:rPr>
          <w:sz w:val="20"/>
          <w:szCs w:val="20"/>
          <w:color w:val="auto"/>
        </w:rPr>
      </w:pPr>
    </w:p>
    <w:p>
      <w:pPr>
        <w:ind w:left="470" w:hanging="470"/>
        <w:spacing w:after="0"/>
        <w:tabs>
          <w:tab w:leader="none" w:pos="47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Registration Statement (Form S-3 No. 333-226713) of Priority Technology Holdings, Inc. and</w:t>
      </w:r>
    </w:p>
    <w:p>
      <w:pPr>
        <w:spacing w:after="0" w:line="63" w:lineRule="exact"/>
        <w:rPr>
          <w:rFonts w:ascii="Arial" w:cs="Arial" w:eastAsia="Arial" w:hAnsi="Arial"/>
          <w:sz w:val="18"/>
          <w:szCs w:val="18"/>
          <w:color w:val="auto"/>
        </w:rPr>
      </w:pPr>
    </w:p>
    <w:p>
      <w:pPr>
        <w:ind w:left="470" w:hanging="470"/>
        <w:spacing w:after="0"/>
        <w:tabs>
          <w:tab w:leader="none" w:pos="47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Registration Statement (Form S-8 No. 333-230620) of Priority Technology Holdings, Inc;</w:t>
      </w:r>
    </w:p>
    <w:p>
      <w:pPr>
        <w:spacing w:after="0" w:line="360" w:lineRule="exact"/>
        <w:rPr>
          <w:sz w:val="20"/>
          <w:szCs w:val="20"/>
          <w:color w:val="auto"/>
        </w:rPr>
      </w:pPr>
    </w:p>
    <w:p>
      <w:pPr>
        <w:ind w:left="10" w:right="200"/>
        <w:spacing w:after="0" w:line="277" w:lineRule="auto"/>
        <w:rPr>
          <w:sz w:val="20"/>
          <w:szCs w:val="20"/>
          <w:color w:val="auto"/>
        </w:rPr>
      </w:pPr>
      <w:r>
        <w:rPr>
          <w:rFonts w:ascii="Arial" w:cs="Arial" w:eastAsia="Arial" w:hAnsi="Arial"/>
          <w:sz w:val="18"/>
          <w:szCs w:val="18"/>
          <w:color w:val="auto"/>
        </w:rPr>
        <w:t>of our report dated March 17, 2022, with respect to the consolidated financial statements of Priority Technology Holdings, Inc. included in this Annual Report (Form 10-K) of Priority Technology Holdings, Inc.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
        <w:spacing w:after="0"/>
        <w:rPr>
          <w:sz w:val="20"/>
          <w:szCs w:val="20"/>
          <w:color w:val="auto"/>
        </w:rPr>
      </w:pPr>
      <w:r>
        <w:rPr>
          <w:rFonts w:ascii="Arial" w:cs="Arial" w:eastAsia="Arial" w:hAnsi="Arial"/>
          <w:sz w:val="18"/>
          <w:szCs w:val="18"/>
          <w:color w:val="auto"/>
        </w:rPr>
        <w:t>/s/ Ernst &amp; Young LLP</w:t>
      </w:r>
    </w:p>
    <w:p>
      <w:pPr>
        <w:spacing w:after="0" w:line="63" w:lineRule="exact"/>
        <w:rPr>
          <w:sz w:val="20"/>
          <w:szCs w:val="20"/>
          <w:color w:val="auto"/>
        </w:rPr>
      </w:pPr>
    </w:p>
    <w:p>
      <w:pPr>
        <w:ind w:left="10"/>
        <w:spacing w:after="0"/>
        <w:rPr>
          <w:sz w:val="20"/>
          <w:szCs w:val="20"/>
          <w:color w:val="auto"/>
        </w:rPr>
      </w:pPr>
      <w:r>
        <w:rPr>
          <w:rFonts w:ascii="Arial" w:cs="Arial" w:eastAsia="Arial" w:hAnsi="Arial"/>
          <w:sz w:val="18"/>
          <w:szCs w:val="18"/>
          <w:color w:val="auto"/>
        </w:rPr>
        <w:t>Atlanta, Georgia</w:t>
      </w:r>
    </w:p>
    <w:p>
      <w:pPr>
        <w:spacing w:after="0" w:line="63" w:lineRule="exact"/>
        <w:rPr>
          <w:sz w:val="20"/>
          <w:szCs w:val="20"/>
          <w:color w:val="auto"/>
        </w:rPr>
      </w:pPr>
    </w:p>
    <w:p>
      <w:pPr>
        <w:ind w:left="10"/>
        <w:spacing w:after="0"/>
        <w:rPr>
          <w:sz w:val="20"/>
          <w:szCs w:val="20"/>
          <w:color w:val="auto"/>
        </w:rPr>
      </w:pPr>
      <w:r>
        <w:rPr>
          <w:rFonts w:ascii="Arial" w:cs="Arial" w:eastAsia="Arial" w:hAnsi="Arial"/>
          <w:sz w:val="18"/>
          <w:szCs w:val="18"/>
          <w:color w:val="auto"/>
        </w:rPr>
        <w:t>March 17, 2022</w:t>
      </w:r>
    </w:p>
    <w:p>
      <w:pPr>
        <w:sectPr>
          <w:pgSz w:w="11900" w:h="16838" w:orient="portrait"/>
          <w:cols w:equalWidth="0" w:num="1">
            <w:col w:w="11070"/>
          </w:cols>
          <w:pgMar w:left="490" w:top="1440"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 AS ADOPTED PURSUANT TO SECTION 303 OF THE SARBANES-OXLEY ACT OF 2002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Thomas C. Priore, certify that:</w:t>
      </w:r>
    </w:p>
    <w:p>
      <w:pPr>
        <w:spacing w:after="0" w:line="252"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Priority Technology Holdings,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980" w:right="60" w:hanging="324"/>
        <w:spacing w:after="0" w:line="255" w:lineRule="auto"/>
        <w:tabs>
          <w:tab w:leader="none" w:pos="97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80" w:right="360" w:hanging="324"/>
        <w:spacing w:after="0" w:line="250" w:lineRule="auto"/>
        <w:tabs>
          <w:tab w:leader="none" w:pos="97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right="540" w:hanging="324"/>
        <w:spacing w:after="0" w:line="281" w:lineRule="auto"/>
        <w:tabs>
          <w:tab w:leader="none" w:pos="977"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60" w:hanging="324"/>
        <w:spacing w:after="0" w:line="255" w:lineRule="auto"/>
        <w:tabs>
          <w:tab w:leader="none" w:pos="97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780" w:hanging="324"/>
        <w:spacing w:after="0" w:line="291" w:lineRule="auto"/>
        <w:tabs>
          <w:tab w:leader="none" w:pos="977"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500" w:hanging="324"/>
        <w:spacing w:after="0" w:line="260" w:lineRule="auto"/>
        <w:tabs>
          <w:tab w:leader="none" w:pos="974"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1" w:lineRule="exact"/>
        <w:rPr>
          <w:sz w:val="20"/>
          <w:szCs w:val="20"/>
          <w:color w:val="auto"/>
        </w:rPr>
      </w:pPr>
    </w:p>
    <w:p>
      <w:pPr>
        <w:ind w:left="60"/>
        <w:spacing w:after="0"/>
        <w:tabs>
          <w:tab w:leader="none" w:pos="8560" w:val="left"/>
        </w:tabs>
        <w:rPr>
          <w:sz w:val="20"/>
          <w:szCs w:val="20"/>
          <w:color w:val="auto"/>
        </w:rPr>
      </w:pPr>
      <w:r>
        <w:rPr>
          <w:rFonts w:ascii="Arial" w:cs="Arial" w:eastAsia="Arial" w:hAnsi="Arial"/>
          <w:sz w:val="18"/>
          <w:szCs w:val="18"/>
          <w:color w:val="auto"/>
        </w:rPr>
        <w:t>March 17, 2022</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14605</wp:posOffset>
            </wp:positionV>
            <wp:extent cx="243459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2434590" cy="17145"/>
                    </a:xfrm>
                    <a:prstGeom prst="rect">
                      <a:avLst/>
                    </a:prstGeom>
                    <a:noFill/>
                  </pic:spPr>
                </pic:pic>
              </a:graphicData>
            </a:graphic>
          </wp:anchor>
        </w:drawing>
      </w:r>
    </w:p>
    <w:p>
      <w:pPr>
        <w:spacing w:after="0" w:line="30" w:lineRule="exact"/>
        <w:rPr>
          <w:sz w:val="20"/>
          <w:szCs w:val="20"/>
          <w:color w:val="auto"/>
        </w:rPr>
      </w:pPr>
    </w:p>
    <w:p>
      <w:pPr>
        <w:jc w:val="center"/>
        <w:ind w:left="7380"/>
        <w:spacing w:after="0"/>
        <w:rPr>
          <w:sz w:val="20"/>
          <w:szCs w:val="20"/>
          <w:color w:val="auto"/>
        </w:rPr>
      </w:pPr>
      <w:r>
        <w:rPr>
          <w:rFonts w:ascii="Arial" w:cs="Arial" w:eastAsia="Arial" w:hAnsi="Arial"/>
          <w:sz w:val="18"/>
          <w:szCs w:val="18"/>
          <w:color w:val="auto"/>
        </w:rPr>
        <w:t>Thomas C. Priore</w:t>
      </w:r>
    </w:p>
    <w:p>
      <w:pPr>
        <w:spacing w:after="0" w:line="23" w:lineRule="exact"/>
        <w:rPr>
          <w:sz w:val="20"/>
          <w:szCs w:val="20"/>
          <w:color w:val="auto"/>
        </w:rPr>
      </w:pPr>
    </w:p>
    <w:p>
      <w:pPr>
        <w:jc w:val="center"/>
        <w:ind w:left="7380"/>
        <w:spacing w:after="0"/>
        <w:rPr>
          <w:sz w:val="20"/>
          <w:szCs w:val="20"/>
          <w:color w:val="auto"/>
        </w:rPr>
      </w:pPr>
      <w:r>
        <w:rPr>
          <w:rFonts w:ascii="Arial" w:cs="Arial" w:eastAsia="Arial" w:hAnsi="Arial"/>
          <w:sz w:val="17"/>
          <w:szCs w:val="17"/>
          <w:i w:val="1"/>
          <w:iCs w:val="1"/>
          <w:color w:val="auto"/>
        </w:rPr>
        <w:t>President, Chief Executive Officer and Chairman</w:t>
      </w:r>
    </w:p>
    <w:p>
      <w:pPr>
        <w:spacing w:after="0" w:line="34" w:lineRule="exact"/>
        <w:rPr>
          <w:sz w:val="20"/>
          <w:szCs w:val="20"/>
          <w:color w:val="auto"/>
        </w:rPr>
      </w:pPr>
    </w:p>
    <w:p>
      <w:pPr>
        <w:jc w:val="center"/>
        <w:ind w:left="73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42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ind w:left="340" w:right="2600"/>
        <w:spacing w:after="0" w:line="255"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 AS ADOPTED PURSUANT TO SECTION 302 OF THE SARBANES-OXLEY ACT OF 2002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Michael Vollkommer, certify that:</w:t>
      </w:r>
    </w:p>
    <w:p>
      <w:pPr>
        <w:spacing w:after="0" w:line="252"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Priority Technology Holdings,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980" w:right="60" w:hanging="324"/>
        <w:spacing w:after="0" w:line="255" w:lineRule="auto"/>
        <w:tabs>
          <w:tab w:leader="none" w:pos="97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80" w:right="360" w:hanging="324"/>
        <w:spacing w:after="0" w:line="250" w:lineRule="auto"/>
        <w:tabs>
          <w:tab w:leader="none" w:pos="974"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right="540" w:hanging="324"/>
        <w:spacing w:after="0" w:line="281" w:lineRule="auto"/>
        <w:tabs>
          <w:tab w:leader="none" w:pos="977"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60" w:hanging="324"/>
        <w:spacing w:after="0" w:line="255" w:lineRule="auto"/>
        <w:tabs>
          <w:tab w:leader="none" w:pos="974"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780" w:hanging="324"/>
        <w:spacing w:after="0" w:line="291" w:lineRule="auto"/>
        <w:tabs>
          <w:tab w:leader="none" w:pos="977"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500" w:hanging="324"/>
        <w:spacing w:after="0" w:line="260" w:lineRule="auto"/>
        <w:tabs>
          <w:tab w:leader="none" w:pos="974"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6" w:lineRule="exact"/>
        <w:rPr>
          <w:sz w:val="20"/>
          <w:szCs w:val="20"/>
          <w:color w:val="auto"/>
        </w:rPr>
      </w:pPr>
    </w:p>
    <w:p>
      <w:pPr>
        <w:ind w:left="160"/>
        <w:spacing w:after="0"/>
        <w:tabs>
          <w:tab w:leader="none" w:pos="7840" w:val="left"/>
        </w:tabs>
        <w:rPr>
          <w:sz w:val="20"/>
          <w:szCs w:val="20"/>
          <w:color w:val="auto"/>
        </w:rPr>
      </w:pPr>
      <w:r>
        <w:rPr>
          <w:rFonts w:ascii="Arial" w:cs="Arial" w:eastAsia="Arial" w:hAnsi="Arial"/>
          <w:sz w:val="18"/>
          <w:szCs w:val="18"/>
          <w:color w:val="auto"/>
        </w:rPr>
        <w:t>March 17, 2022</w:t>
      </w:r>
      <w:r>
        <w:rPr>
          <w:sz w:val="20"/>
          <w:szCs w:val="20"/>
          <w:color w:val="auto"/>
        </w:rPr>
        <w:tab/>
      </w:r>
      <w:r>
        <w:rPr>
          <w:rFonts w:ascii="Arial" w:cs="Arial" w:eastAsia="Arial" w:hAnsi="Arial"/>
          <w:sz w:val="17"/>
          <w:szCs w:val="17"/>
          <w:color w:val="auto"/>
        </w:rPr>
        <w:t>/s/ Michael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14605</wp:posOffset>
            </wp:positionV>
            <wp:extent cx="30600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3060065" cy="17145"/>
                    </a:xfrm>
                    <a:prstGeom prst="rect">
                      <a:avLst/>
                    </a:prstGeom>
                    <a:noFill/>
                  </pic:spPr>
                </pic:pic>
              </a:graphicData>
            </a:graphic>
          </wp:anchor>
        </w:drawing>
      </w:r>
    </w:p>
    <w:p>
      <w:pPr>
        <w:spacing w:after="0" w:line="30" w:lineRule="exact"/>
        <w:rPr>
          <w:sz w:val="20"/>
          <w:szCs w:val="20"/>
          <w:color w:val="auto"/>
        </w:rPr>
      </w:pPr>
    </w:p>
    <w:p>
      <w:pPr>
        <w:jc w:val="center"/>
        <w:ind w:left="6220"/>
        <w:spacing w:after="0"/>
        <w:rPr>
          <w:sz w:val="20"/>
          <w:szCs w:val="20"/>
          <w:color w:val="auto"/>
        </w:rPr>
      </w:pPr>
      <w:r>
        <w:rPr>
          <w:rFonts w:ascii="Arial" w:cs="Arial" w:eastAsia="Arial" w:hAnsi="Arial"/>
          <w:sz w:val="18"/>
          <w:szCs w:val="18"/>
          <w:color w:val="auto"/>
        </w:rPr>
        <w:t>Michael Vollkommer</w:t>
      </w:r>
    </w:p>
    <w:p>
      <w:pPr>
        <w:spacing w:after="0" w:line="23" w:lineRule="exact"/>
        <w:rPr>
          <w:sz w:val="20"/>
          <w:szCs w:val="20"/>
          <w:color w:val="auto"/>
        </w:rPr>
      </w:pPr>
    </w:p>
    <w:p>
      <w:pPr>
        <w:jc w:val="center"/>
        <w:ind w:left="622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jc w:val="center"/>
        <w:ind w:left="62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42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t>Exhibit 32</w:t>
      </w:r>
    </w:p>
    <w:p>
      <w:pPr>
        <w:spacing w:after="0" w:line="24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on Form 10-K of Priority Technology Holdings, Inc. (the "Company") for the year ended December 31, 2021 as filed with the Securities and Exchange Commission (the "Report"), each of the undersigned, on the dates indicated below, hereby certifies pursuant to 18 U.S.C. Section 1350, as adopted pursuant to Section 906 of the Sarbanes-Oxley Act of 2002, that:</w:t>
      </w:r>
    </w:p>
    <w:p>
      <w:pPr>
        <w:spacing w:after="0" w:line="211"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 of the Company.</w:t>
      </w:r>
    </w:p>
    <w:p>
      <w:pPr>
        <w:spacing w:after="0" w:line="200" w:lineRule="exact"/>
        <w:rPr>
          <w:sz w:val="20"/>
          <w:szCs w:val="20"/>
          <w:color w:val="auto"/>
        </w:rPr>
      </w:pPr>
    </w:p>
    <w:p>
      <w:pPr>
        <w:spacing w:after="0" w:line="358" w:lineRule="exact"/>
        <w:rPr>
          <w:sz w:val="20"/>
          <w:szCs w:val="20"/>
          <w:color w:val="auto"/>
        </w:rPr>
      </w:pPr>
    </w:p>
    <w:p>
      <w:pPr>
        <w:ind w:left="60"/>
        <w:spacing w:after="0"/>
        <w:tabs>
          <w:tab w:leader="none" w:pos="4660" w:val="left"/>
        </w:tabs>
        <w:rPr>
          <w:sz w:val="20"/>
          <w:szCs w:val="20"/>
          <w:color w:val="auto"/>
        </w:rPr>
      </w:pPr>
      <w:r>
        <w:rPr>
          <w:rFonts w:ascii="Arial" w:cs="Arial" w:eastAsia="Arial" w:hAnsi="Arial"/>
          <w:sz w:val="18"/>
          <w:szCs w:val="18"/>
          <w:color w:val="auto"/>
        </w:rPr>
        <w:t>March 17, 2022</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14605</wp:posOffset>
            </wp:positionV>
            <wp:extent cx="420052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Thomas C. Priore</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President, Chief Executive Officer and Chairman</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spacing w:after="0"/>
        <w:tabs>
          <w:tab w:leader="none" w:pos="4660" w:val="left"/>
        </w:tabs>
        <w:rPr>
          <w:sz w:val="20"/>
          <w:szCs w:val="20"/>
          <w:color w:val="auto"/>
        </w:rPr>
      </w:pPr>
      <w:r>
        <w:rPr>
          <w:rFonts w:ascii="Arial" w:cs="Arial" w:eastAsia="Arial" w:hAnsi="Arial"/>
          <w:sz w:val="18"/>
          <w:szCs w:val="18"/>
          <w:color w:val="auto"/>
        </w:rPr>
        <w:t>March 17, 2022</w:t>
      </w:r>
      <w:r>
        <w:rPr>
          <w:sz w:val="20"/>
          <w:szCs w:val="20"/>
          <w:color w:val="auto"/>
        </w:rPr>
        <w:tab/>
      </w:r>
      <w:r>
        <w:rPr>
          <w:rFonts w:ascii="Arial" w:cs="Arial" w:eastAsia="Arial" w:hAnsi="Arial"/>
          <w:sz w:val="16"/>
          <w:szCs w:val="16"/>
          <w:color w:val="auto"/>
        </w:rPr>
        <w:t>/s/ Michael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14605</wp:posOffset>
            </wp:positionV>
            <wp:extent cx="420052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Michael Vollkommer</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foregoing certifications are being furnished solely pursuant to 18 U.S.C. § 1350 and are not being filed as part of the Report on Form 10-K or as a separate disclosure document.</w:t>
      </w:r>
    </w:p>
    <w:sectPr>
      <w:pgSz w:w="11900" w:h="16838" w:orient="portrait"/>
      <w:cols w:equalWidth="0" w:num="1">
        <w:col w:w="11240"/>
      </w:cols>
      <w:pgMar w:left="320" w:top="14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lvl w:ilvl="1">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2"/>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3"/>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1"/>
    </w:lvl>
    <w:lvl w:ilvl="1">
      <w:lvlJc w:val="left"/>
      <w:lvlText w:val="(%2)"/>
      <w:numFmt w:val="decimal"/>
      <w:start w:val="1"/>
    </w:lvl>
  </w:abstractNum>
  <w:abstractNum w:abstractNumId="24">
    <w:nsid w:val="3804823E"/>
    <w:multiLevelType w:val="hybridMultilevel"/>
    <w:lvl w:ilvl="0">
      <w:lvlJc w:val="left"/>
      <w:lvlText w:val="%1."/>
      <w:numFmt w:val="decimal"/>
      <w:start w:val="7"/>
    </w:lvl>
    <w:lvl w:ilvl="1">
      <w:lvlJc w:val="left"/>
      <w:lvlText w:val="%2"/>
      <w:numFmt w:val="decimal"/>
      <w:start w:val="1"/>
    </w:lvl>
  </w:abstractNum>
  <w:abstractNum w:abstractNumId="25">
    <w:nsid w:val="77465F01"/>
    <w:multiLevelType w:val="hybridMultilevel"/>
    <w:lvl w:ilvl="0">
      <w:lvlJc w:val="left"/>
      <w:lvlText w:val="%1."/>
      <w:numFmt w:val="decimal"/>
      <w:start w:val="8"/>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1."/>
      <w:numFmt w:val="decimal"/>
      <w:start w:val="2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lowerLetter"/>
      <w:start w:val="1"/>
    </w:lvl>
  </w:abstractNum>
  <w:abstractNum w:abstractNumId="35">
    <w:nsid w:val="70A64E2A"/>
    <w:multiLevelType w:val="hybridMultilevel"/>
    <w:lvl w:ilvl="0">
      <w:lvlJc w:val="left"/>
      <w:lvlText w:val="(%1)"/>
      <w:numFmt w:val="lowerLetter"/>
      <w:start w:val="2"/>
    </w:lvl>
  </w:abstractNum>
  <w:abstractNum w:abstractNumId="36">
    <w:nsid w:val="6A2342EC"/>
    <w:multiLevelType w:val="hybridMultilevel"/>
    <w:lvl w:ilvl="0">
      <w:lvlJc w:val="left"/>
      <w:lvlText w:val="(%1)"/>
      <w:numFmt w:val="lowerRoman"/>
      <w:start w:val="1"/>
    </w:lvl>
  </w:abstractNum>
  <w:abstractNum w:abstractNumId="37">
    <w:nsid w:val="2A487CB0"/>
    <w:multiLevelType w:val="hybridMultilevel"/>
    <w:lvl w:ilvl="0">
      <w:lvlJc w:val="left"/>
      <w:lvlText w:val="(%1)"/>
      <w:numFmt w:val="lowerLetter"/>
      <w:start w:val="3"/>
    </w:lvl>
  </w:abstractNum>
  <w:abstractNum w:abstractNumId="38">
    <w:nsid w:val="1D4ED43B"/>
    <w:multiLevelType w:val="hybridMultilevel"/>
    <w:lvl w:ilvl="0">
      <w:lvlJc w:val="left"/>
      <w:lvlText w:val="(%1)"/>
      <w:numFmt w:val="lowerLetter"/>
      <w:start w:val="4"/>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decimal"/>
      <w:start w:val="2"/>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51" Type="http://schemas.openxmlformats.org/officeDocument/2006/relationships/image" Target="media/image134.png"/><Relationship Id="rId170" Type="http://schemas.openxmlformats.org/officeDocument/2006/relationships/image" Target="media/image135.png"/><Relationship Id="rId171" Type="http://schemas.openxmlformats.org/officeDocument/2006/relationships/image" Target="media/image136.png"/><Relationship Id="rId172" Type="http://schemas.openxmlformats.org/officeDocument/2006/relationships/image" Target="media/image137.png"/><Relationship Id="rId173" Type="http://schemas.openxmlformats.org/officeDocument/2006/relationships/image" Target="media/image138.png"/><Relationship Id="rId174"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41" Type="http://schemas.openxmlformats.org/officeDocument/2006/relationships/hyperlink" Target="https://www.sec.gov/Archives/edgar/data/1653558/000161577418006226/s111183_defm14a.htm" TargetMode="External"/><Relationship Id="rId142" Type="http://schemas.openxmlformats.org/officeDocument/2006/relationships/hyperlink" Target="https://www.sec.gov/Archives/edgar/data/1653558/000165355821000031/projectwarriorfinxera-merg.htm" TargetMode="External"/><Relationship Id="rId143" Type="http://schemas.openxmlformats.org/officeDocument/2006/relationships/hyperlink" Target="https://www.sec.gov/Archives/edgar/data/1653558/000165355821000060/annex1certificateofamendme.htm" TargetMode="External"/><Relationship Id="rId144" Type="http://schemas.openxmlformats.org/officeDocument/2006/relationships/hyperlink" Target="https://www.sec.gov/Archives/edgar/data/0001653558/000165355821000031/projectwarriorfinxera-merg.htm" TargetMode="External"/><Relationship Id="rId145" Type="http://schemas.openxmlformats.org/officeDocument/2006/relationships/hyperlink" Target="http://www.sec.gov/Archives/edgar/data/1653558/000161577418007231/s111606_ex3-1.htm" TargetMode="External"/><Relationship Id="rId146" Type="http://schemas.openxmlformats.org/officeDocument/2006/relationships/hyperlink" Target="http://www.sec.gov/Archives/edgar/data/1653558/000161577418007231/s111606_ex3-2.htm" TargetMode="External"/><Relationship Id="rId147" Type="http://schemas.openxmlformats.org/officeDocument/2006/relationships/hyperlink" Target="https://www.sec.gov/Archives/edgar/data/0001653558/000165355821000065/exhibit31-priorityxcertifi.htm" TargetMode="External"/><Relationship Id="rId148" Type="http://schemas.openxmlformats.org/officeDocument/2006/relationships/hyperlink" Target="http://www.sec.gov/Archives/edgar/data/1653558/000161577416006436/s103712_ex4-1.htm" TargetMode="External"/><Relationship Id="rId149" Type="http://schemas.openxmlformats.org/officeDocument/2006/relationships/hyperlink" Target="http://www.sec.gov/Archives/edgar/data/1653558/000161577416006436/s103712_ex4-2.htm" TargetMode="External"/><Relationship Id="rId150" Type="http://schemas.openxmlformats.org/officeDocument/2006/relationships/hyperlink" Target="http://www.sec.gov/Archives/edgar/data/1653558/000161577416006436/s103712_ex4-3.htm" TargetMode="External"/><Relationship Id="rId152" Type="http://schemas.openxmlformats.org/officeDocument/2006/relationships/hyperlink" Target="http://www.sec.gov/Archives/edgar/data/1653558/000161577416007233/s104127_ex4-1.htm" TargetMode="External"/><Relationship Id="rId153" Type="http://schemas.openxmlformats.org/officeDocument/2006/relationships/hyperlink" Target="https://www.sec.gov/Archives/edgar/data/0001653558/000165355821000065/exhibit41-priorityxwarrant.htm" TargetMode="External"/><Relationship Id="rId154" Type="http://schemas.openxmlformats.org/officeDocument/2006/relationships/hyperlink" Target="http://www.sec.gov/Archives/edgar/data/1653558/000161577418007231/s111606_ex10-1.htm" TargetMode="External"/><Relationship Id="rId155" Type="http://schemas.openxmlformats.org/officeDocument/2006/relationships/hyperlink" Target="http://www.sec.gov/Archives/edgar/data/1653558/000161577418007231/s111606_ex10-2.htm" TargetMode="External"/><Relationship Id="rId156" Type="http://schemas.openxmlformats.org/officeDocument/2006/relationships/hyperlink" Target="https://www.sec.gov/Archives/edgar/data/0001653558/000165355821000101/ex1021prioritytechnologyq2.htm" TargetMode="External"/><Relationship Id="rId157" Type="http://schemas.openxmlformats.org/officeDocument/2006/relationships/hyperlink" Target="https://www.sec.gov/Archives/edgar/data/0001653558/000165355821000065/exhibit103-prioritypayment.htm" TargetMode="External"/><Relationship Id="rId158" Type="http://schemas.openxmlformats.org/officeDocument/2006/relationships/hyperlink" Target="http://www.sec.gov/Archives/edgar/data/1653558/000161577418014981/s114881_ex10-6.htm" TargetMode="External"/><Relationship Id="rId159" Type="http://schemas.openxmlformats.org/officeDocument/2006/relationships/hyperlink" Target="http://www.sec.gov/Archives/edgar/data/1653558/000161577418014981/s114881_ex10-7.htm" TargetMode="External"/><Relationship Id="rId160" Type="http://schemas.openxmlformats.org/officeDocument/2006/relationships/hyperlink" Target="http://www.sec.gov/Archives/edgar/data/1653558/000161577418014966/s114910_ex10-1.htm" TargetMode="External"/><Relationship Id="rId161" Type="http://schemas.openxmlformats.org/officeDocument/2006/relationships/hyperlink" Target="http://www.sec.gov/Archives/edgar/data/1653558/000162828019003666/prioritytechnology-ex1013.htm" TargetMode="External"/><Relationship Id="rId162" Type="http://schemas.openxmlformats.org/officeDocument/2006/relationships/hyperlink" Target="http://www.sec.gov/Archives/edgar/data/1653558/000162828019003666/prioritytechnology-ex1019.htm" TargetMode="External"/><Relationship Id="rId163" Type="http://schemas.openxmlformats.org/officeDocument/2006/relationships/hyperlink" Target="https://www.sec.gov/Archives/edgar/data/1653558/000165355820000148/assetpurchaseagreement.htm" TargetMode="External"/><Relationship Id="rId164" Type="http://schemas.openxmlformats.org/officeDocument/2006/relationships/hyperlink" Target="https://www.sec.gov/Archives/edgar/data/0001653558/000165355821000031/exhibith-supportagreemente.htm" TargetMode="External"/><Relationship Id="rId165" Type="http://schemas.openxmlformats.org/officeDocument/2006/relationships/hyperlink" Target="https://www.sec.gov/Archives/edgar/data/0001653558/000165355821000031/priorityprojectwarrior-tru.htm" TargetMode="External"/><Relationship Id="rId166" Type="http://schemas.openxmlformats.org/officeDocument/2006/relationships/hyperlink" Target="https://www.sec.gov/Archives/edgar/data/0001653558/000165355821000031/priority-arespreferredcomm.htm" TargetMode="External"/><Relationship Id="rId167" Type="http://schemas.openxmlformats.org/officeDocument/2006/relationships/hyperlink" Target="https://www.sec.gov/Archives/edgar/data/0001653558/000165355821000065/exhibit101-priorityxpurcha.htm" TargetMode="External"/><Relationship Id="rId168" Type="http://schemas.openxmlformats.org/officeDocument/2006/relationships/hyperlink" Target="https://www.sec.gov/Archives/edgar/data/0001653558/000165355821000065/exhibit102-priorityxregist.htm" TargetMode="External"/><Relationship Id="rId169" Type="http://schemas.openxmlformats.org/officeDocument/2006/relationships/hyperlink" Target="https://www.sec.gov/Archives/edgar/data/0001653558/000165355821000114/prioritypayments-seconda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2022-03-17T09:37:48Z</dcterms:created>
  <dcterms:modified xsi:type="dcterms:W3CDTF">2022-03-17T09:37:48Z</dcterms:modified>
</cp:coreProperties>
</file>