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620" w:right="2840" w:hanging="1790"/>
        <w:spacing w:after="0" w:line="320" w:lineRule="auto"/>
        <w:tabs>
          <w:tab w:leader="none" w:pos="297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June 30, 2025</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116205</wp:posOffset>
            </wp:positionV>
            <wp:extent cx="1697355" cy="537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right="10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4"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August 1, 2025, the number of the registrant's Common Stock outstanding was 79,917,925.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4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585"/>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4840" w:type="dxa"/>
            <w:vAlign w:val="bottom"/>
            <w:gridSpan w:val="30"/>
          </w:tcPr>
          <w:p>
            <w:pPr>
              <w:spacing w:after="0" w:line="124" w:lineRule="exact"/>
              <w:rPr>
                <w:sz w:val="20"/>
                <w:szCs w:val="20"/>
                <w:color w:val="auto"/>
              </w:rPr>
            </w:pPr>
            <w:r>
              <w:rPr>
                <w:rFonts w:ascii="Times New Roman" w:cs="Times New Roman" w:eastAsia="Times New Roman" w:hAnsi="Times New Roman"/>
                <w:sz w:val="11"/>
                <w:szCs w:val="11"/>
                <w:color w:val="0000FF"/>
              </w:rPr>
              <w:t>Commonly Used or Defined Terms</w:t>
            </w:r>
          </w:p>
        </w:tc>
        <w:tc>
          <w:tcPr>
            <w:tcW w:w="6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740" w:type="dxa"/>
            <w:vAlign w:val="bottom"/>
            <w:tcBorders>
              <w:bottom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3100" w:type="dxa"/>
            <w:vAlign w:val="bottom"/>
            <w:gridSpan w:val="13"/>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3520" w:type="dxa"/>
            <w:vAlign w:val="bottom"/>
            <w:gridSpan w:val="1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18"/>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302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 (Loss)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21"/>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380" w:type="dxa"/>
            <w:vAlign w:val="bottom"/>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5</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22"/>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2080" w:type="dxa"/>
            <w:vAlign w:val="bottom"/>
            <w:gridSpan w:val="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9</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4040" w:type="dxa"/>
            <w:vAlign w:val="bottom"/>
            <w:gridSpan w:val="2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Settlement Assets and Obligations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12</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0"/>
              </w:rPr>
              <w:t>Notes Receivable</w:t>
            </w:r>
          </w:p>
        </w:tc>
        <w:tc>
          <w:tcPr>
            <w:tcW w:w="740" w:type="dxa"/>
            <w:vAlign w:val="bottom"/>
            <w:gridSpan w:val="9"/>
          </w:tcPr>
          <w:p>
            <w:pPr>
              <w:spacing w:after="0"/>
              <w:rPr>
                <w:sz w:val="10"/>
                <w:szCs w:val="10"/>
                <w:color w:val="auto"/>
              </w:rPr>
            </w:pPr>
          </w:p>
        </w:tc>
        <w:tc>
          <w:tcPr>
            <w:tcW w:w="3100" w:type="dxa"/>
            <w:vAlign w:val="bottom"/>
            <w:gridSpan w:val="13"/>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4600" w:type="dxa"/>
            <w:vAlign w:val="bottom"/>
            <w:gridSpan w:val="28"/>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2760" w:type="dxa"/>
            <w:vAlign w:val="bottom"/>
            <w:gridSpan w:val="23"/>
          </w:tcPr>
          <w:p>
            <w:pPr>
              <w:ind w:left="20"/>
              <w:spacing w:after="0" w:line="124" w:lineRule="exact"/>
              <w:rPr>
                <w:sz w:val="20"/>
                <w:szCs w:val="20"/>
                <w:color w:val="auto"/>
              </w:rPr>
            </w:pPr>
            <w:r>
              <w:rPr>
                <w:rFonts w:ascii="Times New Roman" w:cs="Times New Roman" w:eastAsia="Times New Roman" w:hAnsi="Times New Roman"/>
                <w:sz w:val="11"/>
                <w:szCs w:val="11"/>
                <w:color w:val="0000FF"/>
              </w:rPr>
              <w:t>Goodwill and Other Intangible Assets</w:t>
            </w: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2"/>
              </w:rPr>
              <w:t>Debt Obligations</w:t>
            </w:r>
          </w:p>
        </w:tc>
        <w:tc>
          <w:tcPr>
            <w:tcW w:w="2000" w:type="dxa"/>
            <w:vAlign w:val="bottom"/>
            <w:gridSpan w:val="17"/>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Income Taxes</w:t>
            </w:r>
          </w:p>
        </w:tc>
        <w:tc>
          <w:tcPr>
            <w:tcW w:w="140" w:type="dxa"/>
            <w:vAlign w:val="bottom"/>
          </w:tcPr>
          <w:p>
            <w:pPr>
              <w:spacing w:after="0"/>
              <w:rPr>
                <w:sz w:val="10"/>
                <w:szCs w:val="10"/>
                <w:color w:val="auto"/>
              </w:rPr>
            </w:pPr>
          </w:p>
        </w:tc>
        <w:tc>
          <w:tcPr>
            <w:tcW w:w="3840" w:type="dxa"/>
            <w:vAlign w:val="bottom"/>
            <w:gridSpan w:val="2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93"/>
              </w:rPr>
              <w:t>10. Stockholders' Deficit</w:t>
            </w:r>
          </w:p>
        </w:tc>
        <w:tc>
          <w:tcPr>
            <w:tcW w:w="364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6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8"/>
              </w:rPr>
              <w:t>11. Stock-based Compensation</w:t>
            </w:r>
          </w:p>
        </w:tc>
        <w:tc>
          <w:tcPr>
            <w:tcW w:w="334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w w:val="97"/>
              </w:rPr>
              <w:t>12. Related Party Transactions</w:t>
            </w:r>
          </w:p>
        </w:tc>
        <w:tc>
          <w:tcPr>
            <w:tcW w:w="20" w:type="dxa"/>
            <w:vAlign w:val="bottom"/>
          </w:tcPr>
          <w:p>
            <w:pPr>
              <w:spacing w:after="0"/>
              <w:rPr>
                <w:sz w:val="10"/>
                <w:szCs w:val="10"/>
                <w:color w:val="auto"/>
              </w:rPr>
            </w:pPr>
          </w:p>
        </w:tc>
        <w:tc>
          <w:tcPr>
            <w:tcW w:w="334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13. Commitments and Contingencies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14. Fair Value</w:t>
            </w:r>
          </w:p>
        </w:tc>
        <w:tc>
          <w:tcPr>
            <w:tcW w:w="980" w:type="dxa"/>
            <w:vAlign w:val="bottom"/>
            <w:gridSpan w:val="12"/>
          </w:tcPr>
          <w:p>
            <w:pPr>
              <w:spacing w:after="0"/>
              <w:rPr>
                <w:sz w:val="10"/>
                <w:szCs w:val="10"/>
                <w:color w:val="auto"/>
              </w:rPr>
            </w:pPr>
          </w:p>
        </w:tc>
        <w:tc>
          <w:tcPr>
            <w:tcW w:w="3100" w:type="dxa"/>
            <w:vAlign w:val="bottom"/>
            <w:gridSpan w:val="13"/>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rPr>
              <w:t>15. Segment Information</w:t>
            </w:r>
          </w:p>
        </w:tc>
        <w:tc>
          <w:tcPr>
            <w:tcW w:w="3360" w:type="dxa"/>
            <w:vAlign w:val="bottom"/>
            <w:gridSpan w:val="1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16. Earnings (Loss) per Common Share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9"/>
          </w:tcPr>
          <w:p>
            <w:pPr>
              <w:spacing w:after="0" w:line="124" w:lineRule="exact"/>
              <w:rPr>
                <w:sz w:val="20"/>
                <w:szCs w:val="20"/>
                <w:color w:val="auto"/>
              </w:rPr>
            </w:pPr>
            <w:r>
              <w:rPr>
                <w:rFonts w:ascii="Times New Roman" w:cs="Times New Roman" w:eastAsia="Times New Roman" w:hAnsi="Times New Roman"/>
                <w:sz w:val="11"/>
                <w:szCs w:val="11"/>
                <w:color w:val="0000FF"/>
              </w:rPr>
              <w:t>Item 2. Management's Discussion and Analysis of Financial Condition and Results of Operations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4"/>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w w:val="92"/>
              </w:rPr>
              <w:t>Item 4. Controls and Procedures</w:t>
            </w:r>
          </w:p>
        </w:tc>
        <w:tc>
          <w:tcPr>
            <w:tcW w:w="1520" w:type="dxa"/>
            <w:vAlign w:val="bottom"/>
            <w:gridSpan w:val="12"/>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39</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840" w:type="dxa"/>
            <w:vAlign w:val="bottom"/>
            <w:gridSpan w:val="30"/>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88"/>
              </w:rPr>
              <w:t>Item 1. Legal Proceedings</w:t>
            </w:r>
          </w:p>
        </w:tc>
        <w:tc>
          <w:tcPr>
            <w:tcW w:w="340" w:type="dxa"/>
            <w:vAlign w:val="bottom"/>
            <w:gridSpan w:val="6"/>
          </w:tcPr>
          <w:p>
            <w:pPr>
              <w:spacing w:after="0"/>
              <w:rPr>
                <w:sz w:val="10"/>
                <w:szCs w:val="10"/>
                <w:color w:val="auto"/>
              </w:rPr>
            </w:pPr>
          </w:p>
        </w:tc>
        <w:tc>
          <w:tcPr>
            <w:tcW w:w="330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8"/>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tcPr>
          <w:p>
            <w:pPr>
              <w:spacing w:after="0"/>
              <w:rPr>
                <w:sz w:val="10"/>
                <w:szCs w:val="10"/>
                <w:color w:val="auto"/>
              </w:rPr>
            </w:pPr>
          </w:p>
        </w:tc>
        <w:tc>
          <w:tcPr>
            <w:tcW w:w="364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5"/>
          </w:tcPr>
          <w:p>
            <w:pPr>
              <w:spacing w:after="0" w:line="124" w:lineRule="exact"/>
              <w:rPr>
                <w:sz w:val="20"/>
                <w:szCs w:val="20"/>
                <w:color w:val="auto"/>
              </w:rPr>
            </w:pPr>
            <w:r>
              <w:rPr>
                <w:rFonts w:ascii="Times New Roman" w:cs="Times New Roman" w:eastAsia="Times New Roman" w:hAnsi="Times New Roman"/>
                <w:sz w:val="11"/>
                <w:szCs w:val="11"/>
                <w:color w:val="0000FF"/>
                <w:w w:val="95"/>
              </w:rPr>
              <w:t>Item 2. Unregistered Sales of Equity Securities and Use of Proceeds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5"/>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7"/>
          </w:tcPr>
          <w:p>
            <w:pPr>
              <w:spacing w:after="0" w:line="124" w:lineRule="exact"/>
              <w:rPr>
                <w:sz w:val="20"/>
                <w:szCs w:val="20"/>
                <w:color w:val="auto"/>
              </w:rPr>
            </w:pPr>
            <w:r>
              <w:rPr>
                <w:rFonts w:ascii="Times New Roman" w:cs="Times New Roman" w:eastAsia="Times New Roman" w:hAnsi="Times New Roman"/>
                <w:sz w:val="11"/>
                <w:szCs w:val="11"/>
                <w:color w:val="0000FF"/>
              </w:rPr>
              <w:t>Item 4. Mine Safety Disclosures</w:t>
            </w:r>
          </w:p>
        </w:tc>
        <w:tc>
          <w:tcPr>
            <w:tcW w:w="3040" w:type="dxa"/>
            <w:vAlign w:val="bottom"/>
            <w:gridSpan w:val="1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640" w:type="dxa"/>
            <w:vAlign w:val="bottom"/>
            <w:tcBorders>
              <w:left w:val="single" w:sz="8" w:color="0000FF"/>
            </w:tcBorders>
            <w:gridSpan w:val="20"/>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364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3640" w:type="dxa"/>
            <w:vAlign w:val="bottom"/>
            <w:gridSpan w:val="20"/>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364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80" w:type="dxa"/>
            <w:vAlign w:val="bottom"/>
            <w:gridSpan w:val="25"/>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4380" w:type="dxa"/>
            <w:vAlign w:val="bottom"/>
            <w:gridSpan w:val="2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43</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B2B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Business-to-business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Finxera</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Finxera Holdings, Inc.</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LIBOR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London Interbank Offered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PHOT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Hospitality Technology, LLC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Plastiq</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assets of Plastiq, Inc. and certain of its affiliates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$70.0 million line issued under the 2024 Credit Agreement</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SOX</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Sarbanes–Oxley Act of 2002</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SMB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Small to medium-sized businesses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Term loan facility issued under the 2024 Credit Agreement</w:t>
            </w:r>
          </w:p>
        </w:tc>
      </w:tr>
      <w:tr>
        <w:trPr>
          <w:trHeight w:val="155"/>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Wholesale Payments</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Wholesale Payments,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20" w:type="dxa"/>
            <w:vAlign w:val="bottom"/>
          </w:tcPr>
          <w:p>
            <w:pPr>
              <w:spacing w:after="0"/>
              <w:rPr>
                <w:sz w:val="11"/>
                <w:szCs w:val="11"/>
                <w:color w:val="auto"/>
              </w:rPr>
            </w:pPr>
          </w:p>
        </w:tc>
        <w:tc>
          <w:tcPr>
            <w:tcW w:w="7280" w:type="dxa"/>
            <w:vAlign w:val="bottom"/>
            <w:tcBorders>
              <w:top w:val="single" w:sz="8" w:color="CCEEFF"/>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4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0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50,564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$5,219 and $3,045, respectively</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w:t>
            </w:r>
          </w:p>
        </w:tc>
        <w:tc>
          <w:tcPr>
            <w:tcW w:w="1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1,125,934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1,305,885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382,497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22,755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0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2,027,420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1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40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obligations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1,127,266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1,229,171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917,017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25,366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2,171,554</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40" w:type="dxa"/>
            <w:vAlign w:val="bottom"/>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13</w:t>
            </w:r>
            <w:r>
              <w:rPr>
                <w:rFonts w:ascii="Times New Roman" w:cs="Times New Roman" w:eastAsia="Times New Roman" w:hAnsi="Times New Roman"/>
                <w:sz w:val="12"/>
                <w:szCs w:val="12"/>
                <w:color w:val="auto"/>
              </w:rPr>
              <w:t>)</w:t>
            </w:r>
          </w:p>
        </w:tc>
        <w:tc>
          <w:tcPr>
            <w:tcW w:w="1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380" w:type="dxa"/>
            <w:vAlign w:val="bottom"/>
            <w:tcBorders>
              <w:top w:val="single" w:sz="8" w:color="0000FF"/>
            </w:tcBorders>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June 30, 2025 and December 31, 2024</w:t>
            </w:r>
          </w:p>
        </w:tc>
        <w:tc>
          <w:tcPr>
            <w:tcW w:w="14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84,524,131 and 81,866,711 shares issued at June 30, 2025 and December 31,</w:t>
            </w:r>
          </w:p>
        </w:tc>
        <w:tc>
          <w:tcPr>
            <w:tcW w:w="1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2024, respectively; and 79,897,665 and 77,479,908 shares outstanding at June 30, 2025 and December 31, 2024, respectively</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4,626,466 and 4,386,803 shares at June 30, 2025 and December 31, 2024, respectively</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(127,987)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(144,134)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1400" w:type="dxa"/>
            <w:vAlign w:val="bottom"/>
            <w:tcBorders>
              <w:bottom w:val="single" w:sz="8" w:color="auto"/>
            </w:tcBorders>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2,027,420</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40" w:type="dxa"/>
            <w:vAlign w:val="bottom"/>
          </w:tcPr>
          <w:p>
            <w:pPr>
              <w:spacing w:after="0"/>
              <w:rPr>
                <w:sz w:val="14"/>
                <w:szCs w:val="14"/>
                <w:color w:val="auto"/>
              </w:rPr>
            </w:pPr>
          </w:p>
        </w:tc>
      </w:tr>
      <w:tr>
        <w:trPr>
          <w:trHeight w:val="671"/>
        </w:trPr>
        <w:tc>
          <w:tcPr>
            <w:tcW w:w="7300" w:type="dxa"/>
            <w:vAlign w:val="bottom"/>
            <w:gridSpan w:val="4"/>
          </w:tcPr>
          <w:p>
            <w:pPr>
              <w:jc w:val="right"/>
              <w:ind w:right="1620"/>
              <w:spacing w:after="0"/>
              <w:rPr>
                <w:sz w:val="20"/>
                <w:szCs w:val="20"/>
                <w:color w:val="auto"/>
              </w:rPr>
            </w:pPr>
            <w:r>
              <w:rPr>
                <w:rFonts w:ascii="Times New Roman" w:cs="Times New Roman" w:eastAsia="Times New Roman" w:hAnsi="Times New Roman"/>
                <w:sz w:val="12"/>
                <w:szCs w:val="12"/>
                <w:color w:val="auto"/>
              </w:rPr>
              <w:t>1</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60" w:type="dxa"/>
            <w:vAlign w:val="bottom"/>
          </w:tcPr>
          <w:p>
            <w:pPr>
              <w:spacing w:after="0"/>
              <w:rPr>
                <w:sz w:val="12"/>
                <w:szCs w:val="12"/>
                <w:color w:val="auto"/>
              </w:rPr>
            </w:pPr>
          </w:p>
        </w:tc>
        <w:tc>
          <w:tcPr>
            <w:tcW w:w="22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24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239,812</w:t>
            </w: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219,867</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464,442</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0" w:type="dxa"/>
            <w:vAlign w:val="bottom"/>
          </w:tcPr>
          <w:p>
            <w:pPr>
              <w:spacing w:after="0"/>
              <w:rPr>
                <w:sz w:val="1"/>
                <w:szCs w:val="1"/>
                <w:color w:val="auto"/>
              </w:rPr>
            </w:pPr>
          </w:p>
        </w:tc>
      </w:tr>
      <w:tr>
        <w:trPr>
          <w:trHeight w:val="133"/>
        </w:trPr>
        <w:tc>
          <w:tcPr>
            <w:tcW w:w="58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147,399</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284,752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267,416</w:t>
            </w: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27,060</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52,835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44,269</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27,870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0" w:type="dxa"/>
            <w:vAlign w:val="bottom"/>
          </w:tcPr>
          <w:p>
            <w:pPr>
              <w:spacing w:after="0"/>
              <w:rPr>
                <w:sz w:val="1"/>
                <w:szCs w:val="1"/>
                <w:color w:val="auto"/>
              </w:rPr>
            </w:pPr>
          </w:p>
        </w:tc>
      </w:tr>
      <w:tr>
        <w:trPr>
          <w:trHeight w:val="153"/>
        </w:trPr>
        <w:tc>
          <w:tcPr>
            <w:tcW w:w="5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13,910</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11,212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29,010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22,207</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202,462</w:t>
            </w: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186,693</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394,467</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364,389</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37,350</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33,174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69,975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61,197</w:t>
            </w:r>
          </w:p>
        </w:tc>
        <w:tc>
          <w:tcPr>
            <w:tcW w:w="0" w:type="dxa"/>
            <w:vAlign w:val="bottom"/>
          </w:tcPr>
          <w:p>
            <w:pPr>
              <w:spacing w:after="0"/>
              <w:rPr>
                <w:sz w:val="1"/>
                <w:szCs w:val="1"/>
                <w:color w:val="auto"/>
              </w:rPr>
            </w:pPr>
          </w:p>
        </w:tc>
      </w:tr>
      <w:tr>
        <w:trPr>
          <w:trHeight w:val="133"/>
        </w:trPr>
        <w:tc>
          <w:tcPr>
            <w:tcW w:w="5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(23,054)</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other expense, net</w:t>
            </w: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(22,048)</w:t>
            </w: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(29,665)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(44,155)</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(49,913)</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15,302</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25,820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11,284</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w:t>
            </w: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6,673</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10,879</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6,187</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(31,227)</w:t>
            </w:r>
          </w:p>
        </w:tc>
        <w:tc>
          <w:tcPr>
            <w:tcW w:w="0" w:type="dxa"/>
            <w:vAlign w:val="bottom"/>
          </w:tcPr>
          <w:p>
            <w:pPr>
              <w:spacing w:after="0"/>
              <w:rPr>
                <w:sz w:val="1"/>
                <w:szCs w:val="1"/>
                <w:color w:val="auto"/>
              </w:rPr>
            </w:pPr>
          </w:p>
        </w:tc>
      </w:tr>
      <w:tr>
        <w:trPr>
          <w:trHeight w:val="153"/>
        </w:trPr>
        <w:tc>
          <w:tcPr>
            <w:tcW w:w="5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8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8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10,879</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(17,629)</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19,147</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(25,679)</w:t>
            </w: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5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11,096</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(17,625)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19,407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(25,688)</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53"/>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6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78,981</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78,878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77,878</w:t>
            </w:r>
          </w:p>
        </w:tc>
        <w:tc>
          <w:tcPr>
            <w:tcW w:w="0" w:type="dxa"/>
            <w:vAlign w:val="bottom"/>
          </w:tcPr>
          <w:p>
            <w:pPr>
              <w:spacing w:after="0"/>
              <w:rPr>
                <w:sz w:val="1"/>
                <w:szCs w:val="1"/>
                <w:color w:val="auto"/>
              </w:rPr>
            </w:pPr>
          </w:p>
        </w:tc>
      </w:tr>
      <w:tr>
        <w:trPr>
          <w:trHeight w:val="155"/>
        </w:trPr>
        <w:tc>
          <w:tcPr>
            <w:tcW w:w="5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79,837</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77,480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(19,607)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(166,840)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stock-based compensation and ESPP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warrants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79,712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4,508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(21,077)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(158,327)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(156,425)</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stock-based compensation and ESPP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79,898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4,626</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(21,921)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3,629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(127,987)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(146,115)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1,981</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(144,134)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76,957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(12,815)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(147,718)</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(146,064)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for PHOT redeemable NCI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75,835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4,183</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(18,491)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(141,412)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(159,869)</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1,747</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(158,122)</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Return on PHOT redeemable NCI</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r>
        <w:trPr>
          <w:trHeight w:val="131"/>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75,968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4,240</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(18,673)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(153,472)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(172,107)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1,832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(170,275)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00" w:type="dxa"/>
            <w:vAlign w:val="bottom"/>
            <w:tcBorders>
              <w:bottom w:val="single" w:sz="8" w:color="auto"/>
            </w:tcBorders>
          </w:tcPr>
          <w:p>
            <w:pPr>
              <w:spacing w:after="0"/>
              <w:rPr>
                <w:sz w:val="12"/>
                <w:szCs w:val="12"/>
                <w:color w:val="auto"/>
              </w:rPr>
            </w:pPr>
          </w:p>
        </w:tc>
      </w:tr>
      <w:tr>
        <w:trPr>
          <w:trHeight w:val="134"/>
        </w:trPr>
        <w:tc>
          <w:tcPr>
            <w:tcW w:w="78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19,147</w:t>
            </w:r>
          </w:p>
        </w:tc>
        <w:tc>
          <w:tcPr>
            <w:tcW w:w="80" w:type="dxa"/>
            <w:vAlign w:val="bottom"/>
          </w:tcPr>
          <w:p>
            <w:pPr>
              <w:spacing w:after="0"/>
              <w:rPr>
                <w:sz w:val="12"/>
                <w:szCs w:val="12"/>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6,187</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27,870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30,497</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ESPP and incentive units compensation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3,462</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1,824</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8,623</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(2,318)</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(3,023)</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deferred consideration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2,213</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(17,912)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(7,145)</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taxes (receivable) payable</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(5,037)</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10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10,225</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residuals commissions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3,066</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noncurrent assets and liabilities, net</w:t>
            </w:r>
          </w:p>
        </w:tc>
        <w:tc>
          <w:tcPr>
            <w:tcW w:w="10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(5,859)</w:t>
            </w:r>
          </w:p>
        </w:tc>
      </w:tr>
      <w:tr>
        <w:trPr>
          <w:trHeight w:val="13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0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27,080</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42,007</w:t>
            </w: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(11,718)</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Notes receivable, net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Acquisitions of assets and other investing activities</w:t>
            </w:r>
          </w:p>
        </w:tc>
        <w:tc>
          <w:tcPr>
            <w:tcW w:w="10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(2,275)</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(7,474)</w:t>
            </w:r>
          </w:p>
        </w:tc>
      </w:tr>
      <w:tr>
        <w:trPr>
          <w:trHeight w:val="13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0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(21,145)</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(20,598)</w:t>
            </w: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 net of issue discount</w:t>
            </w:r>
          </w:p>
        </w:tc>
        <w:tc>
          <w:tcPr>
            <w:tcW w:w="10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830,200</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(7,555)</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(654,372)</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10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Repurchases of shares withheld for taxes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senior preferred stock</w:t>
            </w:r>
          </w:p>
        </w:tc>
        <w:tc>
          <w:tcPr>
            <w:tcW w:w="10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(136,936)</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accumulated unpaid dividend on redeemable senior preferred stock</w:t>
            </w:r>
          </w:p>
        </w:tc>
        <w:tc>
          <w:tcPr>
            <w:tcW w:w="10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(30,819)</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Dividends paid to redeemable senior preferred stockholders</w:t>
            </w:r>
          </w:p>
        </w:tc>
        <w:tc>
          <w:tcPr>
            <w:tcW w:w="10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(16,393)</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Settlement obligations, net</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190,863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40,914</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Payment of deferred/contingent consideration related to business combination</w:t>
            </w:r>
          </w:p>
        </w:tc>
        <w:tc>
          <w:tcPr>
            <w:tcW w:w="1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(4,156)</w:t>
            </w:r>
          </w:p>
        </w:tc>
      </w:tr>
      <w:tr>
        <w:trPr>
          <w:trHeight w:val="13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178,091</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18,149</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184,026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39,558</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1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993,864</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796,223</w:t>
            </w:r>
          </w:p>
        </w:tc>
      </w:tr>
      <w:tr>
        <w:trPr>
          <w:trHeight w:val="151"/>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1,177,890</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835,781</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00" w:type="dxa"/>
            <w:vAlign w:val="bottom"/>
            <w:tcBorders>
              <w:bottom w:val="single" w:sz="8" w:color="auto"/>
            </w:tcBorders>
          </w:tcPr>
          <w:p>
            <w:pPr>
              <w:spacing w:after="0"/>
              <w:rPr>
                <w:sz w:val="12"/>
                <w:szCs w:val="12"/>
                <w:color w:val="auto"/>
              </w:rPr>
            </w:pPr>
          </w:p>
        </w:tc>
      </w:tr>
      <w:tr>
        <w:trPr>
          <w:trHeight w:val="134"/>
        </w:trPr>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
        </w:trPr>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0"/>
        </w:trPr>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50,564</w:t>
            </w:r>
          </w:p>
        </w:tc>
        <w:tc>
          <w:tcPr>
            <w:tcW w:w="80" w:type="dxa"/>
            <w:vAlign w:val="bottom"/>
          </w:tcPr>
          <w:p>
            <w:pPr>
              <w:spacing w:after="0"/>
              <w:rPr>
                <w:sz w:val="12"/>
                <w:szCs w:val="12"/>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34,626</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12,625</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(restricted in nature)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10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1,113,121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788,530</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1000" w:type="dxa"/>
            <w:vAlign w:val="bottom"/>
            <w:tcBorders>
              <w:bottom w:val="single" w:sz="8" w:color="auto"/>
            </w:tcBorders>
            <w:shd w:val="clear" w:color="auto" w:fill="CCEEFF"/>
          </w:tcPr>
          <w:p>
            <w:pPr>
              <w:jc w:val="right"/>
              <w:ind w:right="86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1,177,890</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4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835,781</w:t>
            </w:r>
          </w:p>
        </w:tc>
      </w:tr>
      <w:tr>
        <w:trPr>
          <w:trHeight w:val="153"/>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100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43,331</w:t>
            </w:r>
          </w:p>
        </w:tc>
        <w:tc>
          <w:tcPr>
            <w:tcW w:w="80" w:type="dxa"/>
            <w:vAlign w:val="bottom"/>
          </w:tcPr>
          <w:p>
            <w:pPr>
              <w:spacing w:after="0"/>
              <w:rPr>
                <w:sz w:val="12"/>
                <w:szCs w:val="12"/>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35,934</w:t>
            </w:r>
          </w:p>
        </w:tc>
      </w:tr>
      <w:tr>
        <w:trPr>
          <w:trHeight w:val="146"/>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Acquisition of intangible asset</w:t>
            </w:r>
          </w:p>
        </w:tc>
        <w:tc>
          <w:tcPr>
            <w:tcW w:w="100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(5,751)</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NCI</w:t>
            </w:r>
          </w:p>
        </w:tc>
        <w:tc>
          <w:tcPr>
            <w:tcW w:w="100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Foreign currency adjustment to goodwill and intangibles</w:t>
            </w:r>
          </w:p>
        </w:tc>
        <w:tc>
          <w:tcPr>
            <w:tcW w:w="1000" w:type="dxa"/>
            <w:vAlign w:val="bottom"/>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Pr>
          <w:p>
            <w:pPr>
              <w:spacing w:after="0"/>
              <w:rPr>
                <w:sz w:val="12"/>
                <w:szCs w:val="12"/>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Priority Technology Holdings, Inc. is a holding company with no material operations of its own. Priority Technology Holdings, Inc. and its consolidated subsidiaries are referred to herein collectively as "Priority," the "Company," "we," "our" or "us," unless the context requires otherwise. Priority is a payments and banking fintech that streamlines collecting, storing, lending and sending money through its innovative commerce engine to unlock revenue and generate operational success for businesses. Our mission is to provide a personalized financial tool set to accelerate cashflow and optimize working capital for our customers by providing merchant services, payables and banking and treasury solutions.</w:t>
      </w:r>
    </w:p>
    <w:p>
      <w:pPr>
        <w:spacing w:after="0" w:line="12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2024 was derived from the audited financial statements included in the Company's Annual Report on Form 10-K for the year ended December 31, 2024 but does not include all disclosures required by GAAP for annual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June 30, 2025, there was no income attributable to NCI in accordance with the applicable operating agreements.</w:t>
      </w:r>
    </w:p>
    <w:p>
      <w:pPr>
        <w:spacing w:after="0" w:line="111"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2024. Certain amounts from prior periods have been reclassified to conform to the current period’s presentation. The effect of these reclassifications on the Company’s previously reported consolidated financial statements was not material.</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(i.e. local currency of Republic of India). The functional currency of the Canadian subsidiaries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3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i w:val="1"/>
          <w:iCs w:val="1"/>
          <w:color w:val="auto"/>
        </w:rPr>
        <w:t>Deferred Consideration</w:t>
      </w:r>
    </w:p>
    <w:p>
      <w:pPr>
        <w:spacing w:after="0" w:line="15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deferred considerations related to acquisitions are recorded at the fair value on the date of the acquisition and accreted to their redemption value through interest expense. Amounts due within 12 months under the terms of the agreement are classified as current within the Consolidated Unaudited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Allowance for Expected Losses</w:t>
      </w:r>
    </w:p>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As of June 30, 2025 and December 31, 2024, there was no allowance for expected loss on notes receivable. See </w:t>
      </w:r>
      <w:r>
        <w:rPr>
          <w:rFonts w:ascii="Times New Roman" w:cs="Times New Roman" w:eastAsia="Times New Roman" w:hAnsi="Times New Roman"/>
          <w:sz w:val="12"/>
          <w:szCs w:val="12"/>
          <w:u w:val="single" w:color="auto"/>
          <w:color w:val="0000FF"/>
        </w:rPr>
        <w:t>Note 5. Notes Receivable</w:t>
      </w:r>
      <w:r>
        <w:rPr>
          <w:rFonts w:ascii="Times New Roman" w:cs="Times New Roman" w:eastAsia="Times New Roman" w:hAnsi="Times New Roman"/>
          <w:sz w:val="12"/>
          <w:szCs w:val="12"/>
          <w:color w:val="auto"/>
        </w:rPr>
        <w:t xml:space="preserve">. The allowance for expected loss from accounts receivable was $5.2 million and $3.0 million at June 30, 2025 and December 31, 2024, respectively. As of June 30, 2025 and December 31, 2024, the allowance for expected losses on settlement assets was $8.6 million and $7.9 million, respectively. See </w:t>
      </w:r>
      <w:r>
        <w:rPr>
          <w:rFonts w:ascii="Times New Roman" w:cs="Times New Roman" w:eastAsia="Times New Roman" w:hAnsi="Times New Roman"/>
          <w:sz w:val="12"/>
          <w:szCs w:val="12"/>
          <w:u w:val="single" w:color="auto"/>
          <w:color w:val="0000FF"/>
        </w:rPr>
        <w:t>Note 4. Settlement Assets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and Obligations</w:t>
      </w:r>
      <w:r>
        <w:rPr>
          <w:rFonts w:ascii="Times New Roman" w:cs="Times New Roman" w:eastAsia="Times New Roman" w:hAnsi="Times New Roman"/>
          <w:sz w:val="12"/>
          <w:szCs w:val="12"/>
          <w:color w:val="000000"/>
        </w:rPr>
        <w:t>. A reconciliation of the beginning and ending amount of allowance for expected losses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Pr>
          <w:p>
            <w:pPr>
              <w:spacing w:after="0"/>
              <w:rPr>
                <w:sz w:val="13"/>
                <w:szCs w:val="13"/>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Accounts Receivables</w:t>
            </w:r>
          </w:p>
        </w:tc>
        <w:tc>
          <w:tcPr>
            <w:tcW w:w="320" w:type="dxa"/>
            <w:vAlign w:val="bottom"/>
          </w:tcPr>
          <w:p>
            <w:pPr>
              <w:spacing w:after="0"/>
              <w:rPr>
                <w:sz w:val="13"/>
                <w:szCs w:val="13"/>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Settlement assets</w:t>
            </w:r>
          </w:p>
        </w:tc>
      </w:tr>
      <w:tr>
        <w:trPr>
          <w:trHeight w:val="142"/>
        </w:trPr>
        <w:tc>
          <w:tcPr>
            <w:tcW w:w="7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top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(7,936)</w:t>
            </w:r>
          </w:p>
        </w:tc>
      </w:tr>
      <w:tr>
        <w:trPr>
          <w:trHeight w:val="153"/>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Charge-offs (recoveries), net</w:t>
            </w:r>
          </w:p>
        </w:tc>
        <w:tc>
          <w:tcPr>
            <w:tcW w:w="2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left="1280"/>
              <w:spacing w:after="0"/>
              <w:rPr>
                <w:sz w:val="20"/>
                <w:szCs w:val="20"/>
                <w:color w:val="auto"/>
              </w:rPr>
            </w:pPr>
            <w:r>
              <w:rPr>
                <w:rFonts w:ascii="Times New Roman" w:cs="Times New Roman" w:eastAsia="Times New Roman" w:hAnsi="Times New Roman"/>
                <w:sz w:val="12"/>
                <w:szCs w:val="12"/>
                <w:color w:val="auto"/>
                <w:w w:val="96"/>
              </w:rPr>
              <w:t>1,492</w:t>
            </w:r>
          </w:p>
        </w:tc>
      </w:tr>
      <w:tr>
        <w:trPr>
          <w:trHeight w:val="153"/>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Provision</w:t>
            </w:r>
          </w:p>
        </w:tc>
        <w:tc>
          <w:tcPr>
            <w:tcW w:w="26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(3,481)</w:t>
            </w:r>
          </w:p>
        </w:tc>
      </w:tr>
      <w:tr>
        <w:trPr>
          <w:trHeight w:val="142"/>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Balance at March 31, 2025</w:t>
            </w:r>
          </w:p>
        </w:tc>
        <w:tc>
          <w:tcPr>
            <w:tcW w:w="26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left="1260"/>
              <w:spacing w:after="0"/>
              <w:rPr>
                <w:sz w:val="20"/>
                <w:szCs w:val="20"/>
                <w:color w:val="auto"/>
              </w:rPr>
            </w:pPr>
            <w:r>
              <w:rPr>
                <w:rFonts w:ascii="Times New Roman" w:cs="Times New Roman" w:eastAsia="Times New Roman" w:hAnsi="Times New Roman"/>
                <w:sz w:val="12"/>
                <w:szCs w:val="12"/>
                <w:color w:val="auto"/>
              </w:rPr>
              <w:t>(9,925)</w:t>
            </w:r>
          </w:p>
        </w:tc>
      </w:tr>
      <w:tr>
        <w:trPr>
          <w:trHeight w:val="153"/>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Charge-offs (recoveries), net</w:t>
            </w:r>
          </w:p>
        </w:tc>
        <w:tc>
          <w:tcPr>
            <w:tcW w:w="26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720" w:type="dxa"/>
            <w:vAlign w:val="bottom"/>
            <w:shd w:val="clear" w:color="auto" w:fill="CCEEFF"/>
          </w:tcPr>
          <w:p>
            <w:pPr>
              <w:jc w:val="center"/>
              <w:ind w:left="1280"/>
              <w:spacing w:after="0"/>
              <w:rPr>
                <w:sz w:val="20"/>
                <w:szCs w:val="20"/>
                <w:color w:val="auto"/>
              </w:rPr>
            </w:pPr>
            <w:r>
              <w:rPr>
                <w:rFonts w:ascii="Times New Roman" w:cs="Times New Roman" w:eastAsia="Times New Roman" w:hAnsi="Times New Roman"/>
                <w:sz w:val="12"/>
                <w:szCs w:val="12"/>
                <w:color w:val="auto"/>
                <w:w w:val="96"/>
              </w:rPr>
              <w:t>2,627</w:t>
            </w:r>
          </w:p>
        </w:tc>
      </w:tr>
      <w:tr>
        <w:trPr>
          <w:trHeight w:val="153"/>
        </w:trPr>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w:t>
            </w:r>
          </w:p>
        </w:tc>
        <w:tc>
          <w:tcPr>
            <w:tcW w:w="2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left="1260"/>
              <w:spacing w:after="0"/>
              <w:rPr>
                <w:sz w:val="20"/>
                <w:szCs w:val="20"/>
                <w:color w:val="auto"/>
              </w:rPr>
            </w:pPr>
            <w:r>
              <w:rPr>
                <w:rFonts w:ascii="Times New Roman" w:cs="Times New Roman" w:eastAsia="Times New Roman" w:hAnsi="Times New Roman"/>
                <w:sz w:val="12"/>
                <w:szCs w:val="12"/>
                <w:color w:val="auto"/>
              </w:rPr>
              <w:t>(2,789)</w:t>
            </w:r>
          </w:p>
        </w:tc>
      </w:tr>
      <w:tr>
        <w:trPr>
          <w:trHeight w:val="153"/>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Reclassification</w:t>
            </w:r>
          </w:p>
        </w:tc>
        <w:tc>
          <w:tcPr>
            <w:tcW w:w="26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center"/>
              <w:ind w:left="1280"/>
              <w:spacing w:after="0"/>
              <w:rPr>
                <w:sz w:val="20"/>
                <w:szCs w:val="20"/>
                <w:color w:val="auto"/>
              </w:rPr>
            </w:pPr>
            <w:r>
              <w:rPr>
                <w:rFonts w:ascii="Times New Roman" w:cs="Times New Roman" w:eastAsia="Times New Roman" w:hAnsi="Times New Roman"/>
                <w:sz w:val="12"/>
                <w:szCs w:val="12"/>
                <w:color w:val="auto"/>
                <w:w w:val="96"/>
              </w:rPr>
              <w:t>1,509</w:t>
            </w:r>
          </w:p>
        </w:tc>
      </w:tr>
      <w:tr>
        <w:trPr>
          <w:trHeight w:val="142"/>
        </w:trPr>
        <w:tc>
          <w:tcPr>
            <w:tcW w:w="71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June 30, 2025</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(5,219)</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20" w:type="dxa"/>
            <w:vAlign w:val="bottom"/>
            <w:tcBorders>
              <w:bottom w:val="single" w:sz="8" w:color="auto"/>
            </w:tcBorders>
          </w:tcPr>
          <w:p>
            <w:pPr>
              <w:jc w:val="center"/>
              <w:ind w:left="1260"/>
              <w:spacing w:after="0"/>
              <w:rPr>
                <w:sz w:val="20"/>
                <w:szCs w:val="20"/>
                <w:color w:val="auto"/>
              </w:rPr>
            </w:pPr>
            <w:r>
              <w:rPr>
                <w:rFonts w:ascii="Times New Roman" w:cs="Times New Roman" w:eastAsia="Times New Roman" w:hAnsi="Times New Roman"/>
                <w:sz w:val="12"/>
                <w:szCs w:val="12"/>
                <w:b w:val="1"/>
                <w:bCs w:val="1"/>
                <w:color w:val="auto"/>
              </w:rPr>
              <w:t>(8,578)</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elected not to measure expected losses for accrued interest on notes receivable but instead recognize losses for accrued interest within the period losses are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Profit Interest ASU 2024-01</w:t>
      </w:r>
    </w:p>
    <w:p>
      <w:pPr>
        <w:spacing w:after="0" w:line="15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Profit Interest and Similar Awards</w:t>
      </w:r>
      <w:r>
        <w:rPr>
          <w:rFonts w:ascii="Times New Roman" w:cs="Times New Roman" w:eastAsia="Times New Roman" w:hAnsi="Times New Roman"/>
          <w:sz w:val="12"/>
          <w:szCs w:val="12"/>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and interim periods beginning after December 15, 2024. Adoption of this standard did not have any significant impact on results of operations, financial position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Taxes ASU 2023-09</w:t>
      </w:r>
    </w:p>
    <w:p>
      <w:pPr>
        <w:spacing w:after="0" w:line="1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 to Income Tax Disclosures,</w:t>
      </w:r>
      <w:r>
        <w:rPr>
          <w:rFonts w:ascii="Times New Roman" w:cs="Times New Roman" w:eastAsia="Times New Roman" w:hAnsi="Times New Roman"/>
          <w:sz w:val="12"/>
          <w:szCs w:val="12"/>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This guidance is expected to only impact the disclosures with no impact on the results of operations, financial position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Disaggregation of Income Statement Expenses ASU 2024-03</w:t>
      </w:r>
    </w:p>
    <w:p>
      <w:pPr>
        <w:spacing w:after="0" w:line="1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w:t>
      </w:r>
      <w:r>
        <w:rPr>
          <w:rFonts w:ascii="Times New Roman" w:cs="Times New Roman" w:eastAsia="Times New Roman" w:hAnsi="Times New Roman"/>
          <w:sz w:val="12"/>
          <w:szCs w:val="12"/>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beginning after December 15, 2027. Early adoption is permitted. The Company will adopt this guidance for the year ended December 31, 2026. This guidance is expected to only impact the disclosures with no impact on the results of operations, financial position or cash flows.</w:t>
      </w:r>
    </w:p>
    <w:p>
      <w:pPr>
        <w:spacing w:after="0" w:line="200" w:lineRule="exact"/>
        <w:rPr>
          <w:sz w:val="20"/>
          <w:szCs w:val="20"/>
          <w:color w:val="auto"/>
        </w:rPr>
      </w:pPr>
    </w:p>
    <w:p>
      <w:pPr>
        <w:spacing w:after="0" w:line="3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11" w:name="page12"/>
    <w:bookmarkEnd w:id="11"/>
    <w:p>
      <w:pPr>
        <w:ind w:left="8" w:right="10520" w:hanging="8"/>
        <w:spacing w:after="0" w:line="550" w:lineRule="auto"/>
        <w:tabs>
          <w:tab w:leader="none" w:pos="211"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 Payslate</w:t>
      </w:r>
    </w:p>
    <w:p>
      <w:pPr>
        <w:ind w:left="8" w:right="60"/>
        <w:spacing w:after="0" w:line="257" w:lineRule="auto"/>
        <w:rPr>
          <w:sz w:val="20"/>
          <w:szCs w:val="20"/>
          <w:color w:val="auto"/>
        </w:rPr>
      </w:pPr>
      <w:r>
        <w:rPr>
          <w:rFonts w:ascii="Times New Roman" w:cs="Times New Roman" w:eastAsia="Times New Roman" w:hAnsi="Times New Roman"/>
          <w:sz w:val="12"/>
          <w:szCs w:val="12"/>
          <w:color w:val="auto"/>
        </w:rPr>
        <w:t xml:space="preserve">On January 21, 2025, PRTH’s wholly owned subsidiary, Priority Canada Acquisition Company, Inc. (the "acquiring entity"),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will provide synergy opportunities to the Company's Enterprise Payments rent payment business and expand Priority's services in Canada.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 $9.0 million, consisting of $4.6 million in cash consideration funded by the Company’s cash flows, deferred consideration of $4.3 million and contingent consideration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$0.1 million.</w:t>
      </w:r>
    </w:p>
    <w:p>
      <w:pPr>
        <w:spacing w:after="0" w:line="125"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The deferred consideration of $4.3 million was recorded at the fair value on the acquisition date. The deferred consideration will be paid monthly equal to 40% of gross profit under the agreement. Any amount remaining but unpaid will be paid in full by January 21, 2030. The Company will accrete interest expense on the deferred consideration throughout the period, which was $0.2 million for three and six months ended June 30, 2025. As of June 30, 2025, total deferred consideration was $4.5 million, $0.6 million included in accounts payable and accrued expenses and $3.9 million included in noncurrent liabilities on the Unaudited Consolidated Balance Sheets.</w:t>
      </w:r>
    </w:p>
    <w:p>
      <w:pPr>
        <w:spacing w:after="0" w:line="119" w:lineRule="exact"/>
        <w:rPr>
          <w:sz w:val="20"/>
          <w:szCs w:val="20"/>
          <w:color w:val="auto"/>
        </w:rPr>
      </w:pPr>
    </w:p>
    <w:p>
      <w:pPr>
        <w:ind w:left="8" w:right="300"/>
        <w:spacing w:after="0" w:line="279" w:lineRule="auto"/>
        <w:rPr>
          <w:sz w:val="20"/>
          <w:szCs w:val="20"/>
          <w:color w:val="auto"/>
        </w:rPr>
      </w:pPr>
      <w:r>
        <w:rPr>
          <w:rFonts w:ascii="Times New Roman" w:cs="Times New Roman" w:eastAsia="Times New Roman" w:hAnsi="Times New Roman"/>
          <w:sz w:val="12"/>
          <w:szCs w:val="12"/>
          <w:color w:val="auto"/>
        </w:rPr>
        <w:t>Results for the Letus business since the acquisition are included within the Enterprise Payments segment, which includes $0.1 million and $0.4 million in revenue and a net loss of $0.2 million and $0.2 million for the three and six months ended June 30, 2025, respectively.</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Deferred consideration </w:t>
            </w:r>
            <w:r>
              <w:rPr>
                <w:rFonts w:ascii="Times New Roman" w:cs="Times New Roman" w:eastAsia="Times New Roman" w:hAnsi="Times New Roman"/>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(3)</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126"/>
        </w:trPr>
        <w:tc>
          <w:tcPr>
            <w:tcW w:w="9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2"/>
                <w:szCs w:val="12"/>
                <w:b w:val="1"/>
                <w:bCs w:val="1"/>
                <w:color w:val="auto"/>
              </w:rPr>
              <w:t>:</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6,070</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1,555</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r>
      <w:tr>
        <w:trPr>
          <w:trHeight w:val="20"/>
        </w:trPr>
        <w:tc>
          <w:tcPr>
            <w:tcW w:w="9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at closing net of adjustments from estimated net working capital to actual working capital.</w:t>
      </w:r>
    </w:p>
    <w:p>
      <w:pPr>
        <w:spacing w:after="0" w:line="150" w:lineRule="exact"/>
        <w:rPr>
          <w:rFonts w:ascii="Times New Roman" w:cs="Times New Roman" w:eastAsia="Times New Roman" w:hAnsi="Times New Roman"/>
          <w:sz w:val="12"/>
          <w:szCs w:val="12"/>
          <w:color w:val="auto"/>
        </w:rPr>
      </w:pPr>
    </w:p>
    <w:p>
      <w:pPr>
        <w:jc w:val="both"/>
        <w:ind w:left="428" w:right="60" w:hanging="212"/>
        <w:spacing w:after="0" w:line="265" w:lineRule="auto"/>
        <w:tabs>
          <w:tab w:leader="none" w:pos="42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value of the deferred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deferred consideration payments over all iterations of the simulation.</w:t>
      </w:r>
    </w:p>
    <w:p>
      <w:pPr>
        <w:spacing w:after="0" w:line="200" w:lineRule="exact"/>
        <w:rPr>
          <w:sz w:val="20"/>
          <w:szCs w:val="20"/>
          <w:color w:val="auto"/>
        </w:rPr>
      </w:pPr>
    </w:p>
    <w:p>
      <w:pPr>
        <w:spacing w:after="0" w:line="387"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sectPr>
      </w:pPr>
    </w:p>
    <w:bookmarkStart w:id="12" w:name="page13"/>
    <w:bookmarkEnd w:id="12"/>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contingent consideration represents the fair value of the share of net operating loss carryforwards owed to the seller in the future.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deferred tax asset of $3.8 million which has a full valuation allowance.</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 incurred $0.5 million in acquisition related costs, which primarily consisted of consulting, legal and accounting and valuation expenses. These expenses were recorded in selling, general and administrative expenses in the Company's Consolidated Statements of Operations and Comprehensive Loss. Based on the purchase consideration and pre-acquisition operating results, this business combination did not meet the materiality requirements for pro forma disclosures.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80" w:type="dxa"/>
            <w:vAlign w:val="bottom"/>
          </w:tcPr>
          <w:p>
            <w:pPr>
              <w:spacing w:after="0"/>
              <w:rPr>
                <w:sz w:val="24"/>
                <w:szCs w:val="24"/>
                <w:color w:val="auto"/>
              </w:rPr>
            </w:pPr>
          </w:p>
        </w:tc>
      </w:tr>
      <w:tr>
        <w:trPr>
          <w:trHeight w:val="14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180,483</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169,246</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347,562</w:t>
            </w:r>
          </w:p>
        </w:tc>
        <w:tc>
          <w:tcPr>
            <w:tcW w:w="80" w:type="dxa"/>
            <w:vAlign w:val="bottom"/>
          </w:tcPr>
          <w:p>
            <w:pPr>
              <w:spacing w:after="0"/>
              <w:rPr>
                <w:sz w:val="13"/>
                <w:szCs w:val="13"/>
                <w:color w:val="auto"/>
              </w:rPr>
            </w:pP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327,193</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39,273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31,340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76,722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60,484</w:t>
            </w:r>
          </w:p>
        </w:tc>
      </w:tr>
      <w:tr>
        <w:trPr>
          <w:trHeight w:val="153"/>
        </w:trPr>
        <w:tc>
          <w:tcPr>
            <w:tcW w:w="448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33,855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31,921</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6,303</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5,988</w:t>
            </w: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239,812</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219,867</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464,442</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425,586</w:t>
            </w:r>
          </w:p>
        </w:tc>
      </w:tr>
      <w:tr>
        <w:trPr>
          <w:trHeight w:val="20"/>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6"/>
          <w:szCs w:val="16"/>
          <w:color w:val="auto"/>
          <w:vertAlign w:val="superscript"/>
        </w:rPr>
      </w:pPr>
    </w:p>
    <w:p>
      <w:pPr>
        <w:ind w:left="420" w:right="120" w:hanging="212"/>
        <w:spacing w:after="0" w:line="231"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$14.1 million and $26.7 million of interest income on customer funds for the three and six months ended June 30, 2025, respectively, and $13.1 million and $25.0 million for the three and six months ended June 30, 2024, respectively, is included in outsourced services and other services revenue in the table above. Approximately $1.0 million and $2.1 million of interest income on corporate funds for the three and six months ended June 30, 2025 and $0.6 million and $1.2 million for the three and six months ended June 30, 2024, respectively, is included in other income, net on the Company's Unaudited Consolidated Statements of Operations and Comprehensive Income (Loss) and not reflected in the table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2025</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158,825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right"/>
              <w:ind w:right="563"/>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163,230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25,033</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52,658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180,483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39,273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16,853</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3,203</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239,812</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86"/>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14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2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306,307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2,310</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6,303</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314,920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41,257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7,694</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48,951</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102,746</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347,562</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76,722</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33,855</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6,303</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464,442</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4"/>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150,696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155,101</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3,199</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169,246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31,340</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16,256</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3,025</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219,867</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290,496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2,621</w:t>
            </w:r>
          </w:p>
        </w:tc>
        <w:tc>
          <w:tcPr>
            <w:tcW w:w="80" w:type="dxa"/>
            <w:vAlign w:val="bottom"/>
          </w:tcPr>
          <w:p>
            <w:pPr>
              <w:spacing w:after="0"/>
              <w:rPr>
                <w:sz w:val="13"/>
                <w:szCs w:val="13"/>
                <w:color w:val="auto"/>
              </w:rPr>
            </w:pPr>
          </w:p>
        </w:tc>
        <w:tc>
          <w:tcPr>
            <w:tcW w:w="122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5,988</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299,105</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6,254</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23,372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84,660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(1,404)</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327,193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60,484</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31,921</w:t>
            </w: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5,988</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425,586</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revenues were not material for the three and six months ended June 30, 2025 and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 Assets and Contract Liabilities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Contract liabilities were $0.4 million and $0.2 million as of June 30, 2025 and December 31, 2024, respectively. Substantially all of these balances are recognized as revenue within 12 months.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contract assets were $0.3 million for the period ended June 30, 2025 and were not material for the period ended December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Impairment losses recognized on contract assets arising from the Company's contracts with customers were not material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14" w:name="page15"/>
    <w:bookmarkEnd w:id="14"/>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Obligations</w:t>
      </w:r>
    </w:p>
    <w:p>
      <w:pPr>
        <w:spacing w:after="0" w:line="154"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Settlement assets and obligations include, 1) funds due from merchants arising from settlement of funds for sales and credits between card issuers, merchants, 2) card settlement funds due from networks due to timing and its related obligations, and 3) Customer/Subscriber account balances and related obligations resulting from licensed money transmitter services.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merchants, net</w:t>
      </w:r>
    </w:p>
    <w:p>
      <w:pPr>
        <w:spacing w:after="0" w:line="152"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The merchant acquiring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w:t>
      </w:r>
    </w:p>
    <w:p>
      <w:pPr>
        <w:spacing w:after="0" w:line="13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merchants through the funds settlement process or merchant reserves are recognized as settlement assets in the Company's Unaudited Consolidated Balance Sheets, with an offsetting reserve for those amounts the Company estimates it will not be able to recover. Exception items that the Company has deemed uncollectible are recorded as merchant losses, a component of cost of revenue in the Company's Unaudited Consolidated Statements of Operations and Comprehensive Income (Loss). Expenses for merchant losses net of recoveries for the three and six months ended June 30, 2025 were $0.2 million and $1.9 million, respectively. Recoveries for merchant losses, net of expense for the three months ended June 30, 2024, were $1.7 million. Expenses for merchant losses net of recoveries for the six months ended June 30, 2024 were $0.9 million.</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networks and Dues to Customers’ Payees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part of the Payables service offering:</w:t>
      </w:r>
    </w:p>
    <w:p>
      <w:pPr>
        <w:spacing w:after="0" w:line="78" w:lineRule="exact"/>
        <w:rPr>
          <w:sz w:val="20"/>
          <w:szCs w:val="20"/>
          <w:color w:val="auto"/>
        </w:rPr>
      </w:pPr>
    </w:p>
    <w:p>
      <w:pPr>
        <w:jc w:val="both"/>
        <w:ind w:left="428" w:hanging="212"/>
        <w:spacing w:after="0" w:line="265" w:lineRule="auto"/>
        <w:tabs>
          <w:tab w:leader="none" w:pos="42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accepts card payments for its customers and processes disbursements to their vendors (customers’ payees) .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36" w:lineRule="exact"/>
        <w:rPr>
          <w:rFonts w:ascii="Times New Roman" w:cs="Times New Roman" w:eastAsia="Times New Roman" w:hAnsi="Times New Roman"/>
          <w:sz w:val="12"/>
          <w:szCs w:val="12"/>
          <w:color w:val="auto"/>
        </w:rPr>
      </w:pPr>
    </w:p>
    <w:p>
      <w:pPr>
        <w:jc w:val="both"/>
        <w:ind w:left="428" w:hanging="212"/>
        <w:spacing w:after="0" w:line="260" w:lineRule="auto"/>
        <w:tabs>
          <w:tab w:leader="none" w:pos="42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Unaudited Consolidated Balance Sheets. Amounts due to customers’ payees that are held in company-owned bank accounts are included in restricted cash in the Company's Unaudited Consolidated Balance Sheets and related obligations are presented as due to customers’ payees.</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MTL Customer cash and cash equivalents (restricted in nature) and MTL Customer account obligations</w:t>
      </w:r>
    </w:p>
    <w:p>
      <w:pPr>
        <w:spacing w:after="0" w:line="152" w:lineRule="exact"/>
        <w:rPr>
          <w:sz w:val="20"/>
          <w:szCs w:val="20"/>
          <w:color w:val="auto"/>
        </w:rPr>
      </w:pPr>
    </w:p>
    <w:p>
      <w:pPr>
        <w:ind w:left="8" w:right="20"/>
        <w:spacing w:after="0" w:line="256" w:lineRule="auto"/>
        <w:rPr>
          <w:sz w:val="20"/>
          <w:szCs w:val="20"/>
          <w:color w:val="auto"/>
        </w:rPr>
      </w:pPr>
      <w:r>
        <w:rPr>
          <w:rFonts w:ascii="Times New Roman" w:cs="Times New Roman" w:eastAsia="Times New Roman" w:hAnsi="Times New Roman"/>
          <w:sz w:val="12"/>
          <w:szCs w:val="12"/>
          <w:color w:val="auto"/>
        </w:rPr>
        <w:t>The Company provides banking and treasury services to its customers through its money transmission licenses in 46 states and 3 territories of the United States and through agency relationships with banks in the remaining states. These services include the acceptance and disbursement of funds. While waiting for disbursement, these funds are held in bank accounts maintained by the Company on the behalf of its customers. Per the money transmission regulations, the Company is allowed to invest available balances in these accounts in certain permitted investments, and returns on such investments contribute to the Company's net cash inflows.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Unaudited Consolidated Balance Sheets. Further, the nature of these assets is cash and cash equivalent, but they are restricted in nature and therefore these balances are presented as restricted cash on the Company's Unaudited Consolidated Statement of Cash Flows.</w:t>
      </w:r>
    </w:p>
    <w:p>
      <w:pPr>
        <w:spacing w:after="0" w:line="200" w:lineRule="exact"/>
        <w:rPr>
          <w:sz w:val="20"/>
          <w:szCs w:val="20"/>
          <w:color w:val="auto"/>
        </w:rPr>
      </w:pPr>
    </w:p>
    <w:p>
      <w:pPr>
        <w:spacing w:after="0" w:line="24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31" w:right="299"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consolidated settlement assets and obligations were as follows:</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315"/>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Card settlements due from merchants, net</w:t>
            </w:r>
            <w:r>
              <w:rPr>
                <w:rFonts w:ascii="Times New Roman" w:cs="Times New Roman" w:eastAsia="Times New Roman" w:hAnsi="Times New Roman"/>
                <w:sz w:val="15"/>
                <w:szCs w:val="15"/>
                <w:color w:val="auto"/>
                <w:vertAlign w:val="superscript"/>
              </w:rPr>
              <w:t>(1)(2)</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12,307</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settlement assets</w:t>
            </w:r>
          </w:p>
        </w:tc>
        <w:tc>
          <w:tcPr>
            <w:tcW w:w="460" w:type="dxa"/>
            <w:vAlign w:val="bottom"/>
          </w:tcPr>
          <w:p>
            <w:pPr>
              <w:spacing w:after="0"/>
              <w:rPr>
                <w:sz w:val="13"/>
                <w:szCs w:val="13"/>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r>
      <w:tr>
        <w:trPr>
          <w:trHeight w:val="142"/>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Subtotal</w:t>
            </w:r>
          </w:p>
        </w:tc>
        <w:tc>
          <w:tcPr>
            <w:tcW w:w="460" w:type="dxa"/>
            <w:vAlign w:val="bottom"/>
            <w:tcBorders>
              <w:top w:val="single" w:sz="8" w:color="auto"/>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12,813</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16,624</w:t>
            </w:r>
          </w:p>
        </w:tc>
      </w:tr>
      <w:tr>
        <w:trPr>
          <w:trHeight w:val="153"/>
        </w:trPr>
        <w:tc>
          <w:tcPr>
            <w:tcW w:w="6400" w:type="dxa"/>
            <w:vAlign w:val="bottom"/>
            <w:tcBorders>
              <w:bottom w:val="single" w:sz="8" w:color="CCEEFF"/>
            </w:tcBorders>
          </w:tcPr>
          <w:p>
            <w:pPr>
              <w:ind w:left="80"/>
              <w:spacing w:after="0" w:line="153" w:lineRule="exact"/>
              <w:rPr>
                <w:sz w:val="20"/>
                <w:szCs w:val="20"/>
                <w:color w:val="auto"/>
              </w:rPr>
            </w:pPr>
            <w:r>
              <w:rPr>
                <w:rFonts w:ascii="Times New Roman" w:cs="Times New Roman" w:eastAsia="Times New Roman" w:hAnsi="Times New Roman"/>
                <w:sz w:val="12"/>
                <w:szCs w:val="12"/>
                <w:color w:val="auto"/>
              </w:rPr>
              <w:t>MTL Customer cash and cash equivalents (restricted in nature)</w:t>
            </w:r>
            <w:r>
              <w:rPr>
                <w:rFonts w:ascii="Times New Roman" w:cs="Times New Roman" w:eastAsia="Times New Roman" w:hAnsi="Times New Roman"/>
                <w:sz w:val="15"/>
                <w:szCs w:val="15"/>
                <w:color w:val="auto"/>
                <w:vertAlign w:val="superscript"/>
              </w:rPr>
              <w:t>(3)</w:t>
            </w:r>
          </w:p>
        </w:tc>
        <w:tc>
          <w:tcPr>
            <w:tcW w:w="4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1,113,121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1,125,934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940,798</w:t>
            </w:r>
          </w:p>
        </w:tc>
      </w:tr>
      <w:tr>
        <w:trPr>
          <w:trHeight w:val="126"/>
        </w:trPr>
        <w:tc>
          <w:tcPr>
            <w:tcW w:w="6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Obligations:</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MTL Customer account obligations</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1,095,509</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897,497</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60" w:type="dxa"/>
            <w:vAlign w:val="bottom"/>
            <w:tcBorders>
              <w:bottom w:val="single" w:sz="8" w:color="auto"/>
            </w:tcBorders>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26,677</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1,113,121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924,174</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(4)(5)</w:t>
            </w:r>
          </w:p>
        </w:tc>
        <w:tc>
          <w:tcPr>
            <w:tcW w:w="460" w:type="dxa"/>
            <w:vAlign w:val="bottom"/>
            <w:tcBorders>
              <w:bottom w:val="single" w:sz="8" w:color="auto"/>
            </w:tcBorders>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14,145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16,039</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obligations</w:t>
            </w: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1,127,266</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940,213</w:t>
            </w:r>
          </w:p>
        </w:tc>
      </w:tr>
      <w:tr>
        <w:trPr>
          <w:trHeight w:val="20"/>
        </w:trPr>
        <w:tc>
          <w:tcPr>
            <w:tcW w:w="6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8" w:hanging="212"/>
        <w:spacing w:after="0"/>
        <w:tabs>
          <w:tab w:leader="none" w:pos="428"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were $8.6 million and $7.9 million as of June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hanging="212"/>
        <w:spacing w:after="0" w:line="186" w:lineRule="auto"/>
        <w:tabs>
          <w:tab w:leader="none" w:pos="428"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merchant funds held at member banks of $122.9 million and $106.2 million on June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right="60" w:hanging="212"/>
        <w:spacing w:after="0" w:line="213"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funds held under agency arrangement with member banks (in states where the Company does not have a money transmitter license), balances remain under the control of the member banks (therefore not the assets or obligation of the Company). Agency owned accounts held $58.4 million and $22.6 million at June 30, 2025 and December 31, 2024, respectively.</w:t>
      </w:r>
    </w:p>
    <w:p>
      <w:pPr>
        <w:spacing w:after="0" w:line="1" w:lineRule="exact"/>
        <w:rPr>
          <w:rFonts w:ascii="Times New Roman" w:cs="Times New Roman" w:eastAsia="Times New Roman" w:hAnsi="Times New Roman"/>
          <w:sz w:val="16"/>
          <w:szCs w:val="16"/>
          <w:color w:val="auto"/>
          <w:vertAlign w:val="superscript"/>
        </w:rPr>
      </w:pPr>
    </w:p>
    <w:p>
      <w:pPr>
        <w:ind w:left="428" w:right="20" w:hanging="212"/>
        <w:spacing w:after="0" w:line="214"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$11.3 million and $12.3 million as of June 30, 2025 and December 31, 2024, respectively, of card settlements due from networks and the remainder is included in restricted cash on our Unaudited Consolidated Balance Sheets.</w:t>
      </w:r>
    </w:p>
    <w:p>
      <w:pPr>
        <w:ind w:left="428" w:right="140" w:hanging="212"/>
        <w:spacing w:after="0" w:line="214" w:lineRule="auto"/>
        <w:tabs>
          <w:tab w:leader="none" w:pos="420" w:val="left"/>
        </w:tabs>
        <w:numPr>
          <w:ilvl w:val="1"/>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amounts due to customer payees that are held in bank-owned FBO accounts which are not assets of the Company, and the associated obligations are not liabilities of the Company. Therefore, neither is recognized in the Company's Unaudited Consolidated Balance Sheets. Bank-owned FBO accounts held funds of $70.6 million and $64.8 million at June 30, 2025 and December 31, 2024, respectively.</w:t>
      </w:r>
    </w:p>
    <w:p>
      <w:pPr>
        <w:spacing w:after="0" w:line="364" w:lineRule="exact"/>
        <w:rPr>
          <w:rFonts w:ascii="Times New Roman" w:cs="Times New Roman" w:eastAsia="Times New Roman" w:hAnsi="Times New Roman"/>
          <w:sz w:val="16"/>
          <w:szCs w:val="16"/>
          <w:color w:val="auto"/>
          <w:vertAlign w:val="superscript"/>
        </w:rPr>
      </w:pPr>
    </w:p>
    <w:p>
      <w:pPr>
        <w:ind w:left="248" w:hanging="248"/>
        <w:spacing w:after="0"/>
        <w:tabs>
          <w:tab w:leader="none" w:pos="248"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ind w:left="8" w:right="160"/>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$10.0 million and $8.6 million as of June 30, 2025 and December 31, 2024, respectively, which are reported as current portion of notes receivable and notes receivable less current portion on the Company's Unaudited Consolidated Balance Sheets. The notes receivable carried weighted-average interest rates of 16.0% and 16.9% as of June 30, 2025 and December 31, 2024, respectively. The notes are receivables from ISOs, which are made with a term of 1-5 years. Under the terms of the agreements, the Company will hold back residual payments due to the ISOs and apply such residuals against future payment due to the Company. The following table provides a reconciliation for activity within the notes receivable as of June 30, 2025 :</w:t>
      </w:r>
    </w:p>
    <w:p>
      <w:pPr>
        <w:spacing w:after="0" w:line="200" w:lineRule="exact"/>
        <w:rPr>
          <w:sz w:val="20"/>
          <w:szCs w:val="20"/>
          <w:color w:val="auto"/>
        </w:rPr>
      </w:pPr>
    </w:p>
    <w:p>
      <w:pPr>
        <w:spacing w:after="0" w:line="390"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44" w:right="299"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5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0" w:type="dxa"/>
            <w:vAlign w:val="bottom"/>
          </w:tcPr>
          <w:p>
            <w:pPr>
              <w:spacing w:after="0"/>
              <w:rPr>
                <w:sz w:val="1"/>
                <w:szCs w:val="1"/>
                <w:color w:val="auto"/>
              </w:rPr>
            </w:pPr>
          </w:p>
        </w:tc>
      </w:tr>
      <w:tr>
        <w:trPr>
          <w:trHeight w:val="142"/>
        </w:trPr>
        <w:tc>
          <w:tcPr>
            <w:tcW w:w="3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March 31, 2025</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8,704</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payments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0" w:type="dxa"/>
            <w:vAlign w:val="bottom"/>
          </w:tcPr>
          <w:p>
            <w:pPr>
              <w:spacing w:after="0"/>
              <w:rPr>
                <w:sz w:val="1"/>
                <w:szCs w:val="1"/>
                <w:color w:val="auto"/>
              </w:rPr>
            </w:pPr>
          </w:p>
        </w:tc>
      </w:tr>
      <w:tr>
        <w:trPr>
          <w:trHeight w:val="153"/>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5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2,573</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June 30, 2025</w:t>
            </w:r>
          </w:p>
        </w:tc>
        <w:tc>
          <w:tcPr>
            <w:tcW w:w="5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9,987</w:t>
            </w:r>
          </w:p>
        </w:tc>
        <w:tc>
          <w:tcPr>
            <w:tcW w:w="0" w:type="dxa"/>
            <w:vAlign w:val="bottom"/>
          </w:tcPr>
          <w:p>
            <w:pPr>
              <w:spacing w:after="0"/>
              <w:rPr>
                <w:sz w:val="1"/>
                <w:szCs w:val="1"/>
                <w:color w:val="auto"/>
              </w:rPr>
            </w:pPr>
          </w:p>
        </w:tc>
      </w:tr>
      <w:tr>
        <w:trPr>
          <w:trHeight w:val="347"/>
        </w:trPr>
        <w:tc>
          <w:tcPr>
            <w:tcW w:w="52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As of June 30, 2025, the principal payments for the Company's notes receivable are due as follows:</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Twelve months ending June 30,</w:t>
            </w:r>
          </w:p>
        </w:tc>
        <w:tc>
          <w:tcPr>
            <w:tcW w:w="5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3,283</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2029</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9,987</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115,355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104,683</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14,513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11,571</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2,734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2,718</w:t>
            </w:r>
          </w:p>
        </w:tc>
        <w:tc>
          <w:tcPr>
            <w:tcW w:w="0" w:type="dxa"/>
            <w:vAlign w:val="bottom"/>
          </w:tcPr>
          <w:p>
            <w:pPr>
              <w:spacing w:after="0"/>
              <w:rPr>
                <w:sz w:val="1"/>
                <w:szCs w:val="1"/>
                <w:color w:val="auto"/>
              </w:rPr>
            </w:pPr>
          </w:p>
        </w:tc>
      </w:tr>
      <w:tr>
        <w:trPr>
          <w:trHeight w:val="153"/>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5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1,382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133,984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120,337</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(77,992)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(70,258)</w:t>
            </w:r>
          </w:p>
        </w:tc>
        <w:tc>
          <w:tcPr>
            <w:tcW w:w="0" w:type="dxa"/>
            <w:vAlign w:val="bottom"/>
          </w:tcPr>
          <w:p>
            <w:pPr>
              <w:spacing w:after="0"/>
              <w:rPr>
                <w:sz w:val="1"/>
                <w:szCs w:val="1"/>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57,529</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52,477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60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2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4,075</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7,937</w:t>
            </w: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Certain fully depreciated assets were removed from service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segments: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251,118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0" w:type="dxa"/>
            <w:vAlign w:val="bottom"/>
          </w:tcPr>
          <w:p>
            <w:pPr>
              <w:spacing w:after="0"/>
              <w:rPr>
                <w:sz w:val="1"/>
                <w:szCs w:val="1"/>
                <w:color w:val="auto"/>
              </w:rPr>
            </w:pPr>
          </w:p>
        </w:tc>
      </w:tr>
      <w:tr>
        <w:trPr>
          <w:trHeight w:val="142"/>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382,497</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Letus business acquisition</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6,070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June 30, 2025</w:t>
            </w: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382,497</w:t>
            </w:r>
          </w:p>
        </w:tc>
        <w:tc>
          <w:tcPr>
            <w:tcW w:w="0" w:type="dxa"/>
            <w:vAlign w:val="bottom"/>
          </w:tcPr>
          <w:p>
            <w:pPr>
              <w:spacing w:after="0"/>
              <w:rPr>
                <w:sz w:val="1"/>
                <w:szCs w:val="1"/>
                <w:color w:val="auto"/>
              </w:rPr>
            </w:pPr>
          </w:p>
        </w:tc>
      </w:tr>
      <w:tr>
        <w:trPr>
          <w:trHeight w:val="20"/>
        </w:trPr>
        <w:tc>
          <w:tcPr>
            <w:tcW w:w="7840" w:type="dxa"/>
            <w:vAlign w:val="bottom"/>
            <w:gridSpan w:val="7"/>
            <w:vMerge w:val="restart"/>
          </w:tcPr>
          <w:p>
            <w:pPr>
              <w:spacing w:after="0"/>
              <w:rPr>
                <w:sz w:val="20"/>
                <w:szCs w:val="20"/>
                <w:color w:val="auto"/>
              </w:rPr>
            </w:pPr>
            <w:r>
              <w:rPr>
                <w:rFonts w:ascii="Times New Roman" w:cs="Times New Roman" w:eastAsia="Times New Roman" w:hAnsi="Times New Roman"/>
                <w:sz w:val="12"/>
                <w:szCs w:val="12"/>
                <w:color w:val="auto"/>
              </w:rPr>
              <w:t>As of June 30, 2025, the Company is not aware of any triggering events for impairment that have occurred since the last annual impairment test.</w:t>
            </w: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4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Intangible Assets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80" w:type="dxa"/>
            <w:vAlign w:val="bottom"/>
          </w:tcPr>
          <w:p>
            <w:pPr>
              <w:spacing w:after="0"/>
              <w:rPr>
                <w:sz w:val="8"/>
                <w:szCs w:val="8"/>
                <w:color w:val="auto"/>
              </w:rPr>
            </w:pPr>
          </w:p>
        </w:tc>
        <w:tc>
          <w:tcPr>
            <w:tcW w:w="1760" w:type="dxa"/>
            <w:vAlign w:val="bottom"/>
            <w:gridSpan w:val="3"/>
            <w:vMerge w:val="restart"/>
          </w:tcPr>
          <w:p>
            <w:pPr>
              <w:jc w:val="right"/>
              <w:ind w:right="325"/>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(55,932)</w:t>
            </w:r>
          </w:p>
        </w:tc>
        <w:tc>
          <w:tcPr>
            <w:tcW w:w="140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126,407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143,862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(111,247)</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32,615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110,658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(96,522)</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14,136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(67,036)</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16,314</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(30,007)</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29,377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(3,525)</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592,694</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(367,659)</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ind w:right="1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225,035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6"/>
          <w:szCs w:val="16"/>
          <w:color w:val="auto"/>
          <w:vertAlign w:val="superscript"/>
        </w:rPr>
        <w:t>(1)</w:t>
      </w:r>
      <w:r>
        <w:rPr>
          <w:sz w:val="20"/>
          <w:szCs w:val="20"/>
          <w:color w:val="auto"/>
        </w:rPr>
        <w:tab/>
      </w:r>
      <w:r>
        <w:rPr>
          <w:rFonts w:ascii="Times New Roman" w:cs="Times New Roman" w:eastAsia="Times New Roman" w:hAnsi="Times New Roman"/>
          <w:sz w:val="12"/>
          <w:szCs w:val="12"/>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31"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132,838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143,862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39,096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31,166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589,801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(348,927)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240,874</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120" w:type="dxa"/>
            <w:vAlign w:val="bottom"/>
            <w:tcBorders>
              <w:bottom w:val="single" w:sz="8" w:color="auto"/>
            </w:tcBorders>
          </w:tcPr>
          <w:p>
            <w:pPr>
              <w:spacing w:after="0"/>
              <w:rPr>
                <w:sz w:val="13"/>
                <w:szCs w:val="13"/>
                <w:color w:val="auto"/>
              </w:rPr>
            </w:pPr>
          </w:p>
        </w:tc>
      </w:tr>
      <w:tr>
        <w:trPr>
          <w:trHeight w:val="142"/>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33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23,899</w:t>
            </w:r>
          </w:p>
        </w:tc>
      </w:tr>
    </w:tbl>
    <w:p>
      <w:pPr>
        <w:spacing w:after="0" w:line="187" w:lineRule="exact"/>
        <w:rPr>
          <w:sz w:val="20"/>
          <w:szCs w:val="20"/>
          <w:color w:val="auto"/>
        </w:rPr>
      </w:pPr>
    </w:p>
    <w:p>
      <w:pPr>
        <w:ind w:left="420" w:right="640" w:hanging="212"/>
        <w:spacing w:after="0" w:line="222" w:lineRule="auto"/>
        <w:tabs>
          <w:tab w:leader="none" w:pos="412"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$0.6 million and $1.2 million for the three and six months ended June 30, 2025, respectively, and $0.4 million and $0.8 million for the three and six months ended June 30, 2024, respectively, related to the amortization of certain contract acquisition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As of June 30, 2025, there were no impairment indicators present.</w:t>
            </w: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300" w:type="dxa"/>
            <w:vAlign w:val="bottom"/>
          </w:tcPr>
          <w:p>
            <w:pPr>
              <w:spacing w:after="0"/>
              <w:rPr>
                <w:sz w:val="24"/>
                <w:szCs w:val="2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3"/>
        </w:trPr>
        <w:tc>
          <w:tcPr>
            <w:tcW w:w="7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32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May 16, 2031, interest rate of 9.08% and 9.11% at June 30, 2025 and December 31, 2024, respectively</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935,537</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0" w:type="dxa"/>
            <w:vAlign w:val="bottom"/>
          </w:tcPr>
          <w:p>
            <w:pPr>
              <w:spacing w:after="0"/>
              <w:rPr>
                <w:sz w:val="1"/>
                <w:szCs w:val="1"/>
                <w:color w:val="auto"/>
              </w:rPr>
            </w:pPr>
          </w:p>
        </w:tc>
      </w:tr>
      <w:tr>
        <w:trPr>
          <w:trHeight w:val="124"/>
        </w:trPr>
        <w:tc>
          <w:tcPr>
            <w:tcW w:w="7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Revolving credit facility - $70.0 million line matures May 16, 2029, interest rate of 8.58% and 8.61% at June 30, 2025 and December 31, 2024,</w:t>
            </w:r>
          </w:p>
        </w:tc>
        <w:tc>
          <w:tcPr>
            <w:tcW w:w="320" w:type="dxa"/>
            <w:vAlign w:val="bottom"/>
            <w:shd w:val="clear" w:color="auto" w:fill="CCEEFF"/>
          </w:tcPr>
          <w:p>
            <w:pPr>
              <w:spacing w:after="0"/>
              <w:rPr>
                <w:sz w:val="10"/>
                <w:szCs w:val="10"/>
                <w:color w:val="auto"/>
              </w:rPr>
            </w:pPr>
          </w:p>
        </w:tc>
        <w:tc>
          <w:tcPr>
            <w:tcW w:w="1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2"/>
        </w:trPr>
        <w:tc>
          <w:tcPr>
            <w:tcW w:w="7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respectively</w:t>
            </w:r>
          </w:p>
        </w:tc>
        <w:tc>
          <w:tcPr>
            <w:tcW w:w="320" w:type="dxa"/>
            <w:vAlign w:val="bottom"/>
            <w:shd w:val="clear" w:color="auto" w:fill="CCEEFF"/>
          </w:tcPr>
          <w:p>
            <w:pPr>
              <w:spacing w:after="0"/>
              <w:rPr>
                <w:sz w:val="7"/>
                <w:szCs w:val="7"/>
                <w:color w:val="auto"/>
              </w:rPr>
            </w:pPr>
          </w:p>
        </w:tc>
        <w:tc>
          <w:tcPr>
            <w:tcW w:w="158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60" w:type="dxa"/>
            <w:vAlign w:val="bottom"/>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3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935,537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945,537</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(4,254)</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(14,266)</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(15,146)</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917,017</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920,888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220" w:type="dxa"/>
            <w:vAlign w:val="bottom"/>
            <w:tcBorders>
              <w:bottom w:val="single" w:sz="8" w:color="auto"/>
            </w:tcBorders>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36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00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23,054</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46,230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42,590</w:t>
            </w:r>
          </w:p>
        </w:tc>
      </w:tr>
    </w:tbl>
    <w:p>
      <w:pPr>
        <w:spacing w:after="0" w:line="196" w:lineRule="exact"/>
        <w:rPr>
          <w:sz w:val="20"/>
          <w:szCs w:val="20"/>
          <w:color w:val="auto"/>
        </w:rPr>
      </w:pPr>
    </w:p>
    <w:p>
      <w:pPr>
        <w:ind w:left="428" w:right="80" w:hanging="212"/>
        <w:spacing w:after="0" w:line="222" w:lineRule="auto"/>
        <w:tabs>
          <w:tab w:leader="none" w:pos="42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$1.0 million and $2.0 million related to the accretion of deferred consideration from acquisitions for the three and six months ended June 30, 2025, respectively, and $1.2 million and $2.2 million for the three and six months ended June 30, 2024, respectively.</w:t>
      </w:r>
    </w:p>
    <w:p>
      <w:pPr>
        <w:spacing w:after="0" w:line="134" w:lineRule="exact"/>
        <w:rPr>
          <w:rFonts w:ascii="Times New Roman" w:cs="Times New Roman" w:eastAsia="Times New Roman" w:hAnsi="Times New Roman"/>
          <w:sz w:val="16"/>
          <w:szCs w:val="16"/>
          <w:color w:val="auto"/>
          <w:vertAlign w:val="superscript"/>
        </w:rPr>
      </w:pPr>
    </w:p>
    <w:p>
      <w:pPr>
        <w:ind w:left="428" w:right="200" w:hanging="212"/>
        <w:spacing w:after="0" w:line="222" w:lineRule="auto"/>
        <w:tabs>
          <w:tab w:leader="none" w:pos="42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$0.5 million and $0.9 million for the three and six months ended June 30, 2025, respectively, and $0.8 million and $1.8 million for the three and six months ended June 30, 2024, respectively.</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Debt Covenants</w:t>
      </w:r>
    </w:p>
    <w:p>
      <w:pPr>
        <w:spacing w:after="0" w:line="152" w:lineRule="exact"/>
        <w:rPr>
          <w:sz w:val="20"/>
          <w:szCs w:val="20"/>
          <w:color w:val="auto"/>
        </w:rPr>
      </w:pPr>
    </w:p>
    <w:p>
      <w:pPr>
        <w:ind w:left="8" w:right="16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jc w:val="both"/>
        <w:ind w:left="8" w:right="34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June 30, 2025, the Company was in compliance with the covenants in the 2024 Credit Agreement.</w:t>
      </w:r>
    </w:p>
    <w:p>
      <w:pPr>
        <w:spacing w:after="0" w:line="115"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and six months ended June 30, 2025 was 28.9% and 25.8%, respectively, compared to a consolidated effective income tax rate of 71.7% and 45.2% for the three and six months ended June 30, 2024, respectively. The effective rates differed from the statutory rate of 21.0% primarily due to an increase in the valuation allowance against certain business interest carryover deferred tax assets, and certain forecasted nondeductible expenses.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ind w:left="8" w:right="40"/>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June 30, 2025, the Company continues to record a full valuation allowance against non-deductible interest expense, and net deferred tax assets acquired as part of the Payslate acquisition. The Company will continue to evaluate the realizability of the net deferred tax asset on a quarterly basis and, as a result, the valuation allowance may change in future periods.</w:t>
      </w:r>
    </w:p>
    <w:p>
      <w:pPr>
        <w:spacing w:after="0" w:line="111"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On July 4, 2025, the U.S. government enacted legislation known as the One Big Beautiful Bill Act ("OBBBA") into law. The OBBBA, among other provisions, extends or reinstates certain provisions of the 2017 Tax Cuts and Jobs Act ("TCJA"), including but not limited to, 100% bonus depreciation on eligible property, immediate expensing of domestic research and</w:t>
      </w:r>
    </w:p>
    <w:p>
      <w:pPr>
        <w:spacing w:after="0" w:line="200" w:lineRule="exact"/>
        <w:rPr>
          <w:sz w:val="20"/>
          <w:szCs w:val="20"/>
          <w:color w:val="auto"/>
        </w:rPr>
      </w:pPr>
    </w:p>
    <w:p>
      <w:pPr>
        <w:spacing w:after="0" w:line="37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2"/>
          <w:szCs w:val="12"/>
          <w:color w:val="auto"/>
        </w:rPr>
        <w:t>development costs, and the restoration of an EBITDA based interest expense limitation calculation. The Company is in the process of evaluating the provisions of the OBBBA, and their impact on the Company's financial statements.</w:t>
      </w:r>
    </w:p>
    <w:p>
      <w:pPr>
        <w:spacing w:after="0" w:line="146" w:lineRule="exact"/>
        <w:rPr>
          <w:sz w:val="20"/>
          <w:szCs w:val="20"/>
          <w:color w:val="auto"/>
        </w:rPr>
      </w:pPr>
    </w:p>
    <w:p>
      <w:pPr>
        <w:ind w:left="308" w:hanging="308"/>
        <w:spacing w:after="0"/>
        <w:tabs>
          <w:tab w:leader="none" w:pos="308"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June 30, 2025 and December 31, 2024,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ind w:left="8" w:right="80"/>
        <w:spacing w:after="0" w:line="260" w:lineRule="auto"/>
        <w:rPr>
          <w:sz w:val="20"/>
          <w:szCs w:val="20"/>
          <w:color w:val="auto"/>
        </w:rPr>
      </w:pPr>
      <w:r>
        <w:rPr>
          <w:rFonts w:ascii="Times New Roman" w:cs="Times New Roman" w:eastAsia="Times New Roman" w:hAnsi="Times New Roman"/>
          <w:sz w:val="12"/>
          <w:szCs w:val="12"/>
          <w:color w:val="auto"/>
        </w:rPr>
        <w:t>In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On May 5, 2025, the Company's Board of Directors amended the program to increase the authorization to 5,000,000 shares of it's outstanding common stock for a total of $40.0 million. As of June 30, 2025, the Company has purchased 1,309,374 shares for $5.8 million under this plan. There have been no shares repurchased under this plan since December 2022.</w:t>
      </w:r>
    </w:p>
    <w:p>
      <w:pPr>
        <w:spacing w:after="0" w:line="118"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Stock-based Compensation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Stock-based compensation expense, which is included in salary and employee benefits within the Unaudited Consolidated Statements of Operations and Comprehensive Income (Loss), was as follows:</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80" w:type="dxa"/>
            <w:vAlign w:val="bottom"/>
          </w:tcPr>
          <w:p>
            <w:pPr>
              <w:spacing w:after="0"/>
              <w:rPr>
                <w:sz w:val="12"/>
                <w:szCs w:val="12"/>
                <w:color w:val="auto"/>
              </w:rPr>
            </w:pP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r>
      <w:tr>
        <w:trPr>
          <w:trHeight w:val="153"/>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53"/>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Liability-classified compensation expense</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3,206</w:t>
            </w: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4,792</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3,462</w:t>
            </w: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Income tax benefit for stock-based compensation was $0.1 million and $0.8 million respectively, for the three and six months ended June 30, 2025 and was immaterial for the three and six months ended June 30, 2024. No stock-based compensation has been capitalized in any period presented. Awards granted during the three and six months ended months ended June 30, 2025 and June 30, 2024, were not material.</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left="8" w:right="10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June 30, 2025, the Company had 3,033,500 shares available for issuance under the 2018 Plan.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2021 Employee Stock Purchase Plan</w:t>
      </w:r>
    </w:p>
    <w:p>
      <w:pPr>
        <w:spacing w:after="0" w:line="154" w:lineRule="exact"/>
        <w:rPr>
          <w:sz w:val="20"/>
          <w:szCs w:val="20"/>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The 2021 Employee Stock Purchase Plan ("ESPP")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ESPP.</w:t>
      </w:r>
    </w:p>
    <w:p>
      <w:pPr>
        <w:spacing w:after="0" w:line="200" w:lineRule="exact"/>
        <w:rPr>
          <w:sz w:val="20"/>
          <w:szCs w:val="20"/>
          <w:color w:val="auto"/>
        </w:rPr>
      </w:pPr>
    </w:p>
    <w:p>
      <w:pPr>
        <w:spacing w:after="0" w:line="37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21" w:name="page22"/>
    <w:bookmarkEnd w:id="21"/>
    <w:p>
      <w:pPr>
        <w:jc w:val="both"/>
        <w:ind w:right="320"/>
        <w:spacing w:after="0" w:line="265" w:lineRule="auto"/>
        <w:rPr>
          <w:sz w:val="20"/>
          <w:szCs w:val="20"/>
          <w:color w:val="auto"/>
        </w:rPr>
      </w:pPr>
      <w:r>
        <w:rPr>
          <w:rFonts w:ascii="Times New Roman" w:cs="Times New Roman" w:eastAsia="Times New Roman" w:hAnsi="Times New Roman"/>
          <w:sz w:val="12"/>
          <w:szCs w:val="12"/>
          <w:color w:val="auto"/>
        </w:rPr>
        <w:t>Under the ESPP,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ESPP provides eligible employees the opportunity to purchase shares of the Company's Common stock at 95% of the lesser of the fair value on the first and last trading day of each offering period. The ESPP was amended by shareholder approval on June 13, 2025, to increase the number of shares available by 200,000.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2025, the Company had 219,587 shares available for issuance under the 2021 Stock Purchase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Company issued non-voting incentive units to certain employees and partners in seven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1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February 2019, the Company's CEO contributed assets of certain businesses to PHOT (a subsidiary of the Company). In consideration, PHOT issued redeemable preferred equity interest (preferred units) to the CEO and COO of the Company. These preferred units were eligible to receive up to $4.5 million in profits earned by PHOT plus an annual preferred yield of 6% on undistributed amounts.</w:t>
      </w:r>
    </w:p>
    <w:p>
      <w:pPr>
        <w:spacing w:after="0" w:line="11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On May 30, 2024, the Company approved the redemption of certain preferred units of PHOT either in cash or in exchange for shares of its common stock. The redemption value of these preferred units was $5.9 million and exchange ratio was established based on the 30 days volume weighted average close price adjusted for market illiquidity. During 2024, preferred units held by the CEO were redeemed for $2.1 million in cash and those held by the Chief Operating Officer were redeemed by issuance of 404,013 shares of the Company's common stock valued at $1.5 million. There was no subsequent activity for the three and six months ended June 30, 2025 and June 30, 2024.</w:t>
      </w:r>
    </w:p>
    <w:p>
      <w:pPr>
        <w:spacing w:after="0" w:line="1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$14.0 million in 2025 and $22.9 million in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Commitments</w:t>
      </w:r>
    </w:p>
    <w:p>
      <w:pPr>
        <w:spacing w:after="0" w:line="152"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As of June 30, 2025 and December 31, 2024, the Company had a capital contribution commitment $5.6 million and $12.6 million respectively, to fund operations of certain subsidiaries. The Company is obligated to make the contributions within 10 business days of receiving notice for such contribution from the subsidiary.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2025, the Company committed to making a minimum investment of $1.5 million in an unconsolidated entity. The Company is expected to make the investment during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7"/>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auto"/>
              </w:rPr>
              <w:t>Deferred Consideration</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88"/>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deferred consideration liabilities related to completed acquisitions:</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15"/>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24"/>
                <w:szCs w:val="24"/>
                <w:color w:val="auto"/>
              </w:rPr>
            </w:pPr>
          </w:p>
        </w:tc>
        <w:tc>
          <w:tcPr>
            <w:tcW w:w="21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Deferred Consideration Liabilities</w:t>
            </w:r>
          </w:p>
        </w:tc>
      </w:tr>
      <w:tr>
        <w:trPr>
          <w:trHeight w:val="142"/>
        </w:trPr>
        <w:tc>
          <w:tcPr>
            <w:tcW w:w="884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10,685</w:t>
            </w:r>
          </w:p>
        </w:tc>
      </w:tr>
      <w:tr>
        <w:trPr>
          <w:trHeight w:val="126"/>
        </w:trPr>
        <w:tc>
          <w:tcPr>
            <w:tcW w:w="8920" w:type="dxa"/>
            <w:vAlign w:val="bottom"/>
            <w:gridSpan w:val="6"/>
          </w:tcPr>
          <w:p>
            <w:pPr>
              <w:spacing w:after="0" w:line="126" w:lineRule="exact"/>
              <w:rPr>
                <w:sz w:val="20"/>
                <w:szCs w:val="20"/>
                <w:color w:val="auto"/>
              </w:rPr>
            </w:pPr>
            <w:r>
              <w:rPr>
                <w:rFonts w:ascii="Times New Roman" w:cs="Times New Roman" w:eastAsia="Times New Roman" w:hAnsi="Times New Roman"/>
                <w:sz w:val="12"/>
                <w:szCs w:val="12"/>
                <w:color w:val="auto"/>
              </w:rPr>
              <w:t xml:space="preserve">Addition of deferred consideration (Related to acquisition, see </w:t>
            </w:r>
            <w:r>
              <w:rPr>
                <w:rFonts w:ascii="Times New Roman" w:cs="Times New Roman" w:eastAsia="Times New Roman" w:hAnsi="Times New Roman"/>
                <w:sz w:val="12"/>
                <w:szCs w:val="12"/>
                <w:color w:val="0000FF"/>
              </w:rPr>
              <w:t>Note 2</w:t>
            </w: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21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4,282</w:t>
            </w:r>
          </w:p>
        </w:tc>
      </w:tr>
      <w:tr>
        <w:trPr>
          <w:trHeight w:val="27"/>
        </w:trPr>
        <w:tc>
          <w:tcPr>
            <w:tcW w:w="30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33"/>
        </w:trPr>
        <w:tc>
          <w:tcPr>
            <w:tcW w:w="8920" w:type="dxa"/>
            <w:vAlign w:val="bottom"/>
            <w:gridSpan w:val="6"/>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 xml:space="preserve">Addition of contingent consideration (Related to acquisition, see </w:t>
            </w:r>
            <w:r>
              <w:rPr>
                <w:rFonts w:ascii="Times New Roman" w:cs="Times New Roman" w:eastAsia="Times New Roman" w:hAnsi="Times New Roman"/>
                <w:sz w:val="12"/>
                <w:szCs w:val="12"/>
                <w:color w:val="0000FF"/>
              </w:rPr>
              <w:t>Note 2</w:t>
            </w: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1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104</w:t>
            </w:r>
          </w:p>
        </w:tc>
      </w:tr>
      <w:tr>
        <w:trPr>
          <w:trHeight w:val="153"/>
        </w:trPr>
        <w:tc>
          <w:tcPr>
            <w:tcW w:w="314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Accretion of deferred consideration</w:t>
            </w:r>
          </w:p>
        </w:tc>
        <w:tc>
          <w:tcPr>
            <w:tcW w:w="320" w:type="dxa"/>
            <w:vAlign w:val="bottom"/>
            <w:tcBorders>
              <w:top w:val="single" w:sz="8" w:color="0000FF"/>
            </w:tcBorders>
            <w:gridSpan w:val="2"/>
          </w:tcPr>
          <w:p>
            <w:pPr>
              <w:spacing w:after="0"/>
              <w:rPr>
                <w:sz w:val="13"/>
                <w:szCs w:val="13"/>
                <w:color w:val="auto"/>
              </w:rPr>
            </w:pPr>
          </w:p>
        </w:tc>
        <w:tc>
          <w:tcPr>
            <w:tcW w:w="5460" w:type="dxa"/>
            <w:vAlign w:val="bottom"/>
            <w:tcBorders>
              <w:top w:val="single" w:sz="8" w:color="CCEEFF"/>
            </w:tcBorders>
            <w:gridSpan w:val="2"/>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2,039</w:t>
            </w:r>
          </w:p>
        </w:tc>
      </w:tr>
      <w:tr>
        <w:trPr>
          <w:trHeight w:val="153"/>
        </w:trPr>
        <w:tc>
          <w:tcPr>
            <w:tcW w:w="884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deferred consideration</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w:t>
            </w:r>
          </w:p>
        </w:tc>
      </w:tr>
      <w:tr>
        <w:trPr>
          <w:trHeight w:val="142"/>
        </w:trPr>
        <w:tc>
          <w:tcPr>
            <w:tcW w:w="89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16,358</w:t>
            </w: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2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 Privacy Act (the “Act”). The Complaint seeks to certify a class of affected businesses and an award of $5,000 per violation of the Act. As of June 30, 2025, the court granted final approval of the settlement agreement wherein the defendants agree to pay $19.5 million to settle this litigation on a class basis. There was no contribution from the Company towards this settlement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While providing payment processing services, Priority manages funds that are held on behalf of its customers. Because Priority is not a member bank, these customer funds are held in bank accounts maintained with member banks pursuant to sponsorship agreements which require, among other things, that the Company abide by the laws and regulations of the card associations and MTL regulators.</w:t>
      </w:r>
    </w:p>
    <w:p>
      <w:pPr>
        <w:spacing w:after="0" w:line="1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As of June 30, 2025, the Company's customer account balances of $1,095.5 million are maintained in accounts with certain FIs which are eligible to pass-through insurance subject to FDIC rules and regulations (refer to </w:t>
      </w:r>
      <w:r>
        <w:rPr>
          <w:rFonts w:ascii="Times New Roman" w:cs="Times New Roman" w:eastAsia="Times New Roman" w:hAnsi="Times New Roman"/>
          <w:sz w:val="12"/>
          <w:szCs w:val="12"/>
          <w:u w:val="single" w:color="auto"/>
          <w:color w:val="0000FF"/>
        </w:rPr>
        <w:t>Note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Settlement Assets and Obligations</w:t>
      </w:r>
      <w:r>
        <w:rPr>
          <w:rFonts w:ascii="Times New Roman" w:cs="Times New Roman" w:eastAsia="Times New Roman" w:hAnsi="Times New Roman"/>
          <w:sz w:val="12"/>
          <w:szCs w:val="12"/>
          <w:color w:val="000000"/>
        </w:rPr>
        <w:t>). A majority of the Company's cash, restricted cash and off-balance sheet settlement funds are held in certain FIs, substantially all of which is in excess of FDIC limits. The Company does not believe</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3" w:name="page24"/>
    <w:bookmarkEnd w:id="23"/>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$10.0 million and $8.6 million at June 30, 2025 and December 31, 2024, respectively and is within the Level 3 of the fair value hierarchy.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was estimated to be $936.7 million and $944.4 million at June 30, 2025 and December 31, 2024, respectively, and was estimated using binding and non-binding quoted prices in an active secondary market, which considers the credit risk and market related conditions, and is within Level 2 of the fair value hierarchy.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and six months ended June 30, 2025, there were no transfers into, out of, or between levels of the fair value hierarchy.</w:t>
      </w:r>
    </w:p>
    <w:p>
      <w:pPr>
        <w:spacing w:after="0" w:line="200" w:lineRule="exact"/>
        <w:rPr>
          <w:sz w:val="20"/>
          <w:szCs w:val="20"/>
          <w:color w:val="auto"/>
        </w:rPr>
      </w:pPr>
    </w:p>
    <w:p>
      <w:pPr>
        <w:spacing w:after="0" w:line="25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three reportable segments included SMB Payments, B2B Payments and Enterprise Payments:</w:t>
      </w:r>
    </w:p>
    <w:p>
      <w:pPr>
        <w:spacing w:after="0" w:line="148" w:lineRule="exact"/>
        <w:rPr>
          <w:sz w:val="20"/>
          <w:szCs w:val="20"/>
          <w:color w:val="auto"/>
        </w:rPr>
      </w:pPr>
    </w:p>
    <w:p>
      <w:pPr>
        <w:ind w:left="420" w:right="460" w:hanging="212"/>
        <w:spacing w:after="0" w:line="283" w:lineRule="auto"/>
        <w:tabs>
          <w:tab w:leader="none" w:pos="417" w:val="left"/>
        </w:tabs>
        <w:numPr>
          <w:ilvl w:val="0"/>
          <w:numId w:val="17"/>
        </w:numPr>
        <w:rPr>
          <w:rFonts w:ascii="Times New Roman" w:cs="Times New Roman" w:eastAsia="Times New Roman" w:hAnsi="Times New Roman"/>
          <w:sz w:val="12"/>
          <w:szCs w:val="12"/>
          <w:i w:val="1"/>
          <w:iCs w:val="1"/>
          <w:color w:val="212529"/>
          <w:strike w:val="1"/>
        </w:rPr>
      </w:pPr>
      <w:r>
        <w:rPr>
          <w:rFonts w:ascii="Times New Roman" w:cs="Times New Roman" w:eastAsia="Times New Roman" w:hAnsi="Times New Roman"/>
          <w:sz w:val="12"/>
          <w:szCs w:val="12"/>
          <w:i w:val="1"/>
          <w:iCs w:val="1"/>
          <w:color w:val="auto"/>
        </w:rPr>
        <w:t>SMB Payments</w:t>
      </w:r>
      <w:r>
        <w:rPr>
          <w:rFonts w:ascii="Times New Roman" w:cs="Times New Roman" w:eastAsia="Times New Roman" w:hAnsi="Times New Roman"/>
          <w:sz w:val="12"/>
          <w:szCs w:val="12"/>
          <w:color w:val="auto"/>
        </w:rPr>
        <w:t>: 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106" w:lineRule="exact"/>
        <w:rPr>
          <w:rFonts w:ascii="Times New Roman" w:cs="Times New Roman" w:eastAsia="Times New Roman" w:hAnsi="Times New Roman"/>
          <w:sz w:val="12"/>
          <w:szCs w:val="12"/>
          <w:i w:val="1"/>
          <w:iCs w:val="1"/>
          <w:color w:val="212529"/>
          <w:strike w:val="1"/>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B2B Payments</w:t>
      </w:r>
      <w:r>
        <w:rPr>
          <w:rFonts w:ascii="Times New Roman" w:cs="Times New Roman" w:eastAsia="Times New Roman" w:hAnsi="Times New Roman"/>
          <w:sz w:val="12"/>
          <w:szCs w:val="12"/>
          <w:color w:val="auto"/>
        </w:rPr>
        <w:t>: Provides market-leading AP automation solutions to corporations, software partners and industry leading FIs in addition to improving cash flows by providing instant access to working capital.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Enterprise Payments</w:t>
      </w:r>
      <w:r>
        <w:rPr>
          <w:rFonts w:ascii="Times New Roman" w:cs="Times New Roman" w:eastAsia="Times New Roman" w:hAnsi="Times New Roman"/>
          <w:sz w:val="12"/>
          <w:szCs w:val="12"/>
          <w:color w:val="auto"/>
        </w:rPr>
        <w:t>: Provides embedded finance and BaaS solutions to customers to modernize legacy platforms and accelerate software partners' strategies to monetize payments.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includes costs of corporate functions and shared services not allocated to our reportable segments.</w:t>
      </w:r>
    </w:p>
    <w:p>
      <w:pPr>
        <w:spacing w:after="0" w:line="15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The Company's chief operating decision makers ("CODM") are our CEO and CFO. The CODM uses adjusted earnings before interest expense, income tax and depreciation and amortization expenses ("Adjusted EBITDA") as the measure of segment profit or loss to allocate resources. 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level assets information is not provided or subject to review by the CODM and therefore not provided.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60" w:type="dxa"/>
            <w:vAlign w:val="bottom"/>
          </w:tcPr>
          <w:p>
            <w:pPr>
              <w:spacing w:after="0"/>
              <w:rPr>
                <w:sz w:val="9"/>
                <w:szCs w:val="9"/>
                <w:color w:val="auto"/>
              </w:rPr>
            </w:pPr>
          </w:p>
        </w:tc>
        <w:tc>
          <w:tcPr>
            <w:tcW w:w="1220" w:type="dxa"/>
            <w:vAlign w:val="bottom"/>
            <w:gridSpan w:val="2"/>
          </w:tcPr>
          <w:p>
            <w:pPr>
              <w:jc w:val="center"/>
              <w:ind w:right="3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0" w:type="dxa"/>
            <w:vAlign w:val="bottom"/>
          </w:tcPr>
          <w:p>
            <w:pPr>
              <w:spacing w:after="0"/>
              <w:rPr>
                <w:sz w:val="9"/>
                <w:szCs w:val="9"/>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20" w:type="dxa"/>
            <w:vAlign w:val="bottom"/>
          </w:tcPr>
          <w:p>
            <w:pPr>
              <w:spacing w:after="0"/>
              <w:rPr>
                <w:sz w:val="9"/>
                <w:szCs w:val="9"/>
                <w:color w:val="auto"/>
              </w:rPr>
            </w:pPr>
          </w:p>
        </w:tc>
        <w:tc>
          <w:tcPr>
            <w:tcW w:w="10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162,788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24,668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52,356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239,812</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0" w:type="dxa"/>
            <w:vAlign w:val="bottom"/>
          </w:tcPr>
          <w:p>
            <w:pPr>
              <w:spacing w:after="0"/>
              <w:rPr>
                <w:sz w:val="1"/>
                <w:szCs w:val="1"/>
                <w:color w:val="auto"/>
              </w:rPr>
            </w:pPr>
          </w:p>
        </w:tc>
      </w:tr>
      <w:tr>
        <w:trPr>
          <w:trHeight w:val="142"/>
        </w:trPr>
        <w:tc>
          <w:tcPr>
            <w:tcW w:w="53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163,230</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25,033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52,658</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240,921</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0" w:type="dxa"/>
            <w:vAlign w:val="bottom"/>
          </w:tcPr>
          <w:p>
            <w:pPr>
              <w:spacing w:after="0"/>
              <w:rPr>
                <w:sz w:val="1"/>
                <w:szCs w:val="1"/>
                <w:color w:val="auto"/>
              </w:rPr>
            </w:pPr>
          </w:p>
        </w:tc>
      </w:tr>
      <w:tr>
        <w:trPr>
          <w:trHeight w:val="142"/>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239,812</w:t>
            </w:r>
          </w:p>
        </w:tc>
        <w:tc>
          <w:tcPr>
            <w:tcW w:w="0" w:type="dxa"/>
            <w:vAlign w:val="bottom"/>
          </w:tcPr>
          <w:p>
            <w:pPr>
              <w:spacing w:after="0"/>
              <w:rPr>
                <w:sz w:val="1"/>
                <w:szCs w:val="1"/>
                <w:color w:val="auto"/>
              </w:rPr>
            </w:pPr>
          </w:p>
        </w:tc>
      </w:tr>
      <w:tr>
        <w:trPr>
          <w:trHeight w:val="133"/>
        </w:trPr>
        <w:tc>
          <w:tcPr>
            <w:tcW w:w="5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(127,814)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(17,751)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(2,939)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Less: Other operating expenses </w:t>
            </w:r>
            <w:r>
              <w:rPr>
                <w:rFonts w:ascii="Times New Roman" w:cs="Times New Roman" w:eastAsia="Times New Roman" w:hAnsi="Times New Roman"/>
                <w:sz w:val="15"/>
                <w:szCs w:val="15"/>
                <w:color w:val="auto"/>
                <w:vertAlign w:val="superscript"/>
              </w:rPr>
              <w:t>1,2</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27,749</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45,558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77,077</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66610"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66610"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66610"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70"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(24,541)</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3,518</w:t>
            </w:r>
          </w:p>
        </w:tc>
      </w:tr>
      <w:tr>
        <w:trPr>
          <w:trHeight w:val="142"/>
        </w:trPr>
        <w:tc>
          <w:tcPr>
            <w:tcW w:w="366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(19,918)</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14" w:hanging="1014"/>
        <w:spacing w:after="0"/>
        <w:tabs>
          <w:tab w:leader="none" w:pos="101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77,077</w:t>
      </w:r>
    </w:p>
    <w:p>
      <w:pPr>
        <w:spacing w:after="0" w:line="1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(19,918)</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(1,109)</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(14,093)</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(23,054)</w:t>
      </w:r>
    </w:p>
    <w:p>
      <w:pPr>
        <w:spacing w:after="0" w:line="26" w:lineRule="exact"/>
        <w:rPr>
          <w:rFonts w:ascii="Times New Roman" w:cs="Times New Roman" w:eastAsia="Times New Roman" w:hAnsi="Times New Roman"/>
          <w:sz w:val="12"/>
          <w:szCs w:val="12"/>
          <w:color w:val="auto"/>
        </w:rPr>
      </w:pPr>
    </w:p>
    <w:p>
      <w:pPr>
        <w:ind w:left="111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(395)</w:t>
      </w:r>
    </w:p>
    <w:p>
      <w:pPr>
        <w:spacing w:after="0" w:line="15"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(3,206)</w:t>
      </w:r>
    </w:p>
    <w:p>
      <w:pPr>
        <w:spacing w:after="0" w:line="30" w:lineRule="exact"/>
        <w:rPr>
          <w:sz w:val="20"/>
          <w:szCs w:val="20"/>
          <w:color w:val="auto"/>
        </w:rPr>
      </w:pPr>
    </w:p>
    <w:p>
      <w:pPr>
        <w:ind w:left="1014" w:hanging="1014"/>
        <w:spacing w:after="0"/>
        <w:tabs>
          <w:tab w:leader="none" w:pos="1014"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15,302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8915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line="2104" w:lineRule="exact"/>
        <w:rPr>
          <w:sz w:val="20"/>
          <w:szCs w:val="20"/>
          <w:color w:val="auto"/>
        </w:rPr>
      </w:pPr>
    </w:p>
    <w:p>
      <w:pPr>
        <w:sectPr>
          <w:pgSz w:w="11900" w:h="16838" w:orient="portrait"/>
          <w:cols w:equalWidth="0" w:num="2">
            <w:col w:w="9166" w:space="720"/>
            <w:col w:w="1414"/>
          </w:cols>
          <w:pgMar w:left="300" w:top="1052" w:right="299" w:bottom="1440" w:gutter="0" w:footer="0" w:header="0"/>
          <w:type w:val="continuous"/>
        </w:sectPr>
      </w:pPr>
    </w:p>
    <w:p>
      <w:pPr>
        <w:ind w:left="420" w:hanging="212"/>
        <w:spacing w:after="0"/>
        <w:tabs>
          <w:tab w:leader="none" w:pos="4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80" w:type="dxa"/>
            <w:vAlign w:val="bottom"/>
            <w:gridSpan w:val="5"/>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Other specified segment disclosure</w:t>
            </w: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3580" w:type="dxa"/>
            <w:vAlign w:val="bottom"/>
            <w:tcBorders>
              <w:bottom w:val="single" w:sz="8" w:color="auto"/>
            </w:tcBorders>
            <w:gridSpan w:val="5"/>
            <w:shd w:val="clear" w:color="auto" w:fill="CCEEFF"/>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2025</w:t>
            </w: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00" w:type="dxa"/>
            <w:vAlign w:val="bottom"/>
          </w:tcPr>
          <w:p>
            <w:pPr>
              <w:spacing w:after="0"/>
              <w:rPr>
                <w:sz w:val="9"/>
                <w:szCs w:val="9"/>
                <w:color w:val="auto"/>
              </w:rPr>
            </w:pPr>
          </w:p>
        </w:tc>
        <w:tc>
          <w:tcPr>
            <w:tcW w:w="1580" w:type="dxa"/>
            <w:vAlign w:val="bottom"/>
            <w:gridSpan w:val="2"/>
          </w:tcPr>
          <w:p>
            <w:pPr>
              <w:jc w:val="center"/>
              <w:ind w:right="480"/>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260" w:type="dxa"/>
            <w:vAlign w:val="bottom"/>
          </w:tcPr>
          <w:p>
            <w:pPr>
              <w:spacing w:after="0"/>
              <w:rPr>
                <w:sz w:val="9"/>
                <w:szCs w:val="9"/>
                <w:color w:val="auto"/>
              </w:rPr>
            </w:pPr>
          </w:p>
        </w:tc>
        <w:tc>
          <w:tcPr>
            <w:tcW w:w="1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40" w:type="dxa"/>
            <w:vAlign w:val="bottom"/>
          </w:tcPr>
          <w:p>
            <w:pPr>
              <w:spacing w:after="0"/>
              <w:rPr>
                <w:sz w:val="9"/>
                <w:szCs w:val="9"/>
                <w:color w:val="auto"/>
              </w:rPr>
            </w:pPr>
          </w:p>
        </w:tc>
        <w:tc>
          <w:tcPr>
            <w:tcW w:w="1480" w:type="dxa"/>
            <w:vAlign w:val="bottom"/>
            <w:vMerge w:val="restart"/>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2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6,633</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12,836</w:t>
            </w:r>
          </w:p>
        </w:tc>
        <w:tc>
          <w:tcPr>
            <w:tcW w:w="0" w:type="dxa"/>
            <w:vAlign w:val="bottom"/>
          </w:tcPr>
          <w:p>
            <w:pPr>
              <w:spacing w:after="0"/>
              <w:rPr>
                <w:sz w:val="1"/>
                <w:szCs w:val="1"/>
                <w:color w:val="auto"/>
              </w:rPr>
            </w:pPr>
          </w:p>
        </w:tc>
      </w:tr>
      <w:tr>
        <w:trPr>
          <w:trHeight w:val="747"/>
        </w:trPr>
        <w:tc>
          <w:tcPr>
            <w:tcW w:w="2240" w:type="dxa"/>
            <w:vAlign w:val="bottom"/>
          </w:tcPr>
          <w:p>
            <w:pPr>
              <w:spacing w:after="0"/>
              <w:rPr>
                <w:sz w:val="24"/>
                <w:szCs w:val="24"/>
                <w:color w:val="auto"/>
              </w:rPr>
            </w:pP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22</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300" w:type="dxa"/>
            <w:vAlign w:val="bottom"/>
          </w:tcPr>
          <w:p>
            <w:pPr>
              <w:spacing w:after="0"/>
              <w:rPr>
                <w:sz w:val="9"/>
                <w:szCs w:val="9"/>
                <w:color w:val="auto"/>
              </w:rPr>
            </w:pPr>
          </w:p>
        </w:tc>
        <w:tc>
          <w:tcPr>
            <w:tcW w:w="132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60" w:type="dxa"/>
            <w:vAlign w:val="bottom"/>
          </w:tcPr>
          <w:p>
            <w:pPr>
              <w:spacing w:after="0"/>
              <w:rPr>
                <w:sz w:val="9"/>
                <w:szCs w:val="9"/>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60" w:type="dxa"/>
            <w:vAlign w:val="bottom"/>
          </w:tcPr>
          <w:p>
            <w:pPr>
              <w:spacing w:after="0"/>
              <w:rPr>
                <w:sz w:val="9"/>
                <w:szCs w:val="9"/>
                <w:color w:val="auto"/>
              </w:rPr>
            </w:pPr>
          </w:p>
        </w:tc>
        <w:tc>
          <w:tcPr>
            <w:tcW w:w="1200" w:type="dxa"/>
            <w:vAlign w:val="bottom"/>
            <w:vMerge w:val="restart"/>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314,029</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48,356</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102,057</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464,442</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2,175</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314,920</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48,951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102,746</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466,617</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(2,175)</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464,442</w:t>
            </w:r>
          </w:p>
        </w:tc>
        <w:tc>
          <w:tcPr>
            <w:tcW w:w="0" w:type="dxa"/>
            <w:vAlign w:val="bottom"/>
          </w:tcPr>
          <w:p>
            <w:pPr>
              <w:spacing w:after="0"/>
              <w:rPr>
                <w:sz w:val="1"/>
                <w:szCs w:val="1"/>
                <w:color w:val="auto"/>
              </w:rPr>
            </w:pP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(246,386)</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(34,376)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(6,160)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53,454</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88,001</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148,741</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70"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(48,665)</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7,273</w:t>
            </w:r>
          </w:p>
        </w:tc>
      </w:tr>
      <w:tr>
        <w:trPr>
          <w:trHeight w:val="142"/>
        </w:trPr>
        <w:tc>
          <w:tcPr>
            <w:tcW w:w="36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(39,222)</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148,741</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(39,222)</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(2,175)</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(27,870)</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(46,230)</w:t>
      </w:r>
    </w:p>
    <w:p>
      <w:pPr>
        <w:spacing w:after="0" w:line="15" w:lineRule="exact"/>
        <w:rPr>
          <w:rFonts w:ascii="Times New Roman" w:cs="Times New Roman" w:eastAsia="Times New Roman" w:hAnsi="Times New Roman"/>
          <w:sz w:val="12"/>
          <w:szCs w:val="12"/>
          <w:color w:val="auto"/>
        </w:rPr>
      </w:pP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(2,594)</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9525</wp:posOffset>
            </wp:positionV>
            <wp:extent cx="20116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ind w:left="1160" w:hanging="1160"/>
        <w:spacing w:after="0"/>
        <w:tabs>
          <w:tab w:leader="none" w:pos="1160"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25,820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04"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jc w:val="center"/>
              <w:ind w:left="322"/>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40" w:type="dxa"/>
            <w:vAlign w:val="bottom"/>
          </w:tcPr>
          <w:p>
            <w:pPr>
              <w:spacing w:after="0"/>
              <w:rPr>
                <w:sz w:val="9"/>
                <w:szCs w:val="9"/>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ind w:left="322"/>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ind w:right="15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13,258</w:t>
            </w:r>
          </w:p>
        </w:tc>
        <w:tc>
          <w:tcPr>
            <w:tcW w:w="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4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9,583</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60" w:type="dxa"/>
            <w:vAlign w:val="bottom"/>
          </w:tcPr>
          <w:p>
            <w:pPr>
              <w:spacing w:after="0"/>
              <w:rPr>
                <w:sz w:val="9"/>
                <w:szCs w:val="9"/>
                <w:color w:val="auto"/>
              </w:rPr>
            </w:pPr>
          </w:p>
        </w:tc>
        <w:tc>
          <w:tcPr>
            <w:tcW w:w="1220" w:type="dxa"/>
            <w:vAlign w:val="bottom"/>
            <w:gridSpan w:val="2"/>
          </w:tcPr>
          <w:p>
            <w:pPr>
              <w:jc w:val="center"/>
              <w:ind w:right="3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0" w:type="dxa"/>
            <w:vAlign w:val="bottom"/>
          </w:tcPr>
          <w:p>
            <w:pPr>
              <w:spacing w:after="0"/>
              <w:rPr>
                <w:sz w:val="9"/>
                <w:szCs w:val="9"/>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20" w:type="dxa"/>
            <w:vAlign w:val="bottom"/>
          </w:tcPr>
          <w:p>
            <w:pPr>
              <w:spacing w:after="0"/>
              <w:rPr>
                <w:sz w:val="9"/>
                <w:szCs w:val="9"/>
                <w:color w:val="auto"/>
              </w:rPr>
            </w:pPr>
          </w:p>
        </w:tc>
        <w:tc>
          <w:tcPr>
            <w:tcW w:w="10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154,769</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43,484</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219,867</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0" w:type="dxa"/>
            <w:vAlign w:val="bottom"/>
          </w:tcPr>
          <w:p>
            <w:pPr>
              <w:spacing w:after="0"/>
              <w:rPr>
                <w:sz w:val="1"/>
                <w:szCs w:val="1"/>
                <w:color w:val="auto"/>
              </w:rPr>
            </w:pPr>
          </w:p>
        </w:tc>
      </w:tr>
      <w:tr>
        <w:trPr>
          <w:trHeight w:val="142"/>
        </w:trPr>
        <w:tc>
          <w:tcPr>
            <w:tcW w:w="53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220,652</w:t>
            </w: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0" w:type="dxa"/>
            <w:vAlign w:val="bottom"/>
          </w:tcPr>
          <w:p>
            <w:pPr>
              <w:spacing w:after="0"/>
              <w:rPr>
                <w:sz w:val="1"/>
                <w:szCs w:val="1"/>
                <w:color w:val="auto"/>
              </w:rPr>
            </w:pPr>
          </w:p>
        </w:tc>
      </w:tr>
      <w:tr>
        <w:trPr>
          <w:trHeight w:val="142"/>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219,867</w:t>
            </w:r>
          </w:p>
        </w:tc>
        <w:tc>
          <w:tcPr>
            <w:tcW w:w="0" w:type="dxa"/>
            <w:vAlign w:val="bottom"/>
          </w:tcPr>
          <w:p>
            <w:pPr>
              <w:spacing w:after="0"/>
              <w:rPr>
                <w:sz w:val="1"/>
                <w:szCs w:val="1"/>
                <w:color w:val="auto"/>
              </w:rPr>
            </w:pPr>
          </w:p>
        </w:tc>
      </w:tr>
      <w:tr>
        <w:trPr>
          <w:trHeight w:val="133"/>
        </w:trPr>
        <w:tc>
          <w:tcPr>
            <w:tcW w:w="5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(119,466)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(16,316)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(3,118)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Less: Other operating expenses </w:t>
            </w:r>
            <w:r>
              <w:rPr>
                <w:rFonts w:ascii="Times New Roman" w:cs="Times New Roman" w:eastAsia="Times New Roman" w:hAnsi="Times New Roman"/>
                <w:sz w:val="15"/>
                <w:szCs w:val="15"/>
                <w:color w:val="auto"/>
                <w:vertAlign w:val="superscript"/>
              </w:rPr>
              <w:t>1,2</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67,371</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66610" cy="97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66610" cy="97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6661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70"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(18,159)</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w:t>
            </w:r>
          </w:p>
        </w:tc>
      </w:tr>
      <w:tr>
        <w:trPr>
          <w:trHeight w:val="142"/>
        </w:trPr>
        <w:tc>
          <w:tcPr>
            <w:tcW w:w="366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(15,035)</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14" w:hanging="1014"/>
        <w:spacing w:after="0"/>
        <w:tabs>
          <w:tab w:leader="none" w:pos="101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67,371</w:t>
      </w:r>
    </w:p>
    <w:p>
      <w:pPr>
        <w:spacing w:after="0" w:line="1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(15,035)</w:t>
      </w:r>
    </w:p>
    <w:p>
      <w:pPr>
        <w:spacing w:after="0" w:line="26" w:lineRule="exact"/>
        <w:rPr>
          <w:rFonts w:ascii="Times New Roman" w:cs="Times New Roman" w:eastAsia="Times New Roman" w:hAnsi="Times New Roman"/>
          <w:sz w:val="12"/>
          <w:szCs w:val="12"/>
          <w:color w:val="auto"/>
        </w:rPr>
      </w:pPr>
    </w:p>
    <w:p>
      <w:pPr>
        <w:ind w:left="111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(785)</w:t>
      </w:r>
    </w:p>
    <w:p>
      <w:pPr>
        <w:spacing w:after="0" w:line="15"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(15,244)</w:t>
      </w:r>
    </w:p>
    <w:p>
      <w:pPr>
        <w:spacing w:after="0" w:line="26" w:lineRule="exact"/>
        <w:rPr>
          <w:rFonts w:ascii="Times New Roman" w:cs="Times New Roman" w:eastAsia="Times New Roman" w:hAnsi="Times New Roman"/>
          <w:sz w:val="12"/>
          <w:szCs w:val="12"/>
          <w:color w:val="auto"/>
        </w:rPr>
      </w:pPr>
    </w:p>
    <w:p>
      <w:pPr>
        <w:ind w:left="97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(21,710)</w:t>
      </w:r>
    </w:p>
    <w:p>
      <w:pPr>
        <w:spacing w:after="0" w:line="26"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(8,623)</w:t>
      </w:r>
    </w:p>
    <w:p>
      <w:pPr>
        <w:spacing w:after="0" w:line="26" w:lineRule="exact"/>
        <w:rPr>
          <w:rFonts w:ascii="Times New Roman" w:cs="Times New Roman" w:eastAsia="Times New Roman" w:hAnsi="Times New Roman"/>
          <w:sz w:val="12"/>
          <w:szCs w:val="12"/>
          <w:color w:val="auto"/>
        </w:rPr>
      </w:pPr>
    </w:p>
    <w:p>
      <w:pPr>
        <w:ind w:left="111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(636)</w:t>
      </w:r>
    </w:p>
    <w:p>
      <w:pPr>
        <w:spacing w:after="0" w:line="15" w:lineRule="exact"/>
        <w:rPr>
          <w:rFonts w:ascii="Times New Roman" w:cs="Times New Roman" w:eastAsia="Times New Roman" w:hAnsi="Times New Roman"/>
          <w:sz w:val="12"/>
          <w:szCs w:val="12"/>
          <w:color w:val="auto"/>
        </w:rPr>
      </w:pPr>
    </w:p>
    <w:p>
      <w:pPr>
        <w:ind w:left="103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17145</wp:posOffset>
            </wp:positionV>
            <wp:extent cx="18288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10" w:lineRule="exact"/>
        <w:rPr>
          <w:sz w:val="20"/>
          <w:szCs w:val="20"/>
          <w:color w:val="auto"/>
        </w:rPr>
      </w:pPr>
    </w:p>
    <w:p>
      <w:pPr>
        <w:ind w:left="1074" w:hanging="1074"/>
        <w:spacing w:after="0"/>
        <w:tabs>
          <w:tab w:leader="none" w:pos="1074"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8915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9154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8915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line="2104" w:lineRule="exact"/>
        <w:rPr>
          <w:sz w:val="20"/>
          <w:szCs w:val="20"/>
          <w:color w:val="auto"/>
        </w:rPr>
      </w:pPr>
    </w:p>
    <w:p>
      <w:pPr>
        <w:sectPr>
          <w:pgSz w:w="11900" w:h="16838" w:orient="portrait"/>
          <w:cols w:equalWidth="0" w:num="2">
            <w:col w:w="9166" w:space="720"/>
            <w:col w:w="1414"/>
          </w:cols>
          <w:pgMar w:left="300" w:top="1052" w:right="299" w:bottom="1440" w:gutter="0" w:footer="0" w:header="0"/>
          <w:type w:val="continuous"/>
        </w:sectPr>
      </w:pPr>
    </w:p>
    <w:p>
      <w:pPr>
        <w:ind w:left="420" w:hanging="212"/>
        <w:spacing w:after="0"/>
        <w:tabs>
          <w:tab w:leader="none" w:pos="42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Three Months Ended June 30, 2024</w:t>
            </w: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Pr>
          <w:p>
            <w:pPr>
              <w:jc w:val="center"/>
              <w:ind w:left="302"/>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40" w:type="dxa"/>
            <w:vAlign w:val="bottom"/>
          </w:tcPr>
          <w:p>
            <w:pPr>
              <w:spacing w:after="0"/>
              <w:rPr>
                <w:sz w:val="9"/>
                <w:szCs w:val="9"/>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jc w:val="center"/>
              <w:ind w:left="302"/>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ind w:right="15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right"/>
              <w:ind w:right="166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300" w:type="dxa"/>
            <w:vAlign w:val="bottom"/>
          </w:tcPr>
          <w:p>
            <w:pPr>
              <w:spacing w:after="0"/>
              <w:rPr>
                <w:sz w:val="9"/>
                <w:szCs w:val="9"/>
                <w:color w:val="auto"/>
              </w:rPr>
            </w:pPr>
          </w:p>
        </w:tc>
        <w:tc>
          <w:tcPr>
            <w:tcW w:w="132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60" w:type="dxa"/>
            <w:vAlign w:val="bottom"/>
          </w:tcPr>
          <w:p>
            <w:pPr>
              <w:spacing w:after="0"/>
              <w:rPr>
                <w:sz w:val="9"/>
                <w:szCs w:val="9"/>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60" w:type="dxa"/>
            <w:vAlign w:val="bottom"/>
          </w:tcPr>
          <w:p>
            <w:pPr>
              <w:spacing w:after="0"/>
              <w:rPr>
                <w:sz w:val="9"/>
                <w:szCs w:val="9"/>
                <w:color w:val="auto"/>
              </w:rPr>
            </w:pPr>
          </w:p>
        </w:tc>
        <w:tc>
          <w:tcPr>
            <w:tcW w:w="1200" w:type="dxa"/>
            <w:vAlign w:val="bottom"/>
            <w:vMerge w:val="restart"/>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298,516</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42,729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84,341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299,105</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84,660</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426,990</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0" w:type="dxa"/>
            <w:vAlign w:val="bottom"/>
          </w:tcPr>
          <w:p>
            <w:pPr>
              <w:spacing w:after="0"/>
              <w:rPr>
                <w:sz w:val="1"/>
                <w:szCs w:val="1"/>
                <w:color w:val="auto"/>
              </w:rPr>
            </w:pP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services (excludes depreciation and amortization)</w:t>
            </w:r>
            <w:r>
              <w:rPr>
                <w:rFonts w:ascii="Times New Roman" w:cs="Times New Roman" w:eastAsia="Times New Roman" w:hAnsi="Times New Roman"/>
                <w:sz w:val="15"/>
                <w:szCs w:val="15"/>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(231,585)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(31,469)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(5,761)</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(14,714)</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128,867</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 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70"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w:t>
            </w:r>
          </w:p>
        </w:tc>
      </w:tr>
      <w:tr>
        <w:trPr>
          <w:trHeight w:val="16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30, 2024</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(35,791)</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4,819</w:t>
            </w:r>
          </w:p>
        </w:tc>
      </w:tr>
      <w:tr>
        <w:trPr>
          <w:trHeight w:val="142"/>
        </w:trPr>
        <w:tc>
          <w:tcPr>
            <w:tcW w:w="36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(29,572)</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128,867</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(29,572)</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(1,404)</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(30,497)</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(42,590)</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(8,623)</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(1,435)</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9525</wp:posOffset>
            </wp:positionV>
            <wp:extent cx="20116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ind w:left="1160" w:hanging="1160"/>
        <w:spacing w:after="0"/>
        <w:tabs>
          <w:tab w:leader="none" w:pos="1160"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11,284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04"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 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jc w:val="center"/>
              <w:ind w:left="322"/>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40" w:type="dxa"/>
            <w:vAlign w:val="bottom"/>
          </w:tcPr>
          <w:p>
            <w:pPr>
              <w:spacing w:after="0"/>
              <w:rPr>
                <w:sz w:val="9"/>
                <w:szCs w:val="9"/>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ind w:left="322"/>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ind w:right="15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4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8,126</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28" w:name="page29"/>
    <w:bookmarkEnd w:id="28"/>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16.</w:t>
      </w:r>
      <w:r>
        <w:rPr>
          <w:sz w:val="20"/>
          <w:szCs w:val="20"/>
          <w:color w:val="auto"/>
        </w:rPr>
        <w:tab/>
      </w:r>
      <w:r>
        <w:rPr>
          <w:rFonts w:ascii="Times New Roman" w:cs="Times New Roman" w:eastAsia="Times New Roman" w:hAnsi="Times New Roman"/>
          <w:sz w:val="11"/>
          <w:szCs w:val="11"/>
          <w:b w:val="1"/>
          <w:bCs w:val="1"/>
          <w:color w:val="auto"/>
        </w:rPr>
        <w:t>Earnings (Loss) per Common Share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following tables set forth the computation of the Company's basic and diluted earnings (loss) per common share:</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700" w:type="dxa"/>
            <w:vAlign w:val="bottom"/>
          </w:tcPr>
          <w:p>
            <w:pPr>
              <w:spacing w:after="0"/>
              <w:rPr>
                <w:sz w:val="13"/>
                <w:szCs w:val="13"/>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Numerator:</w:t>
            </w:r>
          </w:p>
        </w:tc>
        <w:tc>
          <w:tcPr>
            <w:tcW w:w="700" w:type="dxa"/>
            <w:vAlign w:val="bottom"/>
          </w:tcPr>
          <w:p>
            <w:pPr>
              <w:spacing w:after="0"/>
              <w:rPr>
                <w:sz w:val="13"/>
                <w:szCs w:val="13"/>
                <w:color w:val="auto"/>
              </w:rPr>
            </w:pPr>
          </w:p>
        </w:tc>
      </w:tr>
      <w:tr>
        <w:trPr>
          <w:trHeight w:val="153"/>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700" w:type="dxa"/>
            <w:vAlign w:val="bottom"/>
          </w:tcPr>
          <w:p>
            <w:pPr>
              <w:spacing w:after="0"/>
              <w:rPr>
                <w:sz w:val="13"/>
                <w:szCs w:val="13"/>
                <w:color w:val="auto"/>
              </w:rPr>
            </w:pP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700" w:type="dxa"/>
            <w:vAlign w:val="bottom"/>
          </w:tcPr>
          <w:p>
            <w:pPr>
              <w:spacing w:after="0"/>
              <w:rPr>
                <w:sz w:val="13"/>
                <w:szCs w:val="13"/>
                <w:color w:val="auto"/>
              </w:rPr>
            </w:pPr>
          </w:p>
        </w:tc>
      </w:tr>
      <w:tr>
        <w:trPr>
          <w:trHeight w:val="180"/>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31"/>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Weighted average shares outstanding</w:t>
            </w:r>
            <w:r>
              <w:rPr>
                <w:rFonts w:ascii="Times New Roman" w:cs="Times New Roman" w:eastAsia="Times New Roman" w:hAnsi="Times New Roman"/>
                <w:sz w:val="15"/>
                <w:szCs w:val="15"/>
                <w:color w:val="auto"/>
                <w:vertAlign w:val="superscript"/>
              </w:rPr>
              <w:t>(1)</w:t>
            </w:r>
          </w:p>
        </w:tc>
        <w:tc>
          <w:tcPr>
            <w:tcW w:w="700" w:type="dxa"/>
            <w:vAlign w:val="bottom"/>
          </w:tcPr>
          <w:p>
            <w:pPr>
              <w:spacing w:after="0"/>
              <w:rPr>
                <w:sz w:val="24"/>
                <w:szCs w:val="24"/>
                <w:color w:val="auto"/>
              </w:rPr>
            </w:pPr>
          </w:p>
        </w:tc>
      </w:tr>
      <w:tr>
        <w:trPr>
          <w:trHeight w:val="153"/>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700" w:type="dxa"/>
            <w:vAlign w:val="bottom"/>
          </w:tcPr>
          <w:p>
            <w:pPr>
              <w:spacing w:after="0"/>
              <w:rPr>
                <w:sz w:val="13"/>
                <w:szCs w:val="13"/>
                <w:color w:val="auto"/>
              </w:rPr>
            </w:pP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700" w:type="dxa"/>
            <w:vAlign w:val="bottom"/>
          </w:tcPr>
          <w:p>
            <w:pPr>
              <w:spacing w:after="0"/>
              <w:rPr>
                <w:sz w:val="13"/>
                <w:szCs w:val="13"/>
                <w:color w:val="auto"/>
              </w:rPr>
            </w:pPr>
          </w:p>
        </w:tc>
      </w:tr>
      <w:tr>
        <w:trPr>
          <w:trHeight w:val="331"/>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Earnings (loss) per common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-1022350</wp:posOffset>
            </wp:positionV>
            <wp:extent cx="7178040" cy="97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7178040" cy="97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-405130</wp:posOffset>
            </wp:positionV>
            <wp:extent cx="717804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97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-828040</wp:posOffset>
            </wp:positionV>
            <wp:extent cx="717804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-1216660</wp:posOffset>
            </wp:positionV>
            <wp:extent cx="7178040" cy="97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480" w:type="dxa"/>
            <w:vAlign w:val="bottom"/>
            <w:tcBorders>
              <w:bottom w:val="single" w:sz="8" w:color="auto"/>
            </w:tcBorders>
          </w:tcPr>
          <w:p>
            <w:pPr>
              <w:spacing w:after="0"/>
              <w:rPr>
                <w:sz w:val="13"/>
                <w:szCs w:val="13"/>
                <w:color w:val="auto"/>
              </w:rPr>
            </w:pPr>
          </w:p>
        </w:tc>
      </w:tr>
      <w:tr>
        <w:trPr>
          <w:trHeight w:val="142"/>
        </w:trPr>
        <w:tc>
          <w:tcPr>
            <w:tcW w:w="92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r>
      <w:tr>
        <w:trPr>
          <w:trHeight w:val="284"/>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10,879</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100" w:type="dxa"/>
            <w:vAlign w:val="bottom"/>
          </w:tcPr>
          <w:p>
            <w:pPr>
              <w:spacing w:after="0"/>
              <w:rPr>
                <w:sz w:val="24"/>
                <w:szCs w:val="2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19,147</w:t>
            </w:r>
          </w:p>
        </w:tc>
        <w:tc>
          <w:tcPr>
            <w:tcW w:w="80" w:type="dxa"/>
            <w:vAlign w:val="bottom"/>
          </w:tcPr>
          <w:p>
            <w:pPr>
              <w:spacing w:after="0"/>
              <w:rPr>
                <w:sz w:val="24"/>
                <w:szCs w:val="24"/>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6,187</w:t>
            </w:r>
          </w:p>
        </w:tc>
      </w:tr>
      <w:tr>
        <w:trPr>
          <w:trHeight w:val="153"/>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(18,565)</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(31,227)</w:t>
            </w:r>
          </w:p>
        </w:tc>
      </w:tr>
      <w:tr>
        <w:trPr>
          <w:trHeight w:val="155"/>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r>
      <w:tr>
        <w:trPr>
          <w:trHeight w:val="142"/>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10,879</w:t>
            </w:r>
          </w:p>
        </w:tc>
        <w:tc>
          <w:tcPr>
            <w:tcW w:w="94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(17,629)</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19,147</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(25,679)</w:t>
            </w:r>
          </w:p>
        </w:tc>
      </w:tr>
      <w:tr>
        <w:trPr>
          <w:trHeight w:val="20"/>
        </w:trPr>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89"/>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78,981</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78,878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r>
      <w:tr>
        <w:trPr>
          <w:trHeight w:val="153"/>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856</w:t>
            </w:r>
          </w:p>
        </w:tc>
        <w:tc>
          <w:tcPr>
            <w:tcW w:w="9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79,837</w:t>
            </w: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r>
      <w:tr>
        <w:trPr>
          <w:trHeight w:val="331"/>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100" w:type="dxa"/>
            <w:vAlign w:val="bottom"/>
          </w:tcPr>
          <w:p>
            <w:pPr>
              <w:spacing w:after="0"/>
              <w:rPr>
                <w:sz w:val="24"/>
                <w:szCs w:val="24"/>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24"/>
                <w:szCs w:val="24"/>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55"/>
        </w:trPr>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10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3"/>
                <w:szCs w:val="13"/>
                <w:color w:val="auto"/>
              </w:rPr>
            </w:pP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-708025</wp:posOffset>
            </wp:positionV>
            <wp:extent cx="9201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0115" cy="571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-1319530</wp:posOffset>
            </wp:positionV>
            <wp:extent cx="18973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97380" cy="57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628" w:space="480"/>
            <w:col w:w="5200"/>
          </w:cols>
          <w:pgMar w:left="292" w:top="1259" w:right="299" w:bottom="1440" w:gutter="0" w:footer="0" w:header="0"/>
        </w:sectPr>
      </w:pPr>
    </w:p>
    <w:p>
      <w:pPr>
        <w:ind w:left="428" w:right="80" w:hanging="212"/>
        <w:spacing w:after="0" w:line="231" w:lineRule="auto"/>
        <w:tabs>
          <w:tab w:leader="none" w:pos="42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three and six months ended June 30, 2024, the weighted-average common shares outstanding includes 1,803,841 warrants. These shares of common stock had an exercise price of $0.001 and were exercised on January 14, 2025.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three and six months ended June 30, 2025, the Company had 0.9 million and 1.1 million, respectively, dilutive securities that were included in the Company's diluted earnings per share. For the three and six months ended</w:t>
      </w:r>
    </w:p>
    <w:p>
      <w:pPr>
        <w:spacing w:after="0" w:line="17"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June 30, 2024, all potentially dilutive securities were anti-dilutive, so diluted net loss per share was equivalent to basic net loss per share. Anti-dilutive securities that were excluded from the Company's earnings (loss) per common share are as follows: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460" w:type="dxa"/>
            <w:vAlign w:val="bottom"/>
            <w:tcBorders>
              <w:bottom w:val="single" w:sz="8" w:color="auto"/>
            </w:tcBorders>
          </w:tcPr>
          <w:p>
            <w:pPr>
              <w:spacing w:after="0"/>
              <w:rPr>
                <w:sz w:val="13"/>
                <w:szCs w:val="13"/>
                <w:color w:val="auto"/>
              </w:rPr>
            </w:pP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60" w:type="dxa"/>
            <w:vAlign w:val="bottom"/>
            <w:gridSpan w:val="3"/>
          </w:tcPr>
          <w:p>
            <w:pPr>
              <w:ind w:left="10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Pr>
          <w:p>
            <w:pPr>
              <w:spacing w:after="0"/>
              <w:rPr>
                <w:sz w:val="12"/>
                <w:szCs w:val="12"/>
                <w:color w:val="auto"/>
              </w:rPr>
            </w:pPr>
          </w:p>
        </w:tc>
      </w:tr>
      <w:tr>
        <w:trPr>
          <w:trHeight w:val="142"/>
        </w:trPr>
        <w:tc>
          <w:tcPr>
            <w:tcW w:w="4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(1)</w:t>
            </w:r>
          </w:p>
        </w:tc>
        <w:tc>
          <w:tcPr>
            <w:tcW w:w="12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r>
      <w:tr>
        <w:trPr>
          <w:trHeight w:val="153"/>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Liability-classified restricted stock units</w:t>
            </w:r>
          </w:p>
        </w:tc>
        <w:tc>
          <w:tcPr>
            <w:tcW w:w="1220" w:type="dxa"/>
            <w:vAlign w:val="bottom"/>
          </w:tcPr>
          <w:p>
            <w:pPr>
              <w:spacing w:after="0"/>
              <w:rPr>
                <w:sz w:val="13"/>
                <w:szCs w:val="13"/>
                <w:color w:val="auto"/>
              </w:rPr>
            </w:pPr>
          </w:p>
        </w:tc>
        <w:tc>
          <w:tcPr>
            <w:tcW w:w="1580" w:type="dxa"/>
            <w:vAlign w:val="bottom"/>
            <w:gridSpan w:val="3"/>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3"/>
          </w:tcPr>
          <w:p>
            <w:pPr>
              <w:jc w:val="right"/>
              <w:ind w:right="11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9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(1)</w:t>
            </w:r>
          </w:p>
        </w:tc>
        <w:tc>
          <w:tcPr>
            <w:tcW w:w="122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w:t>
            </w:r>
          </w:p>
        </w:tc>
      </w:tr>
      <w:tr>
        <w:trPr>
          <w:trHeight w:val="142"/>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c>
          <w:tcPr>
            <w:tcW w:w="6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1,755</w:t>
            </w:r>
          </w:p>
        </w:tc>
        <w:tc>
          <w:tcPr>
            <w:tcW w:w="60" w:type="dxa"/>
            <w:vAlign w:val="bottom"/>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1,811</w:t>
            </w:r>
          </w:p>
        </w:tc>
      </w:tr>
      <w:tr>
        <w:trPr>
          <w:trHeight w:val="20"/>
        </w:trPr>
        <w:tc>
          <w:tcPr>
            <w:tcW w:w="4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8" w:hanging="212"/>
        <w:spacing w:after="0"/>
        <w:tabs>
          <w:tab w:leader="none" w:pos="428" w:val="left"/>
        </w:tabs>
        <w:numPr>
          <w:ilvl w:val="1"/>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129" w:lineRule="exact"/>
        <w:rPr>
          <w:rFonts w:ascii="Times New Roman" w:cs="Times New Roman" w:eastAsia="Times New Roman" w:hAnsi="Times New Roman"/>
          <w:sz w:val="16"/>
          <w:szCs w:val="16"/>
          <w:color w:val="auto"/>
          <w:vertAlign w:val="superscript"/>
        </w:rPr>
      </w:pPr>
    </w:p>
    <w:p>
      <w:pPr>
        <w:ind w:left="268" w:hanging="268"/>
        <w:spacing w:after="0"/>
        <w:tabs>
          <w:tab w:leader="none" w:pos="268"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Subsequent Events</w:t>
      </w:r>
    </w:p>
    <w:p>
      <w:pPr>
        <w:spacing w:after="0" w:line="154"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 xml:space="preserve">We have evaluated subsequent events and determined that no events or transactions met the definition of a subsequent event for purposes of recognition or disclosure in the accompanying unaudited consolidated financial statements except as disclosed in </w:t>
      </w:r>
      <w:r>
        <w:rPr>
          <w:rFonts w:ascii="Times New Roman" w:cs="Times New Roman" w:eastAsia="Times New Roman" w:hAnsi="Times New Roman"/>
          <w:sz w:val="12"/>
          <w:szCs w:val="12"/>
          <w:u w:val="single" w:color="auto"/>
          <w:color w:val="0000FF"/>
        </w:rPr>
        <w:t>Note 9 Income Taxes</w:t>
      </w:r>
      <w:r>
        <w:rPr>
          <w:rFonts w:ascii="Times New Roman" w:cs="Times New Roman" w:eastAsia="Times New Roman" w:hAnsi="Times New Roman"/>
          <w:sz w:val="12"/>
          <w:szCs w:val="12"/>
          <w:color w:val="auto"/>
        </w:rPr>
        <w:t xml:space="preserve"> and included herein.</w:t>
      </w:r>
    </w:p>
    <w:p>
      <w:pPr>
        <w:spacing w:after="0" w:line="200" w:lineRule="exact"/>
        <w:rPr>
          <w:sz w:val="20"/>
          <w:szCs w:val="20"/>
          <w:color w:val="auto"/>
        </w:rPr>
      </w:pPr>
    </w:p>
    <w:p>
      <w:pPr>
        <w:spacing w:after="0" w:line="37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9" w:right="299" w:bottom="1440" w:gutter="0" w:footer="0" w:header="0"/>
          <w:type w:val="continuous"/>
        </w:sectPr>
      </w:pPr>
    </w:p>
    <w:bookmarkStart w:id="29" w:name="page30"/>
    <w:bookmarkEnd w:id="29"/>
    <w:p>
      <w:pPr>
        <w:spacing w:after="0" w:line="265" w:lineRule="auto"/>
        <w:rPr>
          <w:sz w:val="20"/>
          <w:szCs w:val="20"/>
          <w:color w:val="auto"/>
        </w:rPr>
      </w:pPr>
      <w:r>
        <w:rPr>
          <w:rFonts w:ascii="Times New Roman" w:cs="Times New Roman" w:eastAsia="Times New Roman" w:hAnsi="Times New Roman"/>
          <w:sz w:val="12"/>
          <w:szCs w:val="12"/>
          <w:color w:val="auto"/>
        </w:rPr>
        <w:t>On July 31, 2025, the Company entered into a credit agreement which provides 1) a $1,000 million senior secured first lien term loan facility and 2) a $100.0 million senior secured revolving credit facility. Proceeds from the term loan were used to refinance the existing credit facilities under the 2024 Credit Agreement, to accelerate payments of certain deferred considerations related to prior acquisitions, acquisition of non-controlling interests in one of the Company's subsidiaries and the remainder will be used for corporate purposes. The revolving credit facility remained undrawn. The Company is in the process of evaluating this transaction in accordance with ASC 470.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31, 2025, the Company accelerated the timing of payment of deferred consideration related to the Plastiq acquisition. The total payment was $19.0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31, 2025, the Company purchased the noncontrolling interest in it's subsidiary Plastiq, Powered by Priority, LLC., for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2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2024.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28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31" w:right="319" w:bottom="1440" w:gutter="0" w:footer="0" w:header="0"/>
        </w:sectPr>
      </w:pPr>
    </w:p>
    <w:bookmarkStart w:id="31" w:name="page32"/>
    <w:bookmarkEnd w:id="31"/>
    <w:p>
      <w:pPr>
        <w:ind w:right="180"/>
        <w:spacing w:after="0" w:line="265" w:lineRule="auto"/>
        <w:rPr>
          <w:sz w:val="20"/>
          <w:szCs w:val="20"/>
          <w:color w:val="auto"/>
        </w:rPr>
      </w:pPr>
      <w:r>
        <w:rPr>
          <w:rFonts w:ascii="Times New Roman" w:cs="Times New Roman" w:eastAsia="Times New Roman" w:hAnsi="Times New Roman"/>
          <w:sz w:val="12"/>
          <w:szCs w:val="12"/>
          <w:color w:val="auto"/>
        </w:rPr>
        <w:t>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and six months ended June 30, 2025, compared to the three and six months ended June 30, 2024.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For the three months ended June 30, 2025, our consolidated revenue of $239.8 million increased by $19.9 million, or 9.1%, from $219.9 million for the three months ended June 30, 2024. This overall increase was mainly driven by increase in merchant bankcard dollar value and total card dollar value processed in our SMB Payments segment, an increase in new enrollments and higher interest income in our Enterprise Payments segment and, an increase in incentive income and, increased processing volume in our B2B Payments Segment, which was partially offset by a decrease in issuing volume.</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For the six months ended June 30, 2025, our consolidated revenue of $464.4 million increased by $38.9 million, or 9.1%, from $425.6 million for the six months ended June 30, 2024. This overall increase was mainly driven by increase in merchant bankcard dollar value and total card dollar value processed in our SMB Payments segment, an increase in new enrollments and higher interest income in our Enterprise Payments segment and, an increase in incentive income and, increased processing volume in our B2B Payments Segment, which was partially offset by a decrease in issuing volume.</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15"/>
        </w:trPr>
        <w:tc>
          <w:tcPr>
            <w:tcW w:w="4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20" w:type="dxa"/>
            <w:vAlign w:val="bottom"/>
            <w:tcBorders>
              <w:bottom w:val="single" w:sz="8" w:color="auto"/>
            </w:tcBorders>
          </w:tcPr>
          <w:p>
            <w:pPr>
              <w:spacing w:after="0"/>
              <w:rPr>
                <w:sz w:val="24"/>
                <w:szCs w:val="2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180,483</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169,246</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11,237</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347,562</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327,193</w:t>
            </w:r>
          </w:p>
        </w:tc>
        <w:tc>
          <w:tcPr>
            <w:tcW w:w="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20,369</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31,340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7,933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60,484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16,238</w:t>
            </w: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16,853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16,256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597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31,921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1,934</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3,203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3,025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6,303</w:t>
            </w: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5,988</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315</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239,812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219,867</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19,945</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464,442</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425,586</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38,856</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June 30, 2025 was $180.5 million an increase of $11.2 million or 6.6%, from $169.2 million for the three months ended June 30, 2024. The increase was primarily driven by an increase in merchant bankcard value, total card value, and the transaction count processed by the Company.</w:t>
      </w:r>
    </w:p>
    <w:p>
      <w:pPr>
        <w:spacing w:after="0" w:line="111"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six months ended June 30, 2025 was $347.6 million an increase of $20.4 million or 6.2%, from $327.2 million for the six months ended June 30, 2024. The increase was primarily driven by an increase in merchant bankcard value, total card value, and the transaction count processed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June 30, 2025 was $39.3 million, an increase of $7.9 million, or 25.3%, from $31.3 million for the three months ended June 30, 2024. This increase was primarily driven by an increase in new customer enrollments and average billed clients.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six months ended June 30, 2025 was $76.7 million, an increase of $16.2 million, or 26.8%, from $60.5 million for the six months ended June 30, 2024. This increase was primarily driven by an increase in new customer enrollments and average billed clients.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$16.9 million for the three months ended June 30, 2025 increased by $0.6 million, or 3.7%, from $16.3 million for the three months ended June 30, 2024, primarily due to growth in interest income due to higher balances of permissible investments offset by reduction in interest rates.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$33.9 million for the six months ended June 30, 2025 increased by $1.9 million, or 6.1%, from $31.9 million for the six months ended June 30, 2024, primarily due to growth in interest income due to higher balances of permissible investments offset by reduction in interest rates.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Equipment revenue of $3.2 million for the three months ended June 30, 2025 increased by $0.2 million, or 5.9% from $3.0 million for the three months ended June 30, 2024. The increase was primarily due to increased sales of point-of-sale equipment.</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Equipment revenue of $6.3 million for the six months ended June 30, 2025 increased by $0.3 million, or 5.3% from $6.0 million for the six months ended June 30, 2024. The increase was primarily due to increased sales of point-of-sale equipment.</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15"/>
        </w:trPr>
        <w:tc>
          <w:tcPr>
            <w:tcW w:w="4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40" w:type="dxa"/>
            <w:vAlign w:val="bottom"/>
            <w:tcBorders>
              <w:bottom w:val="single" w:sz="8" w:color="auto"/>
            </w:tcBorders>
          </w:tcPr>
          <w:p>
            <w:pPr>
              <w:spacing w:after="0"/>
              <w:rPr>
                <w:sz w:val="24"/>
                <w:szCs w:val="2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147,399</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138,118</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9,281</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284,752</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267,416</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17,336</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27,060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22,119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44,269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8,566</w:t>
            </w: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14,093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15,244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27,870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30,497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(2,627)</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13,910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11,212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2,698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29,010</w:t>
            </w: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22,207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6,803</w:t>
            </w: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202,462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186,693</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15,769</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394,467</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364,389</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30,078</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$147.4 million for the three months ended June 30, 2025 increased by $9.3 million, or 6.7%, from $138.1 million for the three months ended June 30, 2024, primarily due to the corresponding increase in revenues.</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$284.8 million for the six months ended June 30, 2025 increased by $17.3 million, or 6.5%, from $267.4 million for the six months ended June 30, 2024, primarily due to the corresponding increase in revenues offset by recovery of certain bad debts.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$27.1 million for the three months ended June 30, 2025 increased by $4.9 million, or 22.3%, from $22.1 million for the three months ended June 30, 2024, primarily due to merit increases, increased headcount to support overall growth of the Company and from the acquisition of the Letus business, and increased stock based compensation related to long term incentive awards to executives.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$52.8 million for the six months ended June 30, 2025 increased by $8.6 million, or 19.3%, from $44.3 million for the six months ended June 30, 2024, primarily due to merit increases, increased headcount to support overall growth of the Company and from the acquisition of the Letus business, and increased stock based compensation related to long term incentive awards to executives.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$14.1 million for the three months ended June 30, 2025 decreased by $1.2 million, or 7.6%, from $15.2 million for the three months ended June 30, 2024, primarily due to full amortization of certain intangible assets.</w:t>
      </w:r>
    </w:p>
    <w:p>
      <w:pPr>
        <w:spacing w:after="0" w:line="11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$27.9 million for the six months ended June 30, 2025 decreased by $2.6 million, or 8.6%, from $30.5 million for the six months ended June 30, 2024, primarily due to full amortization of certain intangible 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of $13.9 million for the three months ended June 30, 2025 increased by $2.7 million, or 24.1%, from $11.2 million for the three months ended June 30, 2024, primarily due to increase in professional charges related to SOX compliance and increased marketing and software expenses to support overall growth.</w:t>
      </w:r>
    </w:p>
    <w:p>
      <w:pPr>
        <w:spacing w:after="0" w:line="111"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$29.0 million for the six months ended June 30, 2025 increased by $6.8 million, or 30.6%, from $22.2 million for the six months ended June 30, 2024, primarily due to increase in professional charges related to SOX compliance, increased marketing and software expenses to support overall growth, and legal expenses related to the Company's secondary offering of common shares and the Letus business acquisition.</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00" w:type="dxa"/>
            <w:vAlign w:val="bottom"/>
            <w:tcBorders>
              <w:bottom w:val="single" w:sz="8" w:color="auto"/>
            </w:tcBorders>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(23,054)</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(1,344)</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(46,230)</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(42,590)</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(3,640)</w:t>
            </w:r>
          </w:p>
        </w:tc>
      </w:tr>
      <w:tr>
        <w:trPr>
          <w:trHeight w:val="153"/>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8,585</w:t>
            </w:r>
          </w:p>
        </w:tc>
      </w:tr>
      <w:tr>
        <w:trPr>
          <w:trHeight w:val="153"/>
        </w:trPr>
        <w:tc>
          <w:tcPr>
            <w:tcW w:w="4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338</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2,113</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1,300</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813</w:t>
            </w:r>
          </w:p>
        </w:tc>
      </w:tr>
      <w:tr>
        <w:trPr>
          <w:trHeight w:val="158"/>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(22,048)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(29,665)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7,617</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(44,155)</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(49,913)</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5,758</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Interest expense of $23.1 million for the three months ended June 30, 2025 increased by $1.3 million, or 6.2%, from $21.7 million for the three months ended June 30, 2024, due to increased outstanding balance of the term loan facility used for the redemption of redeemable senior preferred stock, offset by decrease in interest rates.</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Interest expense of $46.2 million for the six months ended June 30, 2025 increased by $3.6 million, or 8.5%, from $42.6 million for the six months ended June 30, 2024, due to increased outstanding balance of the term loan facility used for the redemption of redeemable senior preferred stock, offset by decrease in interest rates.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5"/>
        </w:trPr>
        <w:tc>
          <w:tcPr>
            <w:tcW w:w="39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320" w:type="dxa"/>
            <w:vAlign w:val="bottom"/>
          </w:tcPr>
          <w:p>
            <w:pPr>
              <w:spacing w:after="0"/>
              <w:rPr>
                <w:sz w:val="12"/>
                <w:szCs w:val="1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36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9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2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15,302</w:t>
            </w: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11,793</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25,820</w:t>
            </w: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11,284</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14,536</w:t>
            </w: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w:t>
            </w:r>
          </w:p>
        </w:tc>
        <w:tc>
          <w:tcPr>
            <w:tcW w:w="1000" w:type="dxa"/>
            <w:vAlign w:val="bottom"/>
            <w:gridSpan w:val="3"/>
          </w:tcPr>
          <w:p>
            <w:pPr>
              <w:jc w:val="right"/>
              <w:ind w:right="6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2,515</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6,673</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5,097</w:t>
            </w:r>
          </w:p>
        </w:tc>
        <w:tc>
          <w:tcPr>
            <w:tcW w:w="8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1,576</w:t>
            </w: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7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2025 is 28.9% and includes the income tax provision on pre-tax income and a tax provision related to the establishment of a valuation allowance for deferred income tax on the future portion of the Section 163(j) limitation created by additional 2025 interest expense. The effective tax rate for 2025 changed primarily due to an increase in the valuation allowance against certain business interest carryover deferred tax assets.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2025 may not be indicative of our effective tax rate for future periods.</w:t>
      </w:r>
    </w:p>
    <w:p>
      <w:pPr>
        <w:spacing w:after="0" w:line="11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On July 4, 2025, the U.S. government enacted legislation know as the One Big Beautiful Bill Act into law. The OBBBA, among other provisions, extends or reinstates certain provisions of the 2017 Tax Cuts and Jobs Act (TCJA), including but not limited to, 100% bonus depreciation on eligible property, immediate expensing of domestic research and development costs, and the restoration of an EBITDA based interest expense limitation calculation. We are in the process of evaluating the provisions of the OBBBA, and their impact on the Company's financial statements.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Adjusted EBITDA (a non-GAAP financial measure). Adjusted EBITDA at each segment level includes revenues of the segment, less costs of revenue (excluding depreciation and amortization) and operating expenses that are directly related those revenues. Operating overhead and shared costs are managed centrally and included in corporate segment.</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SMB Payments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3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0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8,129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314,920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299,105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15,815</w:t>
            </w: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(848)</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53,454</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(166)</w:t>
            </w:r>
          </w:p>
        </w:tc>
      </w:tr>
      <w:tr>
        <w:trPr>
          <w:trHeight w:val="15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16,150,363</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15,801,626</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348,737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31,444,496</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30,579,730</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864,766</w:t>
            </w:r>
          </w:p>
        </w:tc>
      </w:tr>
      <w:tr>
        <w:trPr>
          <w:trHeight w:val="15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205,530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193,841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11,689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391,068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369,069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21,999</w:t>
            </w:r>
          </w:p>
        </w:tc>
      </w:tr>
      <w:tr>
        <w:trPr>
          <w:trHeight w:val="155"/>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18,667,898</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18,253,900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413,998</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36,353,389</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35,352,661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1,000,728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Revenue from our SMB Payments segment was $163.2 million for the three months ended June 30, 2025, compared to $155.1 million for the three months ended June 30, 2024. The increase of $8.1 million, or 5.2%, was primarily driven by an increase in merchant card fee rate, increased card processing dollar value, and transaction count increases. The Company's merchant card fee revenue from the SMB Payments segment ($158.8 million for the three months ended June 30, 2025 and $150.7 million for the three months ended June 30, 2024) as a percentage of total card processing dollar value during the three months ended June 30, 2025 increased to 0.85% from 0.83% as compared to the three months ended June 30, 2024.</w:t>
      </w:r>
    </w:p>
    <w:p>
      <w:pPr>
        <w:spacing w:after="0" w:line="1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Revenue from our SMB Payments segment was $314.9 million for the six months ended June 30, 2025, compared to $299.1 million for the six months ended June 30, 2024. The increase of $15.8 million, or 5.3%, was primarily driven by an increase in merchant card fee rate, increased card processing dollar value, and transaction count increases. The Company's merchant card fee revenue from the SMB Payments segment ($306.3 million for the six months ended June 30, 2025 and $290.5 million for the six months ended June 30, 2024) as a percentage of total card processing dollar value during the six months ended June 30, 2025 increased to 0.84% from 0.82% as compared to the six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41"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2"/>
          <w:szCs w:val="12"/>
          <w:color w:val="auto"/>
        </w:rPr>
        <w:t>Adjusted EBITDA from our SMB Payments segment was $27.7 million for the three months ended June 30, 2025, compared to $28.6 million for the three months ended June 30, 2024. The decrease of $0.8 million, or 3.0% was primarily driven by an increase in revenue, offset by mix related margin compression and other operating expenses.</w:t>
      </w:r>
    </w:p>
    <w:p>
      <w:pPr>
        <w:spacing w:after="0" w:line="11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Adjusted EBITDA from our SMB Payments segment was $53.5 million for the six months ended June 30, 2025, compared to $53.6 million for the six months ended June 30, 2024. The decrease of $0.2 million, or 0.3% was primarily driven by an increase in revenue, and recovery of certain chargeback losses, offset by mix related margin compression and other operating expenses.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B2B Payments</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3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00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25,033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3,152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48,951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5,726</w:t>
            </w: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2,240</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4,010</w:t>
            </w:r>
          </w:p>
        </w:tc>
      </w:tr>
      <w:tr>
        <w:trPr>
          <w:trHeight w:val="171"/>
        </w:trPr>
        <w:tc>
          <w:tcPr>
            <w:tcW w:w="3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220,227</w:t>
            </w:r>
          </w:p>
        </w:tc>
        <w:tc>
          <w:tcPr>
            <w:tcW w:w="440" w:type="dxa"/>
            <w:vAlign w:val="bottom"/>
            <w:gridSpan w:val="3"/>
            <w:shd w:val="clear" w:color="auto" w:fill="CCEEFF"/>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249,454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(29,227)</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457,517</w:t>
            </w:r>
          </w:p>
        </w:tc>
        <w:tc>
          <w:tcPr>
            <w:tcW w:w="3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477,266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(19,749)</w:t>
            </w:r>
          </w:p>
        </w:tc>
      </w:tr>
      <w:tr>
        <w:trPr>
          <w:trHeight w:val="155"/>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8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$25.0 million for the three months ended June 30, 2025, compared to $21.9 million for the three months ended June 30, 2024. The increase of $3.2 million, or 14.4% was primarily driven by increases in total card volume processed and certain incentive income offset by decreases in issuing dollar volume and issuing transaction count.</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$49.0 million for the six months ended June 30, 2025, compared to $43.2 million for the six months ended June 30, 2024. The increase of $5.7 million, or 13.2% was primarily driven by increases in total card volume processed and certain incentive income offset by decreases in issuing dollar volume and issuing transaction count.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$3.8 million for the three months ended June 30, 2025, compared to $1.5 million for the three months ended June 30, 2024.The increase in Adjusted EBITDA of $2.2 million or 146.4% was contributed by $0.9 million in the supplier funded business (driven by incentive income) and $1.3 million in the buyer funded business (driven by increased processing volume).</w:t>
      </w:r>
    </w:p>
    <w:p>
      <w:pPr>
        <w:spacing w:after="0" w:line="111"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$7.3 million for the six months ended June 30, 2025, compared to $3.3 million for the six months ended June 30, 2024.The increase in Adjusted EBITDA of $4.0 million or 122.4% was contributed by $1.4 million in the supplier funded business (driven by incentive income) and $2.6 million in the buyer funded business (driven by increased processing volume).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Enterprise Payments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3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00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8,988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102,746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18,086</w:t>
            </w: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45,558</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8,314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88,001</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16,030</w:t>
            </w:r>
          </w:p>
        </w:tc>
      </w:tr>
      <w:tr>
        <w:trPr>
          <w:trHeight w:val="180"/>
        </w:trPr>
        <w:tc>
          <w:tcPr>
            <w:tcW w:w="3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992,279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762,873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229,406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966,371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733,380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232,991</w:t>
            </w:r>
          </w:p>
        </w:tc>
      </w:tr>
      <w:tr>
        <w:trPr>
          <w:trHeight w:val="155"/>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new enrollments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55,416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56,882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54,484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2,398</w:t>
            </w:r>
          </w:p>
        </w:tc>
      </w:tr>
      <w:tr>
        <w:trPr>
          <w:trHeight w:val="808"/>
        </w:trPr>
        <w:tc>
          <w:tcPr>
            <w:tcW w:w="30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34</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0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16"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Revenue from our Enterprise Payments segment was $52.7 million for the three months ended June 30, 2025, compared to $43.7 million for the three months ended June 30, 2024. The increase of $9.0 million, or 20.6%, was primarily driven by an increase in billed clients and new customer enrollments, the addition of new integrated partners, acquisition of the Letus business, and growth in interest income due to higher balances of permissible investments offset by reduction in interest rates.</w:t>
      </w:r>
    </w:p>
    <w:p>
      <w:pPr>
        <w:spacing w:after="0" w:line="11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Revenue from our Enterprise Payments segment was $102.7 million for the six months ended June 30, 2025, compared to $84.7 million for the six months ended June 30, 2024. The increase of $18.1 million, or 21.4%, was primarily driven by an increase in billed clients and new customer enrollments, the addition of new integrated partners, acquisition of the Letus business, and growth in interest income due to higher balances of permissible investments offset by reduction in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$45.6 million for the three months ended June 30, 2025, compared to $37.2 million for the three months ended June 30, 2024. The increase of $8.3 million, or 22.3%, was primarily driven by increases in revenues.</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$88.0 million for the six months ended June 30, 2025, compared to $72.0 million for the six months ended June 30, 2024. The increase of $16.0 million, or 22.3%, was primarily driven by increases in revenues.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540" w:type="dxa"/>
            <w:vAlign w:val="bottom"/>
            <w:tcBorders>
              <w:bottom w:val="single" w:sz="8" w:color="auto"/>
            </w:tcBorders>
            <w:gridSpan w:val="8"/>
            <w:shd w:val="clear" w:color="auto" w:fill="CCEEFF"/>
          </w:tcPr>
          <w:p>
            <w:pPr>
              <w:ind w:left="82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20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45,558</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(21,027)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2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0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21,121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1,634</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40,341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(47,794)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20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0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540" w:type="dxa"/>
            <w:vAlign w:val="bottom"/>
            <w:tcBorders>
              <w:bottom w:val="single" w:sz="8" w:color="auto"/>
            </w:tcBorders>
            <w:gridSpan w:val="8"/>
            <w:shd w:val="clear" w:color="auto" w:fill="CCEEFF"/>
          </w:tcPr>
          <w:p>
            <w:pPr>
              <w:ind w:left="82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20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20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20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20,052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(1,081)</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(48,587)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2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0" w:type="dxa"/>
            <w:vAlign w:val="bottom"/>
            <w:vMerge w:val="restart"/>
          </w:tcPr>
          <w:p>
            <w:pPr>
              <w:jc w:val="right"/>
              <w:ind w:right="1740"/>
              <w:spacing w:after="0"/>
              <w:rPr>
                <w:sz w:val="20"/>
                <w:szCs w:val="20"/>
                <w:color w:val="auto"/>
              </w:rPr>
            </w:pPr>
            <w:r>
              <w:rPr>
                <w:rFonts w:ascii="Times New Roman" w:cs="Times New Roman" w:eastAsia="Times New Roman" w:hAnsi="Times New Roman"/>
                <w:sz w:val="12"/>
                <w:szCs w:val="12"/>
                <w:color w:val="auto"/>
              </w:rPr>
              <w:t>35</w:t>
            </w: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9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3"/>
        </w:trPr>
        <w:tc>
          <w:tcPr>
            <w:tcW w:w="49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6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8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88,001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107,344</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(46,230)</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(27,870)</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(4,792)</w:t>
            </w:r>
          </w:p>
        </w:tc>
      </w:tr>
      <w:tr>
        <w:trPr>
          <w:trHeight w:val="14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40,197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2,799</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78,110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(95,286)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25,820</w:t>
            </w: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(6,673)</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19,147</w:t>
            </w: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3"/>
        </w:trPr>
        <w:tc>
          <w:tcPr>
            <w:tcW w:w="49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6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8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r>
      <w:tr>
        <w:trPr>
          <w:trHeight w:val="142"/>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2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6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(30,976)</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(40,376)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(42,590)</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w:t>
            </w:r>
          </w:p>
        </w:tc>
      </w:tr>
      <w:tr>
        <w:trPr>
          <w:trHeight w:val="14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36,485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(1,896)</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63,780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(87,085)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11,284</w:t>
            </w: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(5,097)</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6,187</w:t>
            </w: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58"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2024. There have been no material changes to these critical accounting policies and estimates as of June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15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2"/>
          <w:szCs w:val="12"/>
          <w:color w:val="auto"/>
        </w:rPr>
        <w:t>Our working capital, defined as current assets less current liabilities, was $76.7 million at June 30, 2025 and $23.6 million at June 30, 2024. As of June 30, 2025, we had cash totaling $50.6 million compared to $34.6 million at June 30, 2024. These cash balances do not include restricted cash of $14.2 million and $12.6 million at June 30, 2025 and June 30, 2024, respectively, which reflects cash accounts holding customer settlement funds and cash reserves for</w:t>
      </w:r>
    </w:p>
    <w:p>
      <w:pPr>
        <w:spacing w:after="0" w:line="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potential losses. The current portion of long-term debt included in current liabilities was $4.3 million and $8.4 million at June 30, 2025 and June 30, 2024, respectively. At June 30, 2025, we had availability of approximately $70.0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six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40" w:type="dxa"/>
            <w:vAlign w:val="bottom"/>
            <w:tcBorders>
              <w:bottom w:val="single" w:sz="8" w:color="auto"/>
            </w:tcBorders>
          </w:tcPr>
          <w:p>
            <w:pPr>
              <w:spacing w:after="0"/>
              <w:rPr>
                <w:sz w:val="24"/>
                <w:szCs w:val="24"/>
                <w:color w:val="auto"/>
              </w:rPr>
            </w:pPr>
          </w:p>
        </w:tc>
      </w:tr>
      <w:tr>
        <w:trPr>
          <w:trHeight w:val="142"/>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27,080</w:t>
            </w:r>
          </w:p>
        </w:tc>
        <w:tc>
          <w:tcPr>
            <w:tcW w:w="80" w:type="dxa"/>
            <w:vAlign w:val="bottom"/>
          </w:tcPr>
          <w:p>
            <w:pPr>
              <w:spacing w:after="0"/>
              <w:rPr>
                <w:sz w:val="13"/>
                <w:szCs w:val="13"/>
                <w:color w:val="auto"/>
              </w:rPr>
            </w:pPr>
          </w:p>
        </w:tc>
        <w:tc>
          <w:tcPr>
            <w:tcW w:w="7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42,007</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2"/>
                <w:szCs w:val="12"/>
                <w:color w:val="auto"/>
              </w:rPr>
              <w:t>(20,598)</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178,091</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540"/>
              <w:spacing w:after="0"/>
              <w:rPr>
                <w:sz w:val="20"/>
                <w:szCs w:val="20"/>
                <w:color w:val="auto"/>
              </w:rPr>
            </w:pPr>
            <w:r>
              <w:rPr>
                <w:rFonts w:ascii="Times New Roman" w:cs="Times New Roman" w:eastAsia="Times New Roman" w:hAnsi="Times New Roman"/>
                <w:sz w:val="12"/>
                <w:szCs w:val="12"/>
                <w:color w:val="auto"/>
                <w:w w:val="96"/>
              </w:rPr>
              <w:t>18,149</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184,026</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2"/>
                <w:szCs w:val="12"/>
                <w:color w:val="auto"/>
                <w:w w:val="96"/>
              </w:rPr>
              <w:t>39,558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$27.1 million for the six months ended June 30, 2025 compared to $42.0 million for the six months ended June 30, 2024. The $14.9 million decrease was primarily driven by a decrease in interest expense and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Net cash used in investing activities was $21.1 million and $20.6 million for the six months ended June 30, 2025 and 2024, respectively. For the six months ended June 30, 2025, investing activities included additions to property, equipment and software of $13.0 million, $1.4 million related to net funding of new loans to ISOs, $4.5 million related to the acquisition of a business and $2.3 million investments in unconsolidated entities. For the six months ended June 30, 2024, net cash used in investing activities included additions to property, equipment and software of $11.7 million, $1.4 million related funding of new loans to ISOs and $7.5 million related to the acquisition of intangible assets and an investment in an unconsolidated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Net cash provided by financing activities was $178.1 million for the six months ended June 30, 2025, compared to $18.1 million of cash used in financing activities for the six months ended June 30, 2024. The net cash provided by financing activities for the six months ended June 30, 2025 included changes in the net obligations for funds held on the behalf of customers of $190.9 million and proceeds from the exercise of stock options of $0.3 million offset by $10.0 million of cash used for the unscheduled repayment of the term loan principal, $2.3 million of cash used to purchase shares withheld for taxes and $0.8 million for payments of deferred consideration. The net cash provided by financing activities for the six months ended June 30, 2024 included changes in the net obligations for funds held on the behalf of customers of $40.9 million, and borrowings under the 2024 Credit Agreement net of issue discounts of $830.2 million, offset by $661.9 million of cash used for the repayment of the principal of the 2021 Credit Agreement and debt issuance and modification costs related to the refinancing, $167.8 million related to the redemption of senior preferred stock and accumulated unpaid dividend, $2.1 million for the redemption of redeemable NCI in subsidiary, $16.4 million of cash dividends paid to redeemable senior preferred stockholders, $0.6 million of cash used for shares withheld for taxes and $4.2 million of payments of contingent/deferred consideration.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2025, we had outstanding debt obligations, including the current portion and net of unamortized debt discount of $935.5 million, compared to $945.5 million at December 31, 2024, resulting in a decrease of</w:t>
      </w:r>
    </w:p>
    <w:p>
      <w:pPr>
        <w:spacing w:after="0" w:line="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$10.0 million . The decrease is related to an unscheduled principal payment. The debt balance at June 30, 2025 consisted of $935.5 million outstanding under the term facility offset by $14.3 million of unamortized debt discounts and issuance costs. Minimum amortization of the term facility are equal quarterly installments in aggregate annual amounts equal to 1.0% of the original principal, with the balance paid upon maturity. The term facility matures on May 16, 2031 and the revolving credit facility matures on May 16, 2029.</w:t>
      </w:r>
    </w:p>
    <w:p>
      <w:pPr>
        <w:spacing w:after="0" w:line="1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June 30, 2025, the Company was in compliance with the covenants in the 2024 Credit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2"/>
          <w:szCs w:val="12"/>
          <w:u w:val="single" w:color="auto"/>
          <w:color w:val="0000FF"/>
        </w:rPr>
        <w:t>Note 1, Basis of Presentation and Significant Accounting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02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June 30, 2025. Based on that evaluation, the Company's CEO and CFO concluded that the Company's disclosure controls and procedures were not effective as of June 30, 2025 because of a material weakness within our internal controls over financial reporting, as described below.</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Notwithstanding that conclusion, based on review, analysis and inquiries conducted subsequent to June 30, 2025, management believes that the consolidated financial statements and related financial information included in this Form 10-Q fairly present in all material respects the Company’s financial condition, results of operations and cash flows as of the dates presented, and for the periods ended on such dates, in conformity with GAAP.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Previously Disclosed Material Weakness</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our Annual Report on Form 10-K for the year ended December 31, 2024, we identified a material weakness related to the design and operation of certain automated controls (including related information technology general controls) for certain tools or applications involved in the transformation and ingestion of third-party processors’ data in the Company’s control environment. The Company began implementing a remediation plan to address this material weakness.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a reasonable possibility exists that a material misstatement of annual or interim financial statements would not be prevented or detected on a timely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Other than described above, there were no changes in the Company's internal control over financial reporting during the three and six months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June 30,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April 1-30, 2025</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May 1-31,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June 1-30,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80" w:type="dxa"/>
            <w:vAlign w:val="bottom"/>
            <w:shd w:val="clear" w:color="auto" w:fill="CCEEFF"/>
          </w:tcPr>
          <w:p>
            <w:pPr>
              <w:spacing w:after="0"/>
              <w:rPr>
                <w:sz w:val="13"/>
                <w:szCs w:val="13"/>
                <w:color w:val="auto"/>
              </w:rPr>
            </w:pP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118,146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hanging="212"/>
        <w:spacing w:after="0" w:line="222" w:lineRule="auto"/>
        <w:tabs>
          <w:tab w:leader="none" w:pos="412"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16, 2023,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August 31, 2026</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10.3.2 </w:t>
            </w:r>
            <w:r>
              <w:rPr>
                <w:rFonts w:ascii="Times New Roman" w:cs="Times New Roman" w:eastAsia="Times New Roman" w:hAnsi="Times New Roman"/>
                <w:sz w:val="12"/>
                <w:szCs w:val="12"/>
                <w:color w:val="000000"/>
              </w:rPr>
              <w:t>*</w:t>
            </w:r>
          </w:p>
        </w:tc>
        <w:tc>
          <w:tcPr>
            <w:tcW w:w="80" w:type="dxa"/>
            <w:vAlign w:val="bottom"/>
          </w:tcPr>
          <w:p>
            <w:pPr>
              <w:spacing w:after="0"/>
              <w:rPr>
                <w:sz w:val="13"/>
                <w:szCs w:val="13"/>
                <w:color w:val="auto"/>
              </w:rPr>
            </w:pPr>
          </w:p>
        </w:tc>
        <w:tc>
          <w:tcPr>
            <w:tcW w:w="616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Amendment No. 2 to Priority Technology Holdings, Inc. 2021 Employee Stock Purchase Plan</w:t>
            </w: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17"/>
        </w:trPr>
        <w:tc>
          <w:tcPr>
            <w:tcW w:w="1180" w:type="dxa"/>
            <w:vAlign w:val="bottom"/>
            <w:gridSpan w:val="2"/>
            <w:shd w:val="clear" w:color="auto" w:fill="CCEEFF"/>
          </w:tcPr>
          <w:p>
            <w:pPr>
              <w:spacing w:after="0" w:line="117"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10.6</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10.7</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10.17</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Form Restricted Stock Unit Award Agreement.</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3"/>
        </w:trPr>
        <w:tc>
          <w:tcPr>
            <w:tcW w:w="1180" w:type="dxa"/>
            <w:vAlign w:val="bottom"/>
            <w:gridSpan w:val="2"/>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6160" w:type="dxa"/>
            <w:vAlign w:val="bottom"/>
            <w:gridSpan w:val="8"/>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10.19</w:t>
              </w:r>
            </w:hyperlink>
          </w:p>
        </w:tc>
        <w:tc>
          <w:tcPr>
            <w:tcW w:w="80" w:type="dxa"/>
            <w:vAlign w:val="bottom"/>
            <w:shd w:val="clear" w:color="auto" w:fill="CCEEFF"/>
          </w:tcPr>
          <w:p>
            <w:pPr>
              <w:spacing w:after="0"/>
              <w:rPr>
                <w:sz w:val="13"/>
                <w:szCs w:val="13"/>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Priority Technology Holdings, Inc. Recoupment Policy adopted March 1, 2023</w:t>
              </w:r>
            </w:hyperlink>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5"/>
        </w:trPr>
        <w:tc>
          <w:tcPr>
            <w:tcW w:w="1100" w:type="dxa"/>
            <w:vAlign w:val="bottom"/>
          </w:tcPr>
          <w:p>
            <w:pPr>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10.20</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808"/>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10.24</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Rule 10b5-1 Sales Plan, dated March 11, 2025, by and between Sean Kiewiet and J.P. Morgan Securities LLC.</w:t>
            </w:r>
          </w:p>
        </w:tc>
      </w:tr>
      <w:tr>
        <w:trPr>
          <w:trHeight w:val="117"/>
        </w:trPr>
        <w:tc>
          <w:tcPr>
            <w:tcW w:w="860" w:type="dxa"/>
            <w:vAlign w:val="bottom"/>
          </w:tcPr>
          <w:p>
            <w:pPr>
              <w:spacing w:after="0" w:line="117"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10.25</w:t>
              </w:r>
            </w:hyperlink>
          </w:p>
        </w:tc>
        <w:tc>
          <w:tcPr>
            <w:tcW w:w="10440" w:type="dxa"/>
            <w:vAlign w:val="bottom"/>
          </w:tcPr>
          <w:p>
            <w:pPr>
              <w:ind w:left="320"/>
              <w:spacing w:after="0" w:line="117"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58"/>
        </w:trPr>
        <w:tc>
          <w:tcPr>
            <w:tcW w:w="860" w:type="dxa"/>
            <w:vAlign w:val="bottom"/>
          </w:tcPr>
          <w:p>
            <w:pPr>
              <w:spacing w:after="0"/>
              <w:rPr>
                <w:sz w:val="13"/>
                <w:szCs w:val="13"/>
                <w:color w:val="auto"/>
              </w:rPr>
            </w:pPr>
          </w:p>
        </w:tc>
        <w:tc>
          <w:tcPr>
            <w:tcW w:w="10440" w:type="dxa"/>
            <w:vAlign w:val="bottom"/>
          </w:tcPr>
          <w:p>
            <w:pPr>
              <w:ind w:left="320"/>
              <w:spacing w:after="0"/>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Administrative Agent and Collateral Agent.</w:t>
              </w:r>
            </w:hyperlink>
          </w:p>
        </w:tc>
      </w:tr>
      <w:tr>
        <w:trPr>
          <w:trHeight w:val="121"/>
        </w:trPr>
        <w:tc>
          <w:tcPr>
            <w:tcW w:w="860" w:type="dxa"/>
            <w:vAlign w:val="bottom"/>
            <w:shd w:val="clear" w:color="auto" w:fill="CCEEFF"/>
          </w:tcPr>
          <w:p>
            <w:pPr>
              <w:spacing w:after="0" w:line="121"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10.26</w:t>
              </w:r>
            </w:hyperlink>
          </w:p>
        </w:tc>
        <w:tc>
          <w:tcPr>
            <w:tcW w:w="10440" w:type="dxa"/>
            <w:vAlign w:val="bottom"/>
            <w:shd w:val="clear" w:color="auto" w:fill="CCEEFF"/>
          </w:tcPr>
          <w:p>
            <w:pPr>
              <w:ind w:left="320"/>
              <w:spacing w:after="0" w:line="121"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Amendment No. 1 to the Credit and Guaranty Agreement, dated as of November 21, 2024, by and among Priority Holdings, LLC, as the Initial Borrower, the Credit Parties party thereto, the 2024-1 Incremental</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Term Lenders and Truist Bank, as 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10.27</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Share Purchase Agreement by and between Ayrshire Developments Corp., Priority Canada Acquisition Company, Inc., and Priority Technology Holdings, Inc., dated January 21, 2025.</w:t>
            </w:r>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10.28</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Amendment No. 2 to the Credit and Guaranty Agreement, dated as of July 31, 2025, by and among Priority Holdings, LLC, as the Borrower Representative, the Credit Parties party thereto, each of the Lenders</w:t>
              </w:r>
            </w:hyperlink>
          </w:p>
        </w:tc>
      </w:tr>
      <w:tr>
        <w:trPr>
          <w:trHeight w:val="124"/>
        </w:trPr>
        <w:tc>
          <w:tcPr>
            <w:tcW w:w="860" w:type="dxa"/>
            <w:vAlign w:val="bottom"/>
            <w:shd w:val="clear" w:color="auto" w:fill="CCEEFF"/>
          </w:tcPr>
          <w:p>
            <w:pPr>
              <w:spacing w:after="0"/>
              <w:rPr>
                <w:sz w:val="10"/>
                <w:szCs w:val="10"/>
                <w:color w:val="auto"/>
              </w:rPr>
            </w:pPr>
          </w:p>
        </w:tc>
        <w:tc>
          <w:tcPr>
            <w:tcW w:w="10440" w:type="dxa"/>
            <w:vAlign w:val="bottom"/>
            <w:shd w:val="clear" w:color="auto" w:fill="CCEEFF"/>
          </w:tcPr>
          <w:p>
            <w:pPr>
              <w:ind w:left="320"/>
              <w:spacing w:after="0" w:line="124" w:lineRule="exact"/>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party thereto, each 2025-1 Converting Lender party thereto, each 2025-1 Incremental Revolving Credit Lender party thereto, each New 2025-1 Refinancing Term Lender party thereto and Truist Bank, as</w:t>
              </w:r>
            </w:hyperlink>
          </w:p>
        </w:tc>
      </w:tr>
      <w:tr>
        <w:trPr>
          <w:trHeight w:val="155"/>
        </w:trPr>
        <w:tc>
          <w:tcPr>
            <w:tcW w:w="860" w:type="dxa"/>
            <w:vAlign w:val="bottom"/>
            <w:shd w:val="clear" w:color="auto" w:fill="CCEEFF"/>
          </w:tcPr>
          <w:p>
            <w:pPr>
              <w:spacing w:after="0"/>
              <w:rPr>
                <w:sz w:val="13"/>
                <w:szCs w:val="13"/>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administrative agent and collateral agent, as the Designated 2025 Fronting Lender and as the 2025-1 Incremental Term Lender.</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21.1</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Subsidiaries</w:t>
              </w:r>
            </w:hyperlink>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32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39"/>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3028"/>
        <w:spacing w:after="0"/>
        <w:rPr>
          <w:rFonts w:ascii="Arial" w:cs="Arial" w:eastAsia="Arial" w:hAnsi="Arial"/>
          <w:sz w:val="12"/>
          <w:szCs w:val="12"/>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8" w:right="299" w:bottom="1440" w:gutter="0" w:footer="0" w:header="0"/>
        </w:sectPr>
      </w:pPr>
    </w:p>
    <w:bookmarkStart w:id="45" w:name="page46"/>
    <w:bookmarkEnd w:id="45"/>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5460" w:type="dxa"/>
            <w:vAlign w:val="bottom"/>
            <w:gridSpan w:val="4"/>
          </w:tcPr>
          <w:p>
            <w:pPr>
              <w:ind w:left="206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August 7, 2025</w:t>
            </w:r>
          </w:p>
        </w:tc>
        <w:tc>
          <w:tcPr>
            <w:tcW w:w="310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7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7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7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August 7, 2025</w:t>
            </w:r>
          </w:p>
        </w:tc>
        <w:tc>
          <w:tcPr>
            <w:tcW w:w="310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93"/>
        </w:trPr>
        <w:tc>
          <w:tcPr>
            <w:tcW w:w="27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20" w:type="dxa"/>
            <w:vAlign w:val="bottom"/>
            <w:tcBorders>
              <w:top w:val="single" w:sz="8" w:color="auto"/>
            </w:tcBorders>
            <w:gridSpan w:val="2"/>
          </w:tcPr>
          <w:p>
            <w:pPr>
              <w:spacing w:after="0" w:line="93" w:lineRule="exact"/>
              <w:rPr>
                <w:sz w:val="20"/>
                <w:szCs w:val="20"/>
                <w:color w:val="auto"/>
              </w:rPr>
            </w:pPr>
            <w:r>
              <w:rPr>
                <w:rFonts w:ascii="Times New Roman" w:cs="Times New Roman" w:eastAsia="Times New Roman" w:hAnsi="Times New Roman"/>
                <w:sz w:val="10"/>
                <w:szCs w:val="10"/>
                <w:color w:val="auto"/>
              </w:rPr>
              <w:t>Timothy M. O'Leary</w:t>
            </w:r>
          </w:p>
        </w:tc>
        <w:tc>
          <w:tcPr>
            <w:tcW w:w="1240" w:type="dxa"/>
            <w:vAlign w:val="bottom"/>
          </w:tcPr>
          <w:p>
            <w:pPr>
              <w:spacing w:after="0"/>
              <w:rPr>
                <w:sz w:val="8"/>
                <w:szCs w:val="8"/>
                <w:color w:val="auto"/>
              </w:rPr>
            </w:pPr>
          </w:p>
        </w:tc>
      </w:tr>
      <w:tr>
        <w:trPr>
          <w:trHeight w:val="121"/>
        </w:trPr>
        <w:tc>
          <w:tcPr>
            <w:tcW w:w="27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27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1331" w:right="1440"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222" w:lineRule="exact"/>
        <w:rPr>
          <w:sz w:val="20"/>
          <w:szCs w:val="20"/>
          <w:color w:val="auto"/>
        </w:rPr>
      </w:pPr>
    </w:p>
    <w:p>
      <w:pPr>
        <w:ind w:left="208" w:hanging="208"/>
        <w:spacing w:after="0"/>
        <w:tabs>
          <w:tab w:leader="none" w:pos="2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13" w:lineRule="exact"/>
        <w:rPr>
          <w:rFonts w:ascii="Times New Roman" w:cs="Times New Roman" w:eastAsia="Times New Roman" w:hAnsi="Times New Roman"/>
          <w:sz w:val="12"/>
          <w:szCs w:val="12"/>
          <w:color w:val="auto"/>
        </w:rPr>
      </w:pPr>
    </w:p>
    <w:p>
      <w:pPr>
        <w:ind w:left="208" w:right="200" w:hanging="208"/>
        <w:spacing w:after="0" w:line="373" w:lineRule="auto"/>
        <w:tabs>
          <w:tab w:leader="none" w:pos="2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373" w:lineRule="auto"/>
        <w:tabs>
          <w:tab w:leader="none" w:pos="2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2"/>
          <w:szCs w:val="12"/>
          <w:color w:val="auto"/>
        </w:rPr>
      </w:pPr>
    </w:p>
    <w:p>
      <w:pPr>
        <w:ind w:left="208" w:right="220" w:hanging="208"/>
        <w:spacing w:after="0" w:line="373" w:lineRule="auto"/>
        <w:tabs>
          <w:tab w:leader="none" w:pos="2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648" w:right="440" w:hanging="216"/>
        <w:spacing w:after="0" w:line="336" w:lineRule="auto"/>
        <w:tabs>
          <w:tab w:leader="none" w:pos="646"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36" w:lineRule="auto"/>
        <w:tabs>
          <w:tab w:leader="none" w:pos="644"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336" w:lineRule="auto"/>
        <w:tabs>
          <w:tab w:leader="none" w:pos="646"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358" w:lineRule="auto"/>
        <w:tabs>
          <w:tab w:leader="none" w:pos="644"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2"/>
          <w:szCs w:val="12"/>
          <w:color w:val="auto"/>
        </w:rPr>
      </w:pPr>
    </w:p>
    <w:p>
      <w:pPr>
        <w:ind w:left="208" w:right="40" w:hanging="208"/>
        <w:spacing w:after="0" w:line="358" w:lineRule="auto"/>
        <w:tabs>
          <w:tab w:leader="none" w:pos="2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08"/>
          </w:cols>
          <w:pgMar w:left="292" w:top="156"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right="40" w:hanging="216"/>
        <w:spacing w:after="0" w:line="336" w:lineRule="auto"/>
        <w:tabs>
          <w:tab w:leader="none" w:pos="21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20" w:hanging="216"/>
        <w:spacing w:after="0"/>
        <w:tabs>
          <w:tab w:leader="none" w:pos="2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August 7, 2025</w:t>
            </w:r>
          </w:p>
        </w:tc>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162"/>
        </w:trPr>
        <w:tc>
          <w:tcPr>
            <w:tcW w:w="3440" w:type="dxa"/>
            <w:vAlign w:val="bottom"/>
          </w:tcPr>
          <w:p>
            <w:pPr>
              <w:spacing w:after="0"/>
              <w:rPr>
                <w:sz w:val="14"/>
                <w:szCs w:val="1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Thomas C. Priore</w:t>
            </w:r>
          </w:p>
        </w:tc>
      </w:tr>
      <w:tr>
        <w:trPr>
          <w:trHeight w:val="207"/>
        </w:trPr>
        <w:tc>
          <w:tcPr>
            <w:tcW w:w="3440" w:type="dxa"/>
            <w:vAlign w:val="bottom"/>
          </w:tcPr>
          <w:p>
            <w:pPr>
              <w:spacing w:after="0"/>
              <w:rPr>
                <w:sz w:val="18"/>
                <w:szCs w:val="18"/>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tc>
      </w:tr>
      <w:tr>
        <w:trPr>
          <w:trHeight w:val="207"/>
        </w:trPr>
        <w:tc>
          <w:tcPr>
            <w:tcW w:w="3440" w:type="dxa"/>
            <w:vAlign w:val="bottom"/>
          </w:tcPr>
          <w:p>
            <w:pPr>
              <w:spacing w:after="0"/>
              <w:rPr>
                <w:sz w:val="18"/>
                <w:szCs w:val="18"/>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r>
    </w:tbl>
    <w:p>
      <w:pPr>
        <w:sectPr>
          <w:pgSz w:w="11900" w:h="16838" w:orient="portrait"/>
          <w:cols w:equalWidth="0" w:num="1">
            <w:col w:w="10880"/>
          </w:cols>
          <w:pgMar w:left="720" w:top="156" w:right="2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3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222" w:lineRule="exact"/>
        <w:rPr>
          <w:sz w:val="20"/>
          <w:szCs w:val="20"/>
          <w:color w:val="auto"/>
        </w:rPr>
      </w:pPr>
    </w:p>
    <w:p>
      <w:pPr>
        <w:ind w:left="208" w:hanging="208"/>
        <w:spacing w:after="0"/>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13" w:lineRule="exact"/>
        <w:rPr>
          <w:rFonts w:ascii="Times New Roman" w:cs="Times New Roman" w:eastAsia="Times New Roman" w:hAnsi="Times New Roman"/>
          <w:sz w:val="12"/>
          <w:szCs w:val="12"/>
          <w:color w:val="auto"/>
        </w:rPr>
      </w:pPr>
    </w:p>
    <w:p>
      <w:pPr>
        <w:ind w:left="208" w:right="200" w:hanging="208"/>
        <w:spacing w:after="0" w:line="373"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373"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2"/>
          <w:szCs w:val="12"/>
          <w:color w:val="auto"/>
        </w:rPr>
      </w:pPr>
    </w:p>
    <w:p>
      <w:pPr>
        <w:ind w:left="208" w:right="220" w:hanging="208"/>
        <w:spacing w:after="0" w:line="373" w:lineRule="auto"/>
        <w:tabs>
          <w:tab w:leader="none" w:pos="2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648" w:right="440" w:hanging="216"/>
        <w:spacing w:after="0" w:line="336" w:lineRule="auto"/>
        <w:tabs>
          <w:tab w:leader="none" w:pos="64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36" w:lineRule="auto"/>
        <w:tabs>
          <w:tab w:leader="none" w:pos="644"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336" w:lineRule="auto"/>
        <w:tabs>
          <w:tab w:leader="none" w:pos="646"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358" w:lineRule="auto"/>
        <w:tabs>
          <w:tab w:leader="none" w:pos="644"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156" w:right="2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8" w:right="40" w:hanging="208"/>
        <w:spacing w:after="0" w:line="358" w:lineRule="auto"/>
        <w:tabs>
          <w:tab w:leader="none" w:pos="2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2"/>
          <w:szCs w:val="12"/>
          <w:color w:val="auto"/>
        </w:rPr>
      </w:pPr>
    </w:p>
    <w:p>
      <w:pPr>
        <w:ind w:left="648" w:right="40" w:hanging="216"/>
        <w:spacing w:after="0" w:line="336" w:lineRule="auto"/>
        <w:tabs>
          <w:tab w:leader="none" w:pos="646"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tbl>
      <w:tblPr>
        <w:tblLayout w:type="fixed"/>
        <w:tblInd w:w="48" w:type="dxa"/>
        <w:tblCellMar>
          <w:top w:w="0" w:type="dxa"/>
          <w:left w:w="0" w:type="dxa"/>
          <w:bottom w:w="0" w:type="dxa"/>
          <w:right w:w="0" w:type="dxa"/>
        </w:tblCellMar>
      </w:tblP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August 7, 2025</w:t>
            </w: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TIMOTHY M. O’LEARY</w:t>
            </w:r>
          </w:p>
        </w:tc>
      </w:tr>
      <w:tr>
        <w:trPr>
          <w:trHeight w:val="162"/>
        </w:trPr>
        <w:tc>
          <w:tcPr>
            <w:tcW w:w="62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Timothy M. O’Leary</w:t>
            </w:r>
          </w:p>
        </w:tc>
      </w:tr>
      <w:tr>
        <w:trPr>
          <w:trHeight w:val="198"/>
        </w:trPr>
        <w:tc>
          <w:tcPr>
            <w:tcW w:w="6260" w:type="dxa"/>
            <w:vAlign w:val="bottom"/>
          </w:tcPr>
          <w:p>
            <w:pPr>
              <w:spacing w:after="0"/>
              <w:rPr>
                <w:sz w:val="17"/>
                <w:szCs w:val="17"/>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r>
        <w:trPr>
          <w:trHeight w:val="207"/>
        </w:trPr>
        <w:tc>
          <w:tcPr>
            <w:tcW w:w="62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bl>
    <w:p>
      <w:pPr>
        <w:sectPr>
          <w:pgSz w:w="11900" w:h="16838" w:orient="portrait"/>
          <w:cols w:equalWidth="0" w:num="1">
            <w:col w:w="11308"/>
          </w:cols>
          <w:pgMar w:left="292" w:top="156" w:right="2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379" w:lineRule="exact"/>
        <w:rPr>
          <w:sz w:val="20"/>
          <w:szCs w:val="20"/>
          <w:color w:val="auto"/>
        </w:rPr>
      </w:pPr>
    </w:p>
    <w:p>
      <w:pPr>
        <w:spacing w:after="0" w:line="373"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June 30, 2025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0" w:lineRule="exact"/>
        <w:rPr>
          <w:sz w:val="20"/>
          <w:szCs w:val="20"/>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6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ectPr>
          <w:pgSz w:w="11900" w:h="16838" w:orient="portrait"/>
          <w:cols w:equalWidth="0" w:num="1">
            <w:col w:w="11300"/>
          </w:cols>
          <w:pgMar w:left="300" w:top="156" w:right="299" w:bottom="1440" w:gutter="0" w:footer="0" w:header="0"/>
        </w:sect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7, 2025</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27940</wp:posOffset>
            </wp:positionV>
            <wp:extent cx="4223385"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ectPr>
          <w:pgSz w:w="11900" w:h="16838" w:orient="portrait"/>
          <w:cols w:equalWidth="0" w:num="2">
            <w:col w:w="3960" w:space="720"/>
            <w:col w:w="6620"/>
          </w:cols>
          <w:pgMar w:left="300" w:top="156" w:right="299"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5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lvl w:ilvl="1">
      <w:lvlJc w:val="left"/>
      <w:lvlText w:val="(%2)"/>
      <w:numFmt w:val="decimal"/>
      <w:start w:val="1"/>
    </w:lvl>
  </w:abstractNum>
  <w:abstractNum w:abstractNumId="10">
    <w:nsid w:val="71F32454"/>
    <w:multiLevelType w:val="hybridMultilevel"/>
    <w:lvl w:ilvl="0">
      <w:lvlJc w:val="left"/>
      <w:lvlText w:val="%1."/>
      <w:numFmt w:val="decimal"/>
      <w:start w:val="5"/>
    </w:lvl>
    <w:lvl w:ilvl="1">
      <w:lvlJc w:val="left"/>
      <w:lvlText w:val="%2"/>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1."/>
      <w:numFmt w:val="decimal"/>
      <w:start w:val="10"/>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5"/>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lvl w:ilvl="1">
      <w:lvlJc w:val="left"/>
      <w:lvlText w:val="(%2)"/>
      <w:numFmt w:val="decimal"/>
      <w:start w:val="1"/>
    </w:lvl>
  </w:abstractNum>
  <w:abstractNum w:abstractNumId="35">
    <w:nsid w:val="2D517796"/>
    <w:multiLevelType w:val="hybridMultilevel"/>
    <w:lvl w:ilvl="0">
      <w:lvlJc w:val="left"/>
      <w:lvlText w:val="%1."/>
      <w:numFmt w:val="decimal"/>
      <w:start w:val="17"/>
    </w:lvl>
    <w:lvl w:ilvl="1">
      <w:lvlJc w:val="left"/>
      <w:lvlText w:val="%2"/>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lowerLetter"/>
      <w:start w:val="5"/>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5"/>
    </w:lvl>
    <w:lvl w:ilvl="1">
      <w:lvlJc w:val="left"/>
      <w:lvlText w:val="(%2)"/>
      <w:numFmt w:val="lowerLetter"/>
      <w:start w:val="5"/>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01" Type="http://schemas.openxmlformats.org/officeDocument/2006/relationships/hyperlink" Target="https://www.sec.gov/Archives/edgar/data/1653558/000161577418006226/s111183_defm14a.htm" TargetMode="External"/><Relationship Id="rId102" Type="http://schemas.openxmlformats.org/officeDocument/2006/relationships/hyperlink" Target="https://www.sec.gov/Archives/edgar/data/1653558/000165355821000031/projectwarriorfinxera-merg.htm" TargetMode="External"/><Relationship Id="rId103" Type="http://schemas.openxmlformats.org/officeDocument/2006/relationships/hyperlink" Target="https://www.sec.gov/Archives/edgar/data/1653558/000165355821000060/annex1certificateofamendme.htm" TargetMode="External"/><Relationship Id="rId104" Type="http://schemas.openxmlformats.org/officeDocument/2006/relationships/hyperlink" Target="https://www.sec.gov/Archives/edgar/data/0001653558/000165355821000031/projectwarriorfinxera-merg.htm" TargetMode="External"/><Relationship Id="rId105" Type="http://schemas.openxmlformats.org/officeDocument/2006/relationships/hyperlink" Target="https://www.sec.gov/Archives/edgar/data/1653558/000161577418007231/s111606_ex3-1.htm" TargetMode="External"/><Relationship Id="rId106" Type="http://schemas.openxmlformats.org/officeDocument/2006/relationships/hyperlink" Target="https://www.sec.gov/Archives/edgar/data/1653558/000161577418007231/s111606_ex3-2.htm" TargetMode="External"/><Relationship Id="rId107" Type="http://schemas.openxmlformats.org/officeDocument/2006/relationships/hyperlink" Target="https://www.sec.gov/Archives/edgar/data/1653558/000161577418007231/s111606_ex10-1.htm" TargetMode="External"/><Relationship Id="rId108" Type="http://schemas.openxmlformats.org/officeDocument/2006/relationships/hyperlink" Target="https://www.sec.gov/Archives/edgar/data/1653558/000161577418007231/s111606_ex10-2.htm" TargetMode="External"/><Relationship Id="rId109" Type="http://schemas.openxmlformats.org/officeDocument/2006/relationships/hyperlink" Target="https://www.sec.gov/Archives/edgar/data/0001653558/000165355821000101/ex1021prioritytechnologyq2.htm" TargetMode="External"/><Relationship Id="rId110" Type="http://schemas.openxmlformats.org/officeDocument/2006/relationships/hyperlink" Target="https://www.sec.gov/Archives/edgar/data/1653558/000165355822000028/prioritytechnology-ex1031x.htm" TargetMode="External"/><Relationship Id="rId111" Type="http://schemas.openxmlformats.org/officeDocument/2006/relationships/hyperlink" Target="https://www.sec.gov/Archives/edgar/data/1653558/000161577418014981/s114881_ex10-6.htm" TargetMode="External"/><Relationship Id="rId112" Type="http://schemas.openxmlformats.org/officeDocument/2006/relationships/hyperlink" Target="https://www.sec.gov/Archives/edgar/data/1653558/000161577418014981/s114881_ex10-7.htm" TargetMode="External"/><Relationship Id="rId113" Type="http://schemas.openxmlformats.org/officeDocument/2006/relationships/hyperlink" Target="http://www.sec.gov/Archives/edgar/data/1653558/000162828019003666/prioritytechnology-ex1019.htm" TargetMode="External"/><Relationship Id="rId114" Type="http://schemas.openxmlformats.org/officeDocument/2006/relationships/hyperlink" Target="https://www.sec.gov/Archives/edgar/data/1653558/000165355820000148/assetpurchaseagreement.htm" TargetMode="External"/><Relationship Id="rId115" Type="http://schemas.openxmlformats.org/officeDocument/2006/relationships/hyperlink" Target="https://www.sec.gov/Archives/edgar/data/1653558/000165355822000094/ex1023formrestrictedstocku.htm" TargetMode="External"/><Relationship Id="rId116" Type="http://schemas.openxmlformats.org/officeDocument/2006/relationships/hyperlink" Target="https://www.sec.gov/Archives/edgar/data/1653558/000165355823000030/prioritytechnology-ex108.htm" TargetMode="External"/><Relationship Id="rId117" Type="http://schemas.openxmlformats.org/officeDocument/2006/relationships/hyperlink" Target="https://www.sec.gov/Archives/edgar/data/1653558/000165355823000056/ex1025priorityrecoupmentcl.htm" TargetMode="External"/><Relationship Id="rId118" Type="http://schemas.openxmlformats.org/officeDocument/2006/relationships/hyperlink" Target="https://www.sec.gov/Archives/edgar/data/1653558/000165355823000087/ex101projectbellamy-amen.htm" TargetMode="External"/><Relationship Id="rId121" Type="http://schemas.openxmlformats.org/officeDocument/2006/relationships/hyperlink" Target="https://www.sec.gov/ix?doc=/Archives/edgar/data/1653558/000165355824000073/prth-20240516.htm" TargetMode="External"/><Relationship Id="rId122" Type="http://schemas.openxmlformats.org/officeDocument/2006/relationships/hyperlink" Target="https://www.sec.gov/ix?doc=/Archives/edgar/data/0001653558/000165355824000153/prth-20241121.htm" TargetMode="External"/><Relationship Id="rId123" Type="http://schemas.openxmlformats.org/officeDocument/2006/relationships/hyperlink" Target="https://www.sec.gov/Archives/edgar/data/1653558/000165355825000091/ex101prthamendmentno2.htm" TargetMode="External"/><Relationship Id="rId124" Type="http://schemas.openxmlformats.org/officeDocument/2006/relationships/hyperlink" Target="https://www.sec.gov/Archives/edgar/data/1653558/000165355825000072/ex211subsidiariesofprio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2025-08-07T07:43:19Z</dcterms:created>
  <dcterms:modified xsi:type="dcterms:W3CDTF">2025-08-07T07:43:19Z</dcterms:modified>
</cp:coreProperties>
</file>