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1" w:lineRule="exact"/>
        <w:rPr>
          <w:sz w:val="24"/>
          <w:szCs w:val="24"/>
          <w:color w:val="auto"/>
        </w:rPr>
      </w:pPr>
    </w:p>
    <w:p>
      <w:pPr>
        <w:ind w:left="4320" w:right="2040" w:hanging="2281"/>
        <w:spacing w:after="0" w:line="484" w:lineRule="auto"/>
        <w:tabs>
          <w:tab w:leader="none" w:pos="2352"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29" w:lineRule="exact"/>
        <w:rPr>
          <w:rFonts w:ascii="MS PGothic" w:cs="MS PGothic" w:eastAsia="MS PGothic" w:hAnsi="MS PGothic"/>
          <w:sz w:val="14"/>
          <w:szCs w:val="14"/>
          <w:color w:val="auto"/>
        </w:rPr>
      </w:pPr>
    </w:p>
    <w:p>
      <w:pPr>
        <w:ind w:left="2140" w:hanging="194"/>
        <w:spacing w:after="0"/>
        <w:tabs>
          <w:tab w:leader="none" w:pos="21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82" w:lineRule="exact"/>
        <w:rPr>
          <w:rFonts w:ascii="MS PGothic" w:cs="MS PGothic" w:eastAsia="MS PGothic" w:hAnsi="MS PGothic"/>
          <w:sz w:val="14"/>
          <w:szCs w:val="14"/>
          <w:color w:val="auto"/>
        </w:rPr>
      </w:pPr>
    </w:p>
    <w:p>
      <w:pPr>
        <w:ind w:left="4020"/>
        <w:spacing w:after="0"/>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For the transition period from ____________ to __________</w:t>
      </w:r>
    </w:p>
    <w:p>
      <w:pPr>
        <w:spacing w:after="0" w:line="217" w:lineRule="exact"/>
        <w:rPr>
          <w:rFonts w:ascii="MS PGothic" w:cs="MS PGothic" w:eastAsia="MS PGothic" w:hAnsi="MS PGothic"/>
          <w:sz w:val="14"/>
          <w:szCs w:val="14"/>
          <w:color w:val="auto"/>
        </w:rPr>
      </w:pPr>
    </w:p>
    <w:p>
      <w:pPr>
        <w:ind w:left="45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u w:val="single" w:color="auto"/>
          <w:color w:val="auto"/>
        </w:rPr>
        <w:t>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2583180</wp:posOffset>
            </wp:positionH>
            <wp:positionV relativeFrom="paragraph">
              <wp:posOffset>43180</wp:posOffset>
            </wp:positionV>
            <wp:extent cx="20008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0885" cy="633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2520" w:type="dxa"/>
        <w:tblCellMar>
          <w:top w:w="0" w:type="dxa"/>
          <w:left w:w="0" w:type="dxa"/>
          <w:bottom w:w="0" w:type="dxa"/>
          <w:right w:w="0" w:type="dxa"/>
        </w:tblCellMar>
      </w:tblPr>
      <w:tr>
        <w:trPr>
          <w:trHeight w:val="186"/>
        </w:trPr>
        <w:tc>
          <w:tcPr>
            <w:tcW w:w="4340" w:type="dxa"/>
            <w:vAlign w:val="bottom"/>
            <w:gridSpan w:val="4"/>
          </w:tcPr>
          <w:p>
            <w:pPr>
              <w:jc w:val="center"/>
              <w:ind w:left="1832"/>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tc>
        <w:tc>
          <w:tcPr>
            <w:tcW w:w="1900" w:type="dxa"/>
            <w:vAlign w:val="bottom"/>
          </w:tcPr>
          <w:p>
            <w:pPr>
              <w:spacing w:after="0"/>
              <w:rPr>
                <w:sz w:val="16"/>
                <w:szCs w:val="16"/>
                <w:color w:val="auto"/>
              </w:rPr>
            </w:pPr>
          </w:p>
        </w:tc>
      </w:tr>
      <w:tr>
        <w:trPr>
          <w:trHeight w:val="340"/>
        </w:trPr>
        <w:tc>
          <w:tcPr>
            <w:tcW w:w="62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76"/>
        </w:trPr>
        <w:tc>
          <w:tcPr>
            <w:tcW w:w="2700" w:type="dxa"/>
            <w:vAlign w:val="bottom"/>
            <w:tcBorders>
              <w:bottom w:val="single" w:sz="8" w:color="auto"/>
            </w:tcBorders>
          </w:tcPr>
          <w:p>
            <w:pPr>
              <w:jc w:val="center"/>
              <w:ind w:left="89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47-4257046</w:t>
            </w:r>
          </w:p>
        </w:tc>
      </w:tr>
      <w:tr>
        <w:trPr>
          <w:trHeight w:val="150"/>
        </w:trPr>
        <w:tc>
          <w:tcPr>
            <w:tcW w:w="2700" w:type="dxa"/>
            <w:vAlign w:val="bottom"/>
          </w:tcPr>
          <w:p>
            <w:pPr>
              <w:jc w:val="center"/>
              <w:ind w:left="892"/>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tcPr>
          <w:p>
            <w:pPr>
              <w:jc w:val="center"/>
              <w:ind w:right="494"/>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5"/>
        </w:trPr>
        <w:tc>
          <w:tcPr>
            <w:tcW w:w="2700" w:type="dxa"/>
            <w:vAlign w:val="bottom"/>
          </w:tcPr>
          <w:p>
            <w:pPr>
              <w:jc w:val="center"/>
              <w:ind w:left="892"/>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00" w:type="dxa"/>
            <w:vAlign w:val="bottom"/>
          </w:tcPr>
          <w:p>
            <w:pPr>
              <w:jc w:val="center"/>
              <w:ind w:right="494"/>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365"/>
        </w:trPr>
        <w:tc>
          <w:tcPr>
            <w:tcW w:w="2700" w:type="dxa"/>
            <w:vAlign w:val="bottom"/>
          </w:tcPr>
          <w:p>
            <w:pPr>
              <w:jc w:val="center"/>
              <w:ind w:left="892"/>
              <w:spacing w:after="0"/>
              <w:rPr>
                <w:sz w:val="20"/>
                <w:szCs w:val="20"/>
                <w:color w:val="auto"/>
              </w:rPr>
            </w:pPr>
            <w:r>
              <w:rPr>
                <w:rFonts w:ascii="Times New Roman" w:cs="Times New Roman" w:eastAsia="Times New Roman" w:hAnsi="Times New Roman"/>
                <w:sz w:val="14"/>
                <w:szCs w:val="14"/>
                <w:b w:val="1"/>
                <w:bCs w:val="1"/>
                <w:color w:val="auto"/>
                <w:w w:val="99"/>
              </w:rPr>
              <w:t>2001 Westside Parkway</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2"/>
        </w:trPr>
        <w:tc>
          <w:tcPr>
            <w:tcW w:w="2700" w:type="dxa"/>
            <w:vAlign w:val="bottom"/>
          </w:tcPr>
          <w:p>
            <w:pPr>
              <w:jc w:val="center"/>
              <w:ind w:left="892"/>
              <w:spacing w:after="0"/>
              <w:rPr>
                <w:sz w:val="20"/>
                <w:szCs w:val="20"/>
                <w:color w:val="auto"/>
              </w:rPr>
            </w:pPr>
            <w:r>
              <w:rPr>
                <w:rFonts w:ascii="Times New Roman" w:cs="Times New Roman" w:eastAsia="Times New Roman" w:hAnsi="Times New Roman"/>
                <w:sz w:val="14"/>
                <w:szCs w:val="14"/>
                <w:b w:val="1"/>
                <w:bCs w:val="1"/>
                <w:color w:val="auto"/>
                <w:w w:val="98"/>
              </w:rPr>
              <w:t>Suite 155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2"/>
        </w:trPr>
        <w:tc>
          <w:tcPr>
            <w:tcW w:w="27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Alpharetta,</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Georgia</w:t>
            </w:r>
          </w:p>
        </w:tc>
        <w:tc>
          <w:tcPr>
            <w:tcW w:w="1900" w:type="dxa"/>
            <w:vAlign w:val="bottom"/>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30004</w:t>
            </w:r>
          </w:p>
        </w:tc>
      </w:tr>
      <w:tr>
        <w:trPr>
          <w:trHeight w:val="188"/>
        </w:trPr>
        <w:tc>
          <w:tcPr>
            <w:tcW w:w="2700" w:type="dxa"/>
            <w:vAlign w:val="bottom"/>
            <w:tcBorders>
              <w:top w:val="single" w:sz="8" w:color="auto"/>
            </w:tcBorders>
          </w:tcPr>
          <w:p>
            <w:pPr>
              <w:jc w:val="center"/>
              <w:ind w:right="172"/>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514"/>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53"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7680" w:type="dxa"/>
            <w:vAlign w:val="bottom"/>
            <w:gridSpan w:val="6"/>
          </w:tcPr>
          <w:p>
            <w:pPr>
              <w:jc w:val="center"/>
              <w:ind w:right="308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(404) 952-2107</w:t>
            </w:r>
          </w:p>
        </w:tc>
      </w:tr>
      <w:tr>
        <w:trPr>
          <w:trHeight w:val="361"/>
        </w:trPr>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80" w:type="dxa"/>
            <w:vAlign w:val="bottom"/>
          </w:tcPr>
          <w:p>
            <w:pPr>
              <w:spacing w:after="0"/>
              <w:rPr>
                <w:sz w:val="24"/>
                <w:szCs w:val="24"/>
                <w:color w:val="auto"/>
              </w:rPr>
            </w:pPr>
          </w:p>
        </w:tc>
      </w:tr>
      <w:tr>
        <w:trPr>
          <w:trHeight w:val="265"/>
        </w:trPr>
        <w:tc>
          <w:tcPr>
            <w:tcW w:w="3160" w:type="dxa"/>
            <w:vAlign w:val="bottom"/>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8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3160" w:type="dxa"/>
            <w:vAlign w:val="bottom"/>
            <w:tcBorders>
              <w:top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PRTH</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780" w:type="dxa"/>
            <w:vAlign w:val="bottom"/>
            <w:tcBorders>
              <w:top w:val="single" w:sz="8" w:color="auto"/>
            </w:tcBorders>
          </w:tcPr>
          <w:p>
            <w:pPr>
              <w:jc w:val="center"/>
              <w:ind w:right="1049"/>
              <w:spacing w:after="0"/>
              <w:rPr>
                <w:sz w:val="20"/>
                <w:szCs w:val="20"/>
                <w:color w:val="auto"/>
              </w:rPr>
            </w:pPr>
            <w:r>
              <w:rPr>
                <w:rFonts w:ascii="Times New Roman" w:cs="Times New Roman" w:eastAsia="Times New Roman" w:hAnsi="Times New Roman"/>
                <w:sz w:val="14"/>
                <w:szCs w:val="14"/>
                <w:color w:val="auto"/>
              </w:rPr>
              <w:t>Nasdaq Capital Market</w:t>
            </w:r>
          </w:p>
        </w:tc>
      </w:tr>
    </w:tbl>
    <w:p>
      <w:pPr>
        <w:spacing w:after="0" w:line="24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77" w:lineRule="exact"/>
        <w:rPr>
          <w:sz w:val="24"/>
          <w:szCs w:val="24"/>
          <w:color w:val="auto"/>
        </w:rPr>
      </w:pPr>
    </w:p>
    <w:p>
      <w:pPr>
        <w:ind w:right="4480"/>
        <w:spacing w:after="0" w:line="267"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43"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3"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4" w:lineRule="exact"/>
        <w:rPr>
          <w:sz w:val="24"/>
          <w:szCs w:val="24"/>
          <w:color w:val="auto"/>
        </w:rPr>
      </w:pPr>
    </w:p>
    <w:p>
      <w:pPr>
        <w:ind w:right="40" w:firstLine="32"/>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28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24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Accelerated filer</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280" w:type="dxa"/>
            <w:vAlign w:val="bottom"/>
          </w:tcPr>
          <w:p>
            <w:pPr>
              <w:ind w:left="340"/>
              <w:spacing w:after="0" w:line="131" w:lineRule="exact"/>
              <w:rPr>
                <w:sz w:val="20"/>
                <w:szCs w:val="20"/>
                <w:color w:val="auto"/>
              </w:rPr>
            </w:pPr>
            <w:r>
              <w:rPr>
                <w:rFonts w:ascii="MS PGothic" w:cs="MS PGothic" w:eastAsia="MS PGothic" w:hAnsi="MS PGothic"/>
                <w:sz w:val="13"/>
                <w:szCs w:val="13"/>
                <w:color w:val="auto"/>
              </w:rPr>
              <w:t>☐</w:t>
            </w:r>
          </w:p>
        </w:tc>
        <w:tc>
          <w:tcPr>
            <w:tcW w:w="24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Emerging growth company</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18"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3"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34"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Securities Exchange Act of 1934, indicate by check mark whether the financial statements of the registrant included in the filing reflect the correction of an error to previously issued financials statements. </w:t>
      </w:r>
      <w:r>
        <w:rPr>
          <w:rFonts w:ascii="MS PGothic" w:cs="MS PGothic" w:eastAsia="MS PGothic" w:hAnsi="MS PGothic"/>
          <w:sz w:val="13"/>
          <w:szCs w:val="13"/>
          <w:color w:val="auto"/>
        </w:rPr>
        <w:t>☐</w:t>
      </w:r>
    </w:p>
    <w:p>
      <w:pPr>
        <w:spacing w:after="0" w:line="134"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36" w:lineRule="exact"/>
        <w:rPr>
          <w:sz w:val="24"/>
          <w:szCs w:val="24"/>
          <w:color w:val="auto"/>
        </w:rPr>
      </w:pPr>
    </w:p>
    <w:p>
      <w:pPr>
        <w:spacing w:after="0" w:line="150" w:lineRule="exact"/>
        <w:tabs>
          <w:tab w:leader="none" w:pos="63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98"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3"/>
          <w:szCs w:val="13"/>
          <w:color w:val="auto"/>
        </w:rPr>
        <w:t>As of June 28, 2024, the last business day of the registrant's most recently completed second fiscal quarter, the aggregate market value of the registrant's Common Stock held by non-affiliates of the registrant was approximately $93.1 million (based upon the closing sale price of the Common Stock on that date on The Nasdaq Capital Market).</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28, 2025, the number of the registrant's Common Stock outstanding was 79,519,234.</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79"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Portions of the definitive proxy statement to be filed with the Securities and Exchange Commission pursuant to Regulation 14A relating to the Annual Meeting of shareholders of Priority Technology Holdings, Inc., scheduled to be held on May 21, 2025, will be incorporated by reference in Part III of this Form 10-K. Priority Technology Holdings, Inc. intends to file such proxy statement with the Securities and Exchange Commission no later than 120 days after its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461645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2" w:right="319" w:bottom="62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74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40" w:type="dxa"/>
            <w:vAlign w:val="bottom"/>
          </w:tcPr>
          <w:p>
            <w:pPr>
              <w:spacing w:after="0"/>
              <w:rPr>
                <w:sz w:val="16"/>
                <w:szCs w:val="16"/>
                <w:color w:val="auto"/>
              </w:rPr>
            </w:pPr>
          </w:p>
        </w:tc>
      </w:tr>
      <w:tr>
        <w:trPr>
          <w:trHeight w:val="442"/>
        </w:trPr>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8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0"/>
        </w:trPr>
        <w:tc>
          <w:tcPr>
            <w:tcW w:w="9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3051F2"/>
              </w:rPr>
              <w:t>Cautionary Note Regarding Forward-Looking Statements and Terms Used in the Annual Report on Form 10-K</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1</w:t>
            </w:r>
          </w:p>
        </w:tc>
      </w:tr>
      <w:tr>
        <w:trPr>
          <w:trHeight w:val="18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3051F2"/>
              </w:rPr>
              <w:t>Commonly Defined Terms</w:t>
            </w:r>
          </w:p>
        </w:tc>
        <w:tc>
          <w:tcPr>
            <w:tcW w:w="77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3</w:t>
            </w:r>
          </w:p>
        </w:tc>
      </w:tr>
      <w:tr>
        <w:trPr>
          <w:trHeight w:val="180"/>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3051F2"/>
              </w:rPr>
              <w:t>Part I.</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Business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6</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1A.</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Risk Factors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17</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1B.</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Unresolved Staff Comments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29</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0000FF"/>
              </w:rPr>
              <w:t>Item 1C.</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Cybersecurity</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29</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2.</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Properties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30</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3.</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Legal Proceedings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30</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4.</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Mine Safety Disclosures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31</w:t>
            </w:r>
          </w:p>
        </w:tc>
      </w:tr>
      <w:tr>
        <w:trPr>
          <w:trHeight w:val="180"/>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3051F2"/>
              </w:rPr>
              <w:t>Part II.</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5.</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Market for Registrant's Common Equity, Related Stockholder Matters and Issuer Purchases of Equity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32</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6.</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32</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7.</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Management's Discussion and Analysis of Financial Condition and Results of Operations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33</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7A.</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Qualitative and Quantitative Disclosure About Market Risk</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41</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8.</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Financial Statements and Supplementary Data</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43</w:t>
            </w:r>
          </w:p>
        </w:tc>
      </w:tr>
      <w:tr>
        <w:trPr>
          <w:trHeight w:val="180"/>
        </w:trPr>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Notes to Consolidated Financial Statements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54</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9.</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Changes In and Disagreements with Accountants on Accounting and Financial Disclosure</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96</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9A.</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Controls and Procedures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96</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9B.</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Other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97</w:t>
            </w:r>
          </w:p>
        </w:tc>
      </w:tr>
      <w:tr>
        <w:trPr>
          <w:trHeight w:val="184"/>
        </w:trPr>
        <w:tc>
          <w:tcPr>
            <w:tcW w:w="76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9C.</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Disclosures Regarding Foreign Jurisdictions that Prevent Inspections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97</w:t>
            </w: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3051F2"/>
              </w:rPr>
              <w:t>Part III.</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10.</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Directors, Executive Officers and Corporate Governance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98</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11.</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Executive Compensation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98</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12.</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Security Ownership of Certain Beneficial Owners and Management and Related Stockholder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98</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13.</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Certain Relationships and Related Transactions, and Director Independence</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98</w:t>
            </w:r>
          </w:p>
        </w:tc>
      </w:tr>
      <w:tr>
        <w:trPr>
          <w:trHeight w:val="180"/>
        </w:trPr>
        <w:tc>
          <w:tcPr>
            <w:tcW w:w="76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14.</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Principal Accounting Fees and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98</w:t>
            </w:r>
          </w:p>
        </w:tc>
      </w:tr>
      <w:tr>
        <w:trPr>
          <w:trHeight w:val="180"/>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3051F2"/>
              </w:rPr>
              <w:t>Part IV.</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15.</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Exhibits, Financial Statement Schedules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99</w:t>
            </w:r>
          </w:p>
        </w:tc>
      </w:tr>
      <w:tr>
        <w:trPr>
          <w:trHeight w:val="184"/>
        </w:trPr>
        <w:tc>
          <w:tcPr>
            <w:tcW w:w="76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color w:val="3051F2"/>
              </w:rPr>
              <w:t>Item 16.</w:t>
            </w:r>
          </w:p>
        </w:tc>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3051F2"/>
              </w:rPr>
              <w:t>Form 10-K Summary</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101</w:t>
            </w:r>
          </w:p>
        </w:tc>
      </w:tr>
      <w:tr>
        <w:trPr>
          <w:trHeight w:val="350"/>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3051F2"/>
              </w:rPr>
              <w:t>Signatures</w:t>
            </w:r>
          </w:p>
        </w:tc>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102</w:t>
            </w:r>
          </w:p>
        </w:tc>
      </w:tr>
      <w:tr>
        <w:trPr>
          <w:trHeight w:val="1805"/>
        </w:trPr>
        <w:tc>
          <w:tcPr>
            <w:tcW w:w="7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Some of the statements made in this Annual Report on Form 10-K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w:t>
      </w:r>
      <w:r>
        <w:rPr>
          <w:rFonts w:ascii="Arial" w:cs="Arial" w:eastAsia="Arial" w:hAnsi="Arial"/>
          <w:sz w:val="14"/>
          <w:szCs w:val="14"/>
          <w:color w:val="auto"/>
        </w:rPr>
        <w:t>"</w:t>
      </w:r>
      <w:r>
        <w:rPr>
          <w:rFonts w:ascii="Times New Roman" w:cs="Times New Roman" w:eastAsia="Times New Roman" w:hAnsi="Times New Roman"/>
          <w:sz w:val="14"/>
          <w:szCs w:val="14"/>
          <w:color w:val="auto"/>
        </w:rPr>
        <w:t>anticipate," "believe," "continue," "could," "estimate," "expect," "future," "goal," "intend," "likely," "may," "might," "plan," "possible," "potential," "predict," "project," "seek," "should," "would,"</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spacing w:after="0" w:line="145" w:lineRule="exact"/>
        <w:rPr>
          <w:sz w:val="20"/>
          <w:szCs w:val="20"/>
          <w:color w:val="auto"/>
        </w:rPr>
      </w:pPr>
    </w:p>
    <w:p>
      <w:pPr>
        <w:ind w:left="520" w:right="120" w:hanging="260"/>
        <w:spacing w:after="0" w:line="26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payment processing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distribution partners;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unauthorized disclosures of merchant or cardholder data, whether through breach of our computer systems, computer viruses or otherwise;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breakdowns in our processing systems;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regulation of consumer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third-party vendors;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in card association and debit network fees or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in interest rates by the Federal Reserve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comply with the rules established by payment networks or standards established by third-party processors;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proposed acquisitions or dispositions or any risks associated with completed acquisitions or dispositions;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set forth in the "</w:t>
      </w:r>
      <w:r>
        <w:rPr>
          <w:rFonts w:ascii="Times New Roman" w:cs="Times New Roman" w:eastAsia="Times New Roman" w:hAnsi="Times New Roman"/>
          <w:sz w:val="14"/>
          <w:szCs w:val="14"/>
          <w:u w:val="single" w:color="auto"/>
          <w:color w:val="0000FF"/>
        </w:rPr>
        <w:t>Item 1A - Risk Factors</w:t>
      </w:r>
      <w:r>
        <w:rPr>
          <w:rFonts w:ascii="Times New Roman" w:cs="Times New Roman" w:eastAsia="Times New Roman" w:hAnsi="Times New Roman"/>
          <w:sz w:val="14"/>
          <w:szCs w:val="14"/>
          <w:color w:val="auto"/>
        </w:rPr>
        <w:t>" section of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Annual Report on Form 10-K.</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4"/>
          <w:szCs w:val="14"/>
          <w:u w:val="single" w:color="auto"/>
          <w:color w:val="0000FF"/>
        </w:rPr>
        <w:t>Item 1A - Risk Factors</w:t>
      </w:r>
      <w:r>
        <w:rPr>
          <w:rFonts w:ascii="Times New Roman" w:cs="Times New Roman" w:eastAsia="Times New Roman" w:hAnsi="Times New Roman"/>
          <w:sz w:val="14"/>
          <w:szCs w:val="14"/>
          <w:color w:val="auto"/>
        </w:rPr>
        <w:t>" section of this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4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Terms Used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Annual Report on Form 10-K, unless the context otherwise requires, references to the terms "Company," "Priority," "we," "us" and "our" refer to Priority Technology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10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Commonly Used or Defined Terms</w:t>
            </w:r>
          </w:p>
        </w:tc>
      </w:tr>
      <w:tr>
        <w:trPr>
          <w:trHeight w:val="276"/>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Definition</w:t>
            </w:r>
          </w:p>
        </w:tc>
      </w:tr>
      <w:tr>
        <w:trPr>
          <w:trHeight w:val="171"/>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2018 Plan</w:t>
            </w:r>
          </w:p>
        </w:tc>
        <w:tc>
          <w:tcPr>
            <w:tcW w:w="80" w:type="dxa"/>
            <w:vAlign w:val="bottom"/>
            <w:tcBorders>
              <w:top w:val="single" w:sz="8" w:color="CCEEFF"/>
            </w:tcBorders>
            <w:shd w:val="clear" w:color="auto" w:fill="CCEEFF"/>
          </w:tcPr>
          <w:p>
            <w:pPr>
              <w:spacing w:after="0"/>
              <w:rPr>
                <w:sz w:val="14"/>
                <w:szCs w:val="14"/>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Priority Technology Holdings, Inc. 2018 Equity Incentive Plan</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2021 Stock Purchase Plan</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Priority Technology Holdings, Inc. 2021 Employee Stock Purchase Plan</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Share Repurchase Program</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Priority Technology Holdings, Inc. 2021 Share Repurchase Program</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ACH</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Automated clearing house</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AML</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Anti-money laundering</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AOCI</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API</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Application program interface</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APIC</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ASC</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ASU</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ATI</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Adjusted taxable income</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B2B</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Business-to-business</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B2C</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Business-to-consumer</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BaaS</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 as a service</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BSA</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Bank Secrecy Act of 1970, as amended by the USA Patriot Act of 2001</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CARES Act</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Coronavirus Aid, Relief, and Economic Security Act</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CCPA</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California Consumer Protection Act</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CEO</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Company's Chairman and Chief Executive Officer</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CFO</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Chief Financial Officer</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CFPB</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Consumer Financial Protection Bureau</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Common Stock, par value $.001 per share</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Priority Technology Holdings, Inc., a Delaware corporation, and its direct and indirect subsidiaries</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2024 Credit Agreement</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Credit and Guaranty Agreement with Truist Bank dated as of May 16, 2024 (as amended)</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Credit Agreement</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and Guaranty Agreement with Truist Bank dated as of April 27, 2021 (as amended)</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CRM</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 management</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Delayed Draw Term Loan</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Delayed draw term loan facility under the credit agreement</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Dodd-Frank Act</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Dodd Frank Wall Street Reform and Consumer Protection Act of 2010</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Electronic Payments</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Payments with credit, debit, prepaid cards, ACH and wire</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EPS</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(loss) per share</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ESPP</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Exchange Act of 1934</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FASB</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FBO</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the benefit of</w:t>
            </w:r>
          </w:p>
        </w:tc>
      </w:tr>
      <w:tr>
        <w:trPr>
          <w:trHeight w:val="18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FCRA</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Fair Credit Reporting Act</w:t>
            </w:r>
          </w:p>
        </w:tc>
      </w:tr>
      <w:tr>
        <w:trPr>
          <w:trHeight w:val="18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Reserve Board</w:t>
            </w: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Governors of the Federal Reserve System</w:t>
            </w:r>
          </w:p>
        </w:tc>
      </w:tr>
      <w:tr>
        <w:trPr>
          <w:trHeight w:val="184"/>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FDIC</w:t>
            </w: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FFIEC</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Federal Financial Institutions Examination Council</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FI</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Financial institution</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FIFO</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First in, first out</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FinCEN</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Financial Crimes Enforcement Network</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Finxera</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Finxera Holdings, Inc.</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FSOC</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Financial Stability Oversight Council</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United States Generally Accepted Accounting Principles</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Initial Term Loan</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 senior secured first lien term loan facility in an aggregate principal amount of $300,000,000</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IRA</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Inflation Reduction Act</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ISO</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Independent sales organization</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ISV</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Independent software vendors</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IT</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Information technology</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LIBOR</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LIFO</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Last in, first out</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LLC</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Limited Liability Company</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Nasdaq</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National Association of Securities Dealers Automated Quotations</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NCI</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Non-controlling interests</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OFAC</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Office of Foreign Assets Control</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Passport</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Priority Passport</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231F20"/>
              </w:rPr>
              <w:t>PHOT</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Priority Hospitality Technology, LLC a Delaware limited liability company</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Plastiq</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Acquisition of Plastiq, Inc. and certain affiliates</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2024 Revolving Facility</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$70.0 million line issued under 2024 Credit Agreement</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Revolving Facility</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$65.0 million line issued under 2021 Credit Agreement</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PIK</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Payment-in-kind</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POS</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Point-of-sale</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PRET</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Priority Real Estate Technology, LLC, a Delaware limited liability company</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PRTH</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The Company's Nasdaq Capital Market trading symbol</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PSU</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Restricted stock unit (performance-based)</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Redeemable NCI's</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Redeemable non-controlling preferred equity interests</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ROU Asset</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Right of use asset</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Restricted stock unit (service-based)</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SaaS</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Software as a Service</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SAR</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Stock appreciation rights</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SEC</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Securities and Exchange Commission</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SMB</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Small and medium-sized businesses</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SMS</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Short message service</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SOFR</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Tax Act</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Housing Assistance Tax Act of 2008</w:t>
            </w:r>
          </w:p>
        </w:tc>
      </w:tr>
      <w:tr>
        <w:trPr>
          <w:trHeight w:val="18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TCPA</w:t>
            </w: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Federal Telephone Consumer Protection Act of 1991</w:t>
            </w:r>
          </w:p>
        </w:tc>
      </w:t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Term Facility</w:t>
            </w:r>
          </w:p>
        </w:tc>
        <w:tc>
          <w:tcPr>
            <w:tcW w:w="8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Term loan facility issued under the 2024 Credit Agreement</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Leverage Ratio</w:t>
            </w:r>
          </w:p>
        </w:tc>
        <w:tc>
          <w:tcPr>
            <w:tcW w:w="89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The ratio of consolidated total debt to the Consolidated Adjusted EBITDA (as defined in the Credit Agreement).</w:t>
            </w: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Truist</w:t>
            </w:r>
          </w:p>
        </w:tc>
        <w:tc>
          <w:tcPr>
            <w:tcW w:w="89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Truist Bank</w:t>
            </w:r>
          </w:p>
        </w:tc>
      </w:tr>
      <w:tr>
        <w:trPr>
          <w:trHeight w:val="18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TSP</w:t>
            </w:r>
          </w:p>
        </w:tc>
        <w:tc>
          <w:tcPr>
            <w:tcW w:w="89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Technology service provider</w:t>
            </w: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U.S.</w:t>
            </w:r>
          </w:p>
        </w:tc>
        <w:tc>
          <w:tcPr>
            <w:tcW w:w="89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VARs</w:t>
            </w:r>
          </w:p>
        </w:tc>
        <w:tc>
          <w:tcPr>
            <w:tcW w:w="89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Value-added resellers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the Company</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Priority is a payments and banking fintech that streamlines collecting, storing, lending and sending money through its innovative commerce engine (the “Priority Commerce Engine” or “PCE”) to unlock revenue opportunities and generate operational success for businesses. Our mission is to provide a personalized financial toolset to accelerate cashflow and optimize working capital for our customers by providing merchant services, payables and banking &amp; treasury solutions. Priority operates at scale across three primary business segments: SMB Acquiring, B2B Payables and Enterprise Payments and is presently serving approximately 1.2 million customer accounts processing over $130.0 billion in annual transaction activity while administering approximately $1.2 billion dollars in account balances. The Priority Commerce Engine serves enterprise grade independent software vendors (ISV's), as well as discrete institutional and SMB customers across all major sectors of the U.S. economy including Retail, Hospitality, Healthcare, Real Estate, Government, Utility, Education, Non-Profit, Business-to-Business, Professional Services and Financial Institutions. Priority builds with intention, utilizing market research and stakeholder feedback to drive growth activity. The result is an end-to-end solution that customers leverage across their financial lifecycle, engineered to accelerate cash flow and optimize working capital. Trust is paramount in partnerships with customers, which is why Priority works with multiple, proven partners, to ensure our customers experience the security and peace of mind that comes with diversification, while enjoying the cost and time-saving benefits of consolidation. Priority centralizes all money movement activity within a single, integrated platform, empowering users to seamlessly collect, store, lend, and send money. Highly configurable and easy to use, the Priority Commerce Engine enables financial agility and operational stability for today’s fastest-growing enterprises.</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Priority was established in 2005 and has grown from a founder-financed technology startup with a mission to build an institutional caliber enterprise to advance the convergence of software and payments to become the 6th largest non-bank merchant acquirer in the U.S. by volume, according to the Nilson Report issued in March 2024. Since inception, we have built a native technology platform that provides all forms of payments (card acquiring and issuing, ACH, check and wire) and embedded finance solutions that serve customers of any size. Priority maintains a global business platform with 1,019 employees operating from its headquarters in Alpharetta, GA and regional offices in other locations, including New York, NY; Hicksville, NY; Nashville,TN; Chattanooga, TN; Raleigh, NC; Houston, TX; Dallas, TX; San Francisco, CA; and Chandigarh, India.</w:t>
      </w:r>
    </w:p>
    <w:p>
      <w:pPr>
        <w:spacing w:after="0" w:line="14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Priority delivers value to its partners by leveraging its payments and embedded finance technology to deliver solutions that power modern commerce for SMBs and enterprise software and business partners. We handle the complexities of payments and embedded finance to allow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w:t>
      </w:r>
    </w:p>
    <w:p>
      <w:pPr>
        <w:spacing w:after="0" w:line="31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Our growth has been underpinned by three key strengths: 1) market leading proprietary product platforms in SMB, B2B and Enterprise Payments verticals; 2) focused distribution engines dedicated to helping partners monetize their merchant payment networks; and 3) a cost-efficient, agile payment and business processing infrastructure, purpose-built to support our partners’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Priority's solutions are delivered via internally developed payment applications and services to customers in the following business segments:</w:t>
      </w:r>
    </w:p>
    <w:p>
      <w:pPr>
        <w:spacing w:after="0" w:line="187" w:lineRule="exact"/>
        <w:rPr>
          <w:sz w:val="20"/>
          <w:szCs w:val="20"/>
          <w:color w:val="auto"/>
        </w:rPr>
      </w:pPr>
    </w:p>
    <w:p>
      <w:pPr>
        <w:ind w:left="520" w:right="60" w:hanging="260"/>
        <w:spacing w:after="0" w:line="27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SMB Payments</w:t>
      </w:r>
      <w:r>
        <w:rPr>
          <w:rFonts w:ascii="Times New Roman" w:cs="Times New Roman" w:eastAsia="Times New Roman" w:hAnsi="Times New Roman"/>
          <w:sz w:val="14"/>
          <w:szCs w:val="14"/>
          <w:color w:val="auto"/>
        </w:rPr>
        <w:t>: Provides full-service acquiring and payment-enabled solutions for B2C transactions, leveraging Priority's proprietary software platform, distributed through ISO, direct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vertically focused ISV channels.</w:t>
      </w:r>
    </w:p>
    <w:p>
      <w:pPr>
        <w:spacing w:after="0" w:line="141" w:lineRule="exact"/>
        <w:rPr>
          <w:rFonts w:ascii="Times New Roman" w:cs="Times New Roman" w:eastAsia="Times New Roman" w:hAnsi="Times New Roman"/>
          <w:sz w:val="14"/>
          <w:szCs w:val="14"/>
          <w:color w:val="auto"/>
        </w:rPr>
      </w:pPr>
    </w:p>
    <w:p>
      <w:pPr>
        <w:ind w:left="520" w:right="500" w:hanging="260"/>
        <w:spacing w:after="0" w:line="27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B2B Payments</w:t>
      </w:r>
      <w:r>
        <w:rPr>
          <w:rFonts w:ascii="Times New Roman" w:cs="Times New Roman" w:eastAsia="Times New Roman" w:hAnsi="Times New Roman"/>
          <w:sz w:val="14"/>
          <w:szCs w:val="14"/>
          <w:color w:val="auto"/>
        </w:rPr>
        <w:t>: Provides market-leading AP automation solutions to corporations, software partners and industry leading FIs (including Citibank, Visa and Mastercard) in addition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improving cash flows by providing instant access to working capital.</w:t>
      </w:r>
    </w:p>
    <w:p>
      <w:pPr>
        <w:spacing w:after="0" w:line="15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Enterprise Payments</w:t>
      </w:r>
      <w:r>
        <w:rPr>
          <w:rFonts w:ascii="Times New Roman" w:cs="Times New Roman" w:eastAsia="Times New Roman" w:hAnsi="Times New Roman"/>
          <w:sz w:val="14"/>
          <w:szCs w:val="14"/>
          <w:color w:val="auto"/>
        </w:rPr>
        <w:t>: Provides embedded finance and BaaS solutions to customers to modernize legacy platforms and accelerate software partners' strategies to monetize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1012190</wp:posOffset>
            </wp:positionV>
            <wp:extent cx="4608195" cy="23444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08195"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MX product suite provides technology-enabled payment acceptance and business management capabilities to merchants, enterprises and our distribution partners. The MX product suite includes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SMB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suite encompasses a variety of proprietary and third-party product applications that merchants can adopt such as MX Insights, MX Storefront, MX Retail, MX Invoice, MX B2B and ACH.com, among others. This comprehensive suite of solutions enables merchants to 1) identify key consumer trends in their businesses; 2) quickly implement e-commerce or retail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spacing w:after="0" w:line="1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addition to our SMB offering, we have diversified our source of revenues through our growing presence in the B2B market. We provide automated AP offerings to our enterprise clients and financial institutions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 2) buyers with valuable rebate/discount revenue: and 3) the Company with stable sources of payment processing and other revenue. Additionally, we provide a suite of integrated AP automation solutions businesses to FIs and card networks such as Citibank, Mastercard and Visa, among others.</w:t>
      </w:r>
    </w:p>
    <w:p>
      <w:pPr>
        <w:spacing w:after="0" w:line="14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Alongside CPX as part of the AP suite, Priority acquired the assets of Plastiq Inc. through its subsidiary Plastiq, Powered by Priority, LLC, a leading B2B payments company, in the third fiscal quarter of 2023, and has helped tens of thousands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businesses improve cash flow with instant access to working capital, while automating and enabling control over all aspects of accounts payable and receivable.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 fees and get paid across any customer touch point, including a website, invoice, checkout process, and in person via QR code. The Plastiq Connect API suite enables platforms, marketplaces, and ERPs, to expand B2B payment options for payables and receivables in their native customer experience while outsourcing payment execution, risk, and compliance.</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Enterprise Payments segment provides embedded finance and BaaS solutions to customers that modernize legacy platforms and accelerate modern software partners looking to monetize payment components. We provide solutions for ISVs, third-party integrators, and merchants that allow for the leveraging of our core payments engine, our automated payables platform or our account ledgering capabilities all via API resources.</w:t>
      </w:r>
    </w:p>
    <w:p>
      <w:pPr>
        <w:spacing w:after="0" w:line="13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generate revenue primarily from payment processing transactions, and from monthly services and other solutions provided to customers and interest income from the permissible investments of the account balances we hold. Payment processing fees are generated from the ongoing sales to our customers and are governed by multi-year contracts. As a result, payment processing fees are highly recurring in nature.</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we generated revenue of $879.7 million, net loss attributable to common shareholders of $24.0 million and operating income of $133.4 million, compared to revenue of $755.6 million, net loss attributable to common shareholders of $49.1 million and operating income of $81.5 million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8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payment processing industry provides businesses with credit, debit, gift, loyalty card and other payment processing services, along with related value-added solutions and information services. The industry continues to grow, driven by wider acceptance, increased use of Electronic Payments, advances in payment technology and the disruption in banking by fintech providers. The proliferation of bankcards and the use of other payment technologies has made the acceptance of Electronic Payments through multiple channels a virtual necessity for many businesses to remain competitive. The increased use and acceptance of bankcards and the availability of more sophisticated products and services has resulted in a highly competitive, specialized industry.</w:t>
      </w:r>
    </w:p>
    <w:p>
      <w:pPr>
        <w:spacing w:after="0" w:line="14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SMB merchants and enterprise customers increasingly recognize the need for value-added services wrapped around omni-channel payment solutions that are tailored to their specific business needs.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Key Industry Trends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key trends we believe are impacting the fintech and payments processing industry:</w:t>
      </w:r>
    </w:p>
    <w:p>
      <w:pPr>
        <w:spacing w:after="0" w:line="179" w:lineRule="exact"/>
        <w:rPr>
          <w:sz w:val="20"/>
          <w:szCs w:val="20"/>
          <w:color w:val="auto"/>
        </w:rPr>
      </w:pPr>
    </w:p>
    <w:p>
      <w:pPr>
        <w:ind w:left="520" w:right="100" w:hanging="260"/>
        <w:spacing w:after="0" w:line="26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 Toward Electronic Transactions – We believe the continued shift from cash/paper payments toward electronic/card payments will drive growth for merchant acquirers and processors as volume continues to grow correspondingly. We believe this migration and overall market growth will continue to provide tailwinds to the Electronic Payments industry. B2B payments is the largest payment market in the U.S.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w:t>
      </w:r>
    </w:p>
    <w:p>
      <w:pPr>
        <w:spacing w:after="0" w:line="143" w:lineRule="exact"/>
        <w:rPr>
          <w:rFonts w:ascii="Times New Roman" w:cs="Times New Roman" w:eastAsia="Times New Roman" w:hAnsi="Times New Roman"/>
          <w:sz w:val="14"/>
          <w:szCs w:val="14"/>
          <w:color w:val="auto"/>
        </w:rPr>
      </w:pPr>
    </w:p>
    <w:p>
      <w:pPr>
        <w:ind w:left="520" w:right="16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Convergence of Payments and Embedded Finance Solutions – As consumer behavior shifted during the COVID-19 pandemic, the scale of disruption grew dramatically and we believe the speed of change will continue to rise. The appetite of both merchants and consumers for new alternatives to traditional payment options remains top of mind and big tech companies, fintechs, challenger banks and other non-bank entrants are driving market disruption by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right="200"/>
        <w:spacing w:after="0" w:line="287" w:lineRule="auto"/>
        <w:rPr>
          <w:sz w:val="20"/>
          <w:szCs w:val="20"/>
          <w:color w:val="auto"/>
        </w:rPr>
      </w:pPr>
      <w:r>
        <w:rPr>
          <w:rFonts w:ascii="Times New Roman" w:cs="Times New Roman" w:eastAsia="Times New Roman" w:hAnsi="Times New Roman"/>
          <w:sz w:val="14"/>
          <w:szCs w:val="14"/>
          <w:color w:val="auto"/>
        </w:rPr>
        <w:t>customers better user experiences at lower prices. The continued displacement of cash and checks over the next several years, helped along by customers' adoption of digital shopping and fueled by their desire to avoid contact with physical infrastructure and objects, continues to create even more opportunities for disruption in payments.</w:t>
      </w:r>
    </w:p>
    <w:p>
      <w:pPr>
        <w:spacing w:after="0" w:line="124" w:lineRule="exact"/>
        <w:rPr>
          <w:sz w:val="20"/>
          <w:szCs w:val="20"/>
          <w:color w:val="auto"/>
        </w:rPr>
      </w:pPr>
    </w:p>
    <w:p>
      <w:pPr>
        <w:ind w:left="520" w:right="100" w:hanging="260"/>
        <w:spacing w:after="0" w:line="27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Mobile Payments – Historically, e-commerce was conducted on a computer via a web browser; however, as mobile technologies continue to proliferate, 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36"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B2B Payments is the largest payment market in the U.S.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w:t>
      </w:r>
    </w:p>
    <w:p>
      <w:pPr>
        <w:spacing w:after="0" w:line="12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Enterprise Payments and BaaS is the integration of financial services, like payments, lending, or banking services, into non-financial offerings. This embedded finance capability allows customers to access financial services seamlessly through applications they already utilize. The market is large and growing rapidly as customers demand a digital, frictionless and integrated approach to meeting the needs of their end consumer.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possess certain attributes that we believe differentiate us as a leading provider of merchant services, payables and banking &amp; treasury solutions in the U.S. Our key competitive strengths include:</w:t>
      </w:r>
    </w:p>
    <w:p>
      <w:pPr>
        <w:spacing w:after="0" w:line="179" w:lineRule="exact"/>
        <w:rPr>
          <w:sz w:val="20"/>
          <w:szCs w:val="20"/>
          <w:color w:val="auto"/>
        </w:rPr>
      </w:pPr>
    </w:p>
    <w:p>
      <w:pPr>
        <w:ind w:left="520" w:right="80" w:hanging="260"/>
        <w:spacing w:after="0" w:line="26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Diverse Reseller Community – We maintain strong reseller relationships with approximately 1,100 partners, including ISOs, FIs, ISVs, VARs and other referral partners. MX Connect enables resellers to efficiently market merchant acquiring solutions to a broad base of merchants through a one-to-many distribution model. We believe that our ability to service our reseller partners through a comprehensive offering provides a competitive advantage that has allowed the Company to build a large, diverse merchant base characterized by high retention. The strengths of our technology offering are manifested in the fact that we maintain ownership of merchant contracts, with most reseller contracts including strong non-solicit and portability restrictions.</w:t>
      </w:r>
    </w:p>
    <w:p>
      <w:pPr>
        <w:spacing w:after="0" w:line="143" w:lineRule="exact"/>
        <w:rPr>
          <w:rFonts w:ascii="Times New Roman" w:cs="Times New Roman" w:eastAsia="Times New Roman" w:hAnsi="Times New Roman"/>
          <w:sz w:val="14"/>
          <w:szCs w:val="14"/>
          <w:color w:val="auto"/>
        </w:rPr>
      </w:pPr>
    </w:p>
    <w:p>
      <w:pPr>
        <w:ind w:left="520" w:hanging="260"/>
        <w:spacing w:after="0" w:line="25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Comprehensive Suite of Payment Solutions – We offer a comprehensive and differentiated suite of traditional and emerging payment products and services that enables SMBs to address their payment needs through one provider. Our purpose-built proprietary technology provides technology-enabled payment acceptance and business management solutions to merchants, enterprises and ISVs. We provide a payment processing platform that allows merchants to accept Electronic Payments (e.g., credit cards, debit cards, and ACH) at the POS, online, and via mobile payment technologies. We deliver innovative business management products and add-on features that meet the needs of SMBs across different vertical markets. Additionally, with our embedded finance offerings and money transmissions licenses in forty six U.S. states, the District of Columbia and two U.S. territories, we are uniquely positioned to collect, store, lend and send money on behalf of our customers. As a result,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46" w:lineRule="exact"/>
        <w:rPr>
          <w:rFonts w:ascii="Times New Roman" w:cs="Times New Roman" w:eastAsia="Times New Roman" w:hAnsi="Times New Roman"/>
          <w:sz w:val="14"/>
          <w:szCs w:val="14"/>
          <w:color w:val="auto"/>
        </w:rPr>
      </w:pPr>
    </w:p>
    <w:p>
      <w:pPr>
        <w:ind w:left="520" w:right="40" w:hanging="260"/>
        <w:spacing w:after="0" w:line="26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Highly Scalable Business Model with Operating Leverage – As a result of thoughtful investments in our technology, we have developed robust and differentiated infrastructure that has enabled us to scale in a cost-efficient manner. Our operating efficiency supports a low capital expenditure environment to develop product enhancements that drive organic growth across our SMB, B2B and Enterprise payment ecosystems, as well as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right="4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Experienced Management Team Led by Industry Veterans – Our executive management team has a record of execution in the merchant acquiring and technology-enabled payments industry. Our team has continued to develop and enhance our proprietary and innovative technology platforms that differentiate us in the payments industry. We invest to attract and retain executive leadership that align with the opportunities in the market and our strategic focus.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continue to execute a multi-pronged growth strategy, with diverse organic initiatives supplemented by acquisitions. Growth strategies include: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Organic Growth in our Reseller Network and Merchant Base</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expect to grow through our existing reseller network and merchant base by capitalizing on the organic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 to exhibit strong merchant adoption and volume growth trends. Through our resellers, we provide merchants with full-service acquiring solutions, as well as value-added services and tools to streamline their business processes and enable them to focus on driving same store sales growth.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Deploy our Embedded Finance Solution to Enterprise Customers</w:t>
      </w:r>
    </w:p>
    <w:p>
      <w:pPr>
        <w:spacing w:after="0" w:line="18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Our Enterprise Payments segment, enables software partners and business platform customers to embed our banking and treasury solutions into their core operating and business systems that deliver a fully automated and digital experience to collect, store, lend and send money for their customers. Priority delivers a fully embedded finance solution to customers that manages the inflows and</w:t>
      </w:r>
    </w:p>
    <w:p>
      <w:pPr>
        <w:spacing w:after="0" w:line="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outflows, and reconciliation, of all forms of payments (ACH, wire, check, credit and debit) for any number of clients from a single account. The platform today manages over 930,000 active accounts and, through its money transmission licenses in forty six U.S. states, the District of Columbia and two U.S. territories, handles over $945.0 million in deposits across a growing number of banking partners. This segment is quickly growing as marketplaces, gig economy platforms, software partners, and legacy business platforms are incorporating features of payment processing and embedded finance services into their customer experience and enhance their offering.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Expand our Network of Distribution Partners</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have established and maintained a strong position within the reseller community with approximately 1,100 partners. We intend to continue to expand our distribution network to reach new partners, particularly with ISVs and VARs to expand technology and integrated partnerships. We believe that our technology offering enables us to attract and retain high-quality resellers focused on growth.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Deploy Industry Specific Payment Technology</w:t>
      </w:r>
    </w:p>
    <w:p>
      <w:pPr>
        <w:spacing w:after="0" w:line="18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intend to continue to enhance and deploy our technology-enabled payment solutions and our capabilities to collect, store, lend and send money into industry-specific verticals. We continue to identify and evaluate new, attractive industries where we can deliver differentiated technology-enabled payment solutions that meet merchants' industry-specific needs.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Expand Electronic Payments Share of B2B Transactions with CPX and Plastiq</w:t>
      </w:r>
    </w:p>
    <w:p>
      <w:pPr>
        <w:spacing w:after="0" w:line="18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We have a growing presence in the commercial payments market where we provide curated managed services and AP automation solutions to businesses, FIs and card networks such as Citibank, Mastercard and Visa. The commercial payments market is the largest and one of the fastest growing payments markets in the U.S. by volume. We are well positioned to capitalize on the shift from check to Electronic Payments, which currently lags the consumer payments market, by eliminating the friction between buyers and suppliers through our industry leading offerings of CPX and Plastiq. We believe this will drive strong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Accretive Acquisitions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With a consistent, long-term goal of maximizing shareholder value, we intend to selectively pursue strategic and tactical acquisitions that meet our established criteria. We actively seek potential acquisition candidates that exhibit certain attractive attributes including predictable and recurring revenue, a scalable operating model, low capital intensity, complementary technology offerings and a strong cultural fit. Our operating infrastructure is purpose-built to rapidly and seamlessly consolidate complementary businesses into our ecosystem all while optimizing revenue and cost synergies.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Distribution</w:t>
      </w:r>
    </w:p>
    <w:p>
      <w:pPr>
        <w:spacing w:after="0" w:line="18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We reach our SMB segment through three primary sales channels: 1) ISOs (Retail and Wholesale) and Agents; 2) FIs; and 3) ISVs and VARs. Our cloud-based solution, MX Connect, allows our partners and resellers to engage merchants for processing services and a host of value-added features designed to enhance their customer relationships. Our merchants utilize our cloud-based MX Merchant product suite to manage their businesses and process transactions. This separate solution increases our ability to retain the merchant if the ISO were to leave the Company.</w:t>
      </w:r>
    </w:p>
    <w:p>
      <w:pPr>
        <w:spacing w:after="0" w:line="1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B2B segment obtains its partner clients through: 1) direct sales initiatives; 2) ISVs and business partnerships; 3) the card networks (Mastercard, Visa and American Express); 4) large U.S. banking institutions and 5) other card issuer referral partners.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a top solutions provider in commercial payments. Our Plastiq offerings consist of all payment types including wires and checks to the vendors of our customers.</w:t>
      </w:r>
    </w:p>
    <w:p>
      <w:pPr>
        <w:spacing w:after="0" w:line="143" w:lineRule="exact"/>
        <w:rPr>
          <w:sz w:val="20"/>
          <w:szCs w:val="20"/>
          <w:color w:val="auto"/>
        </w:rPr>
      </w:pPr>
    </w:p>
    <w:p>
      <w:pPr>
        <w:ind w:right="220"/>
        <w:spacing w:after="0" w:line="334" w:lineRule="auto"/>
        <w:rPr>
          <w:sz w:val="20"/>
          <w:szCs w:val="20"/>
          <w:color w:val="auto"/>
        </w:rPr>
      </w:pPr>
      <w:r>
        <w:rPr>
          <w:rFonts w:ascii="Times New Roman" w:cs="Times New Roman" w:eastAsia="Times New Roman" w:hAnsi="Times New Roman"/>
          <w:sz w:val="14"/>
          <w:szCs w:val="14"/>
          <w:color w:val="auto"/>
        </w:rPr>
        <w:t>Our Enterprise segment goes to market through integrations with software partners and business platform customers by enabling them to embed our payments and treasury solutions into their core operating and business systems. Priority's offering provides those partners with a fully automated, scalable and integrated financial tool to collect, store, lend and send money for their customers.</w:t>
      </w:r>
    </w:p>
    <w:p>
      <w:pPr>
        <w:spacing w:after="0" w:line="93"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Our market strategy has resulted in a merchant base that we believe is diversified across both industries and geographies resulting in, what we believe, is more stable average profitability per merchant. Only one reseller relationship contributes more than 10% of total bankcard processing volume, and such relationship represents approximately 10.6% of our total bankcard processing volume for the fiscal year ending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Third-party Processors and Sponsor Banks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partner with various vendors in the payments value chain, most notably processors and sponsor banks which sit between us (the merchant acquirer) and the card networks, to assist us in providing payment processing services to merchant clients. Processing is a scale-driven business in which many acquirers outsource the processing function to a small number of large processors. In these partnerships, we serve as a merchant acquirer and enter into processing agreements with payment processors, such as Fiserv or Global Payments, to assist us in providing front-end and back-end transaction processing services for our merchants. These third parties are compensated for their services. These processors in turn have agreements with card networks such as Visa and Mastercard, through which the transaction information is routed in exchange for network fees.</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To provide processing services, merchant acquirers like Priority must be registered with the card networks (e.g., Visa, Mastercard, American Express, Discover, etc.). To register with a card network in the U.S., acquirers must maintain relationships with banks willing to sponsor the merchant acquirer's adherence to the rules and standards of the card networks, or a sponsor bank. We maintain sponsor bank relationships with Wells Fargo, Synovus Bank, Pueblo Bank and Georgia Banking Company ("GBC"). We maintain a card issuing relationship with Sutton Bank. For ACH payments, the Company's ACH network (ACH.com) is sponsored by South State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We offer banking and money transmission services to our customers through our partner banks including Wells Fargo and Axos Bank. Our proprietary ledgering technology enables us to store customer funds in uniquely identifiable accounts in order to position customer deposits for pass through FDIC insurance eligibility. Customer deposits may placed throughout our banking partner portfolio to maximize pass through FDIC insurance coverage.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thoughtful customer and reseller underwriting policies combined with our forward-looking transaction monitoring capabilities have enabled us to maintain low credit loss performance. Our risk management strategies are informed by a team with experience managing payments and banking risk operations that are augmented by our rules-based modern systems designed to manage risk at the transaction level.</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Initial Underwriting </w:t>
      </w:r>
      <w:r>
        <w:rPr>
          <w:rFonts w:ascii="Times New Roman" w:cs="Times New Roman" w:eastAsia="Times New Roman" w:hAnsi="Times New Roman"/>
          <w:sz w:val="14"/>
          <w:szCs w:val="14"/>
          <w:color w:val="auto"/>
        </w:rPr>
        <w:t>– Central to our risk management process are our front-line underwriting policies that vet all resellers and customers prior to their contractual arrangements with us.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automated risk systems access: 1) guarantor information; 2) corporate ownership details; 3) anti-money laundering information; and, 4) OFAC and FinCEN information from a variety of integrated databases. The collected information is delivered to a team of underwriters who conduct necessary industry checks, financial performance analysis or owner background checks, as applicable and consistent with our policies. Based upon these results, the underwriting department rejects or approves the customer or reseller and sets appropriate reserve requirements which are held by our bank sponsors on our behalf. Resellers may be subject to quarterly and/or annual assessments for financial strength in compliance with our policies and adjustments to reserve levels. The results of our initial customer underwriting process inform the transaction-level risk limits for volume, average ticket, transaction types and authorization codes that are captured by our CYRIS risk module - a proprietary risk system that monitors and reports transaction risk activity to our risk team. This transaction-level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Real-Time Risk Monitoring </w:t>
      </w:r>
      <w:r>
        <w:rPr>
          <w:rFonts w:ascii="Times New Roman" w:cs="Times New Roman" w:eastAsia="Times New Roman" w:hAnsi="Times New Roman"/>
          <w:sz w:val="14"/>
          <w:szCs w:val="14"/>
          <w:color w:val="auto"/>
        </w:rPr>
        <w:t>– Customer transactions are monitored on a transactional basis to proactively enforce risk controls. Our risk systems provide automated evaluation of customer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activity against initial underwriting settings. Transactions that are outside underwriting parameters are queued for further investigation. Also, resellers whose customer portfolio represents a concentration of investigated merchants are evaluated for risk action (i.e., increased reserves or contract termination).</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Risk Audit </w:t>
      </w:r>
      <w:r>
        <w:rPr>
          <w:rFonts w:ascii="Times New Roman" w:cs="Times New Roman" w:eastAsia="Times New Roman" w:hAnsi="Times New Roman"/>
          <w:sz w:val="14"/>
          <w:szCs w:val="14"/>
          <w:color w:val="auto"/>
        </w:rPr>
        <w:t>– Transactions flagged by our risk monitoring systems or that demonstrate suspicious activity traits that have been flagged for review can result in funds being held in addition to other risk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mitigation actions. The risk mitigation actions can include: 1) non-authorization of the transaction; 2) debit of reserves; or 3) termination of the processing or services agreement. Customers are periodically reviewed to assess any risk adjustments based upon their overall financial health and compliance with network standards. Customer transaction activity is investigated for instances of business activity changes or credit impairment (and improvement).</w:t>
      </w:r>
    </w:p>
    <w:p>
      <w:pPr>
        <w:spacing w:after="0" w:line="13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Loss Mitigation </w:t>
      </w:r>
      <w:r>
        <w:rPr>
          <w:rFonts w:ascii="Times New Roman" w:cs="Times New Roman" w:eastAsia="Times New Roman" w:hAnsi="Times New Roman"/>
          <w:sz w:val="14"/>
          <w:szCs w:val="14"/>
          <w:color w:val="auto"/>
        </w:rPr>
        <w:t>– In instances where transactions and/or individual merchants are flagged for fraud, or in instances where the transaction activity is resulting in excessive charge-backs, several loss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mitigation actions may be taken. These include: 1) charge-back dispute resolution; 2) merchant and reseller funds (reserves or processed batches) withheld; 3) inclusion on Network Match List to notify the industry of a "bad actor"; and/or 4) legal action.</w:t>
      </w:r>
    </w:p>
    <w:p>
      <w:pPr>
        <w:spacing w:after="0" w:line="134"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 We use our primary portfolio to provide for the investment of excess funds at acceptable risk levels as permitted. Our portfolio consists primarily of money market accounts at FDIC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insured institutions. Concentration in any one particular financial institution could create operational disruption or put customer funds in excess of FDIC insured limits at risk.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8" w:lineRule="exact"/>
        <w:rPr>
          <w:sz w:val="20"/>
          <w:szCs w:val="20"/>
          <w:color w:val="auto"/>
        </w:rPr>
      </w:pPr>
    </w:p>
    <w:p>
      <w:pPr>
        <w:ind w:right="420"/>
        <w:spacing w:after="0" w:line="232" w:lineRule="auto"/>
        <w:rPr>
          <w:sz w:val="20"/>
          <w:szCs w:val="20"/>
          <w:color w:val="auto"/>
        </w:rPr>
      </w:pPr>
      <w:r>
        <w:rPr>
          <w:rFonts w:ascii="Times New Roman" w:cs="Times New Roman" w:eastAsia="Times New Roman" w:hAnsi="Times New Roman"/>
          <w:sz w:val="14"/>
          <w:szCs w:val="14"/>
          <w:color w:val="auto"/>
        </w:rPr>
        <w:t>The U.S. acquiring industry is highly competitive, with several large processors accounting for the majority of processing volume. When excluding banks, we ranked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among U.S. non-bank merchant acquirers, according to the March 2024 Nilson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concentration at the top of the industry is partly a result of consolidation. We believe that consolidation has also resulted in many large processors maintaining multiple, inflexible legacy IT systems that are not well-equipped to adjust to changing market requirements. We believe that the large merchant acquirers whose innovation has been hindered by these redundant legacy systems risk losing market share to acquirers with more agile and dynamic IT systems.</w:t>
      </w:r>
    </w:p>
    <w:p>
      <w:pPr>
        <w:spacing w:after="0" w:line="1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Pricing has historically been the key factor influencing the selection of a merchant acquirer. Providers with more advanced tech-enabled services (primarily online and integrated offerings), have an advantage over providers who are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1) price; 2) breadth of product offerings; 3) partnerships with FIs; 4) servicing capability; 5) data security; and 6)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largest opportunity for acquirers to expand is within the SMB merchant market. As small businesses increasingly demand integrated solutions tailored to specific business functions or industries, merchant processors are adopting payment-enabled software offerings that combine embedded finance products with core business operating software. By subsisting within SMB's critical business software, processors are able to improve economic results through better merchant retention and higher processing margins. Through our MX Merchant platform, we are well-positioned to capitalize on the trend towards integrated solutions, new technology adoption and value added-service utilization in the SMB market.</w:t>
      </w:r>
    </w:p>
    <w:p>
      <w:pPr>
        <w:spacing w:after="0" w:line="14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Providing BaaS products is highly competitive. We face competition from other BaaS providers and banks directly. We differentiate ourselves to merchants and enterprise customers through our ability to innovate and develop new products and services that offer new payment experiences for customers on our platform. Our agility, regulatory compliance, risk management and suite of products within a single platform differentiates us from competitors.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Payment Network Rules</w:t>
      </w:r>
    </w:p>
    <w:p>
      <w:pPr>
        <w:spacing w:after="0" w:line="18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Wall Street Reform and Consumer Protection Act</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Dodd-Frank Act resulted in significant structural and other changes to the regulation of the financial services industry. The Dodd-Frank Act directed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$10.0 billion or more are capped at $0.21 per transaction and an ad valorem component of five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4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addition, the Dodd-Frank Act limits the ability of payment card networks to impose certain restrictions because it allows merchants to: 1) set minimum dollar amounts (not to exceed $10.00) for the acceptance of a credit card (and allows federal governmental entities and institutions of higher education to set maximum amounts for the acceptance of credit cards); and 2) provide discounts or incentives to encourage consumers to pay with cash, checks, debit cards or credit cards.</w:t>
      </w:r>
    </w:p>
    <w:p>
      <w:pPr>
        <w:spacing w:after="0" w:line="13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rules also contain prohibitions on network exclusivity and merchant routing restrictions. These rules require a card issuer to: 1) enable at least two unaffiliated networks on each debit card; 2) prohibit card networks from entering into exclusivity arrangements; and 3)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Dodd-Frank Act created the CFPB, which has assumed responsibility for enforcing federal consumer protection laws, and the FSOC, which was established to, among other things, identify risks to the stability of the U.S. financial system. The FSOC has the authority to require supervision and regulation of nonbank financial companies that the FSOC determines pose a systemic risk to the U.S. financial system. Accordingly, we may be subject to additional systemic risk-related oversight.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Payment Network Rules and Standards</w:t>
      </w:r>
    </w:p>
    <w:p>
      <w:pPr>
        <w:spacing w:after="0" w:line="18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Banking Laws and Regulations</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FFIEC is an interagency body comprised of federal bank and credit union regulators such as the Federal Reserve Board, the FDIC, the National Credit Union Administration, the Office of the Comptroller of the Currency and the CFPB. The FFIEC examines large data processors to identify and mitigate risks associated with systemically significant service providers, including specifically the risks they may pose to the banking industry.</w:t>
      </w:r>
    </w:p>
    <w:p>
      <w:pPr>
        <w:spacing w:after="0" w:line="13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are considered by the FFIEC to be a TSP based on the services we provide to FIs. As a TSP, we are subject to audits by an interagency group consisting of the Federal Reserve System, the FDIC, and the Office of the Comptroller of the Currency.</w:t>
      </w:r>
    </w:p>
    <w:p>
      <w:pPr>
        <w:spacing w:after="0" w:line="12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Through our subsidiary, Finxera, Inc., we also hold money transmission licenses in forty six U.S. states, the District of Columbia and two U.S. territories. Accordingly, we are subject to the applicable laws and regulations and are subject to examinations by state banking regulators.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Privacy and Information Security Laws</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provide services that may be subject to various state, federal and foreign privacy laws and regulations. These laws and regulations include: 1) the federal Gramm-Leach-Bliley Act of 1999, which applies to a broad range of FIs and to companies that provide services to FIs in the U.S.; 2) certain health care technology laws, including HIPAA and the Health Information Technology for Economic and Clinical Act; and 3) the CCPA, which establishes a new privacy framework for covered businesses by: i) creating an expanded definition of personal information; ii) establishing new data privacy rights for consumers in the State of California; iii) imposing special rules on the collection of consumer data from minors; and iv) creating a new and potentially severe statutory damages framework for violations of the CCPA and for businesses that fail to implement reasonable security procedures and practices to prevent data breaches. We are also subject to a variety of foreign data protection and privacy laws, including, without limitation, Directive 95/46/EC, as implemented in each member state of the European Union and its successor, the General Data Protection Regulation. Among other things, these foreign and domestic laws, and their implementing regulations, in certain cases: 1) restrict the collection, processing, storage, use and disclosure of personal information; 2) require notice to individuals of privacy practices, and provide individuals with certain rights to prevent use; and 3) disclosure of protected information. These laws also impose requirements for safeguarding and removal or elimination of personal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AML and Counter-terrorism Regulation</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U.S. federal anti-money laundering laws and regulations, including the BSA, and the BSA implementing regulations administered by FinCEN, a bureau of the U.S.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FIs that are directly subject to U.S. federal anti-money laundering laws and regulations, we have developed an anti-money laundering compliance program to best assist our clients in meeting such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are subject to certain economic and trade sanctions programs that are administered by OFAC of the U.S.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Telephone Consumer Protection Act and Telemarketing Sales Rule</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are subject to the Federal TCPA and various state laws to the extent we place telephone calls and SMS messages to clients and consumers. The TCPA regulates certain telephone calls and SMS messages placed using automatic telephone dialing systems or artificial or prerecorded voices and can alter the way we do business. Additionally, as a provider of dedicated accounts in the debt resolution industry, we are also subject to certain requirements of the Telemarketing Sales Rule which requires independence of account administrators and certain prohibitions against advance payment of fees.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Escheat Laws</w:t>
      </w:r>
    </w:p>
    <w:p>
      <w:pPr>
        <w:spacing w:after="0" w:line="18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are subject to U.S. federal and state unclaimed or abandoned property laws that require us to transfer to certain government authorities the unclaimed property of other that we hold when that property has been unclaimed for a certain period of time. Moreover, we are subject to audit by state and foreign regulatory authorities with regard to our escheatment practices.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Regulation</w:t>
      </w:r>
    </w:p>
    <w:p>
      <w:pPr>
        <w:spacing w:after="0" w:line="18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The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is not an exhaustive list of the laws, rules and regulations which we are subject to and the regulatory framework governing our business is changing continuously.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developed a payments platform that includes many instances of proprietary software, code sets, workflows and algorithms. It is our practice to enter confidentiality, non-disclosure and invention assignment agreements with our employees and contractors, and to enter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18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of December 31, 2024, we employed 1,019 employees of which 1005 were employed full time. We have employees residing throughout the U.S., Canada and India. None of our employees are represented by a labor union or covered by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Growth and Development</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Our strategy to develop and retain the best talent includes an emphasis on employee training and development. We promote our core values of ownership, innovation, camaraderie, service, authenticity and trust as an organization and offer awards to colleagues who exemplify these qualities. We require a mandatory online training curriculum for our employees that includes annual anti-harassment and anti-discrimination training.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Inclusion and Diversity</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inclusion and diversity program focuses on our employees, workplace and community. We believe that our business is strengthened by a diverse workforce that reflects the communities in which we operate. We believe all of our employees should be treated with respect and equality, regardless of gender, ethnicity, sexual orientation, gender identity, religious beliefs or other characteristics. Inclusion and diversity remain a common thread in all of our human resource practices so that we can attract, develop and retain the best talent for our workforce.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Availability of Filings</w:t>
      </w:r>
    </w:p>
    <w:p>
      <w:pPr>
        <w:spacing w:after="0" w:line="18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amendments to those reports filed or furnished pursuant to Section 13(a) or 15(d) of the Exchange Act, are made available free of charge on our internet website at www.prioritycommerce.com, as soon as reasonably practicable after we have electronically filed the material with, or furnished it to the SEC. The SEC maintains an internet site that contains our reports, proxy and information statements and our other SEC filings. The address of that website is 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i w:val="1"/>
          <w:iCs w:val="1"/>
          <w:color w:val="auto"/>
        </w:rPr>
        <w:t>An investment in our Common Stock and our financial results are subject to a number of risks. You should carefully consider the risks described below and all other information contained in this Annual Report on Form 10-K and the documents incorporated by reference. Our business, prospects, financial condition or operating results could be harmed by any of these risks, as well as other risks not currently known to us or that we currently consider immaterial. Additional risks and uncertainties, including those generally affecting the industry in which we operate and risks that management currently deems immaterial, may arise or become material in the future and affect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Related to Our Business</w:t>
      </w:r>
    </w:p>
    <w:p>
      <w:pPr>
        <w:spacing w:after="0" w:line="17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Unauthorized access to our systems or unauthorized disclosure of customer or cardholder data, whether through breach of our computer systems, computer viruses, or otherwise, could expose us to liability, protracted and costly litigation and damage our reputation.</w:t>
      </w:r>
    </w:p>
    <w:p>
      <w:pPr>
        <w:spacing w:after="0" w:line="12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services include the processing, transmission and storing of sensitive business and personal information about our customers, customers' customers, vendors, partners and other third parties. This information may include credit and debit card numbers, bank account numbers, personal identification numbers, names and addresses or other sensitive business information. This information may also be stored by third parties to whom we outsource certain functions or other agents ("associated third parties"). We may have responsibility to the card networks, FIs, and in some instances, our merchants, and/or ISOs, for our failure or the failure of our associated third parties to protect this information.</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The techniques used to obtain unauthorized access, disable or degrade service, sabotage systems or utilize payment systems in an effort to perpetrate financial fraud change frequently and are often difficult to detect and all of which we are vulnerable to. We have been the target of brute force attempts to obtain unauthorized access to our systems. Threats may derive from human error, fraud or malice on the part of employees or third parties, or may result from accidental technological failure. Computer viruses can be distributed and spread rapidly over the internet and could infiltrate our systems or those of our associated third parties. Additionally, denial of service or other attacks could be launched against us for a variety of purposes, including interfering with our services or to create a diversion for other malicious activities. Our defensive measures may not prevent down-time, unauthorized access or use of sensitive data. While we maintain insurance coverage that will cover certain aspects of cyber risks, such insurance coverage may be insufficient to cover all losses. Furthermore, we do not control the actions of our third-party partners and customers in their systems. These third parties may experience security breaches and any future problems experienced by these third parties, including those resulting from cyber attacks or other breakdowns or disruptions in services, could adversely affect our ability to conduct our business or expose us to liability. Further, our agreements with our bank sponsors and our third-party payment processors (as well as payment network requirements) require us to take certain protective measures to ensure the confidentiality of merchant and consumer data. Any such actions, attacks or failure to adequately comply with these protective measures could hurt our reputation, force us to incur significant expenses in remediating the resulting impacts, expose us to uninsured liability, result in the loss of our bank sponsors or our ability to participate in the payment networks, or subject us to fees, penalties, sanctions, litigation or termination of our bank sponsor agreements or our third-party payment processor agreements.</w:t>
      </w:r>
    </w:p>
    <w:p>
      <w:pPr>
        <w:spacing w:after="0" w:line="15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systems or our third-party providers' systems may fail, which could interrupt our service, cause us to lose business, increase our costs and expose us to liability.</w:t>
      </w:r>
    </w:p>
    <w:p>
      <w:pPr>
        <w:spacing w:after="0" w:line="18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depend on the efficient and uninterrupted operation of our computer systems, software, data centers and telecommunications networks, as well as the systems and services of third parties. A system outage or data loss could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material adverse effect on our business, financial condition, results of operations and cash flows. Not only could we suffer damage to our reputation in the event of a system outage or data loss, but we may also be liable to third parties. Many of our contractual agreements with FIs and certain other customers require the payment of penalties if we do not meet certain operating standards. Our systems and operations or those of our third-party providers could be exposed to damage or interruption from, among other things, fire, natural disaster, power loss or telecommunications failure.</w:t>
      </w:r>
    </w:p>
    <w:p>
      <w:pPr>
        <w:spacing w:after="0" w:line="13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payment processing industry is highly competitive. We primarily compete in the SMB merchant, B2B customer, and Enterprise industry. We compete with FIs and their affiliates, independent payment processing companies and ISOs. We also compete with many of these same entities for production through distribution partners. Many of our distribution partners are not exclusive to us but also have relationships with our competitors, such that we have to continually expend resources to maintain those relationships. Our growth will depend on the continued growth of banking services, Electronic Payments, particularly Electronic Payments to SMB merchants, B2B payments and our ability to increase our market share through successful competitive efforts to gain new customers and distribution partners.</w:t>
      </w:r>
    </w:p>
    <w:p>
      <w:pPr>
        <w:spacing w:after="0" w:line="14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Additionally, many FIs and their subsidiaries or well-established payment-enabled technology providers with which we compete, have substantially greater capital, technological, management and marketing resources than we have. These factors may allow our competitors to offer better pricing terms to customers and more attractive compensation to distribution partners, which could result in a loss of our potential or current customers and distribution partners. Our current and future competitors may also develop or offer services that have price or other advantages over the services we provide.</w:t>
      </w:r>
    </w:p>
    <w:p>
      <w:pPr>
        <w:spacing w:after="0" w:line="140"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We also face new, well capitalized, competition from emerging technology and non-traditional payment processing companies as well as traditional companies offering alternative banking services, Electronic Payments services and payment-enabled software solutions. If these new entrants gain a greater share of total Electronic Payments transactions, they could impact our ability to retain and grow our relationships with customers and distribution partners.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Increased customer or referral partner attrition could cause our financial results to decline.</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experience attrition in customer credit and debit card processing volume resulting from several factors, including business closures, transfers of customers accounts to our competitors, unsuccessful contract renewal negotiations and account closures that we initiate for various reasons such as heightened credit risks or contract breaches by merchants. Our referral partners are a significant source of new business. If a referral partner switches to another processor, terminates our services, internalizes payment processing that we perform, merges with or is acquired by one of our competitors, or shuts down or becomes insolvent, we may no longer receive new customers referrals from such referral partner, and we risk losing existing merchants that were originally enrolled by the referral partner. We cannot predict the level of attrition in the future and it could increase. Higher than expected attrition could negatively affect our results, which could have a material adverse effect on our business, financial condition, results of operations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card association and debit network fees or products could increase costs or otherwise limit our operations.</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payment network rules or standards could adversely affect our business, financial condition and results of operations.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Payment network rules are established and changed from time to time by each payment network as they may determine in their sole discretion and with or without advance notice to their participants. The timelines imposed by the payment networks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sponsor banks for expected compliance with new rules have historically been, and may continue to be, highly compressed, requiring us to quickly implement changes to our systems which increases the risk of non-compliance with new standards or the reduction of certain types of merchant activity. In addition, the payment networks could make changes to interchange or other elements of the pricing structure of the merchant acquiring industry that would have a negative impact on our results of operations.</w:t>
      </w:r>
    </w:p>
    <w:p>
      <w:pPr>
        <w:spacing w:after="0" w:line="13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To remain competitive and to continue to increase our revenues and earnings, we must continually update our products and services, a process which could result in increased costs and the loss of revenues, earnings, customers and distribution partners if the new products and services do not perform as intended or are not accepted in the marketplace.</w:t>
      </w:r>
    </w:p>
    <w:p>
      <w:pPr>
        <w:spacing w:after="0" w:line="12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 Electronic Payments industry in which we compete is subject to rapid technological changes and is characterized by new technology, product and service introductions, evolving industry standards, changing customer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customers and the industry at large.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regulatory agencies,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 create certain risks and may adversely affect our business, financial condition, or results of operations.</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actively acquired businesses and expect to continue to make acquisitions of businesses and assets in the future. The acquisition and integration of businesses and assets involve a number of risks. These risks include valuation (negotiating a fair price for the business and assets), integration (managing the process of integrating the acquired business' people, products, technology, and other assets to realize the projected value and synergies), regulatory (obtaining any applicable regulatory or other government approvals), and due diligence (identifying risks to the prospects of the business, including undisclosed or unknown liabilities or restrictions).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can subject us to a variety of other risks:</w:t>
      </w:r>
    </w:p>
    <w:p>
      <w:pPr>
        <w:spacing w:after="0" w:line="146" w:lineRule="exact"/>
        <w:rPr>
          <w:sz w:val="20"/>
          <w:szCs w:val="20"/>
          <w:color w:val="auto"/>
        </w:rPr>
      </w:pPr>
    </w:p>
    <w:p>
      <w:pPr>
        <w:ind w:left="520" w:right="3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successfully integrate the benefits plans, duties and responsibilities and other factors of interest to management of employees of the acquired business, we could lose employees to our competitors in the region, which could significantly affect our ability to operate the business and complete the integration;</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integration process causes any delays with the delivery of our services, or the quality of those services, we could lose customers to our competitors;</w:t>
      </w:r>
    </w:p>
    <w:p>
      <w:pPr>
        <w:spacing w:after="0" w:line="178"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 may otherwise cause disruption to the acquired company's business and operations and relationships with financial institution sponsors, customers, merchants, employees and other partners;</w:t>
      </w:r>
    </w:p>
    <w:p>
      <w:pPr>
        <w:spacing w:after="0" w:line="124"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 and the related integration could divert the attention of our management from other strategic matters including possible acquisitions and alliances and planning for new product development or expansion into new markets for payments technology and software solutions;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related to the integration of an acquired company's business and operations into ours may be greater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economic and political risk, the business cycles of our customers and distribution partners and the overall level of consumer and commercial spending, which could negatively impact our business, financial condition and results of operations.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customers make fewer sales of their products and services using Electronic Payments, or consumers spend less money through Electronic Payments, we will have fewer transactions to process at lower dollar amounts, resulting in lower revenue. In addition, a weakening in the economy could force customers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45"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2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Worldwide financial market conditions, as well as various social and political tensions in the U.S. and around the world, may contribute to increased market volatility, may have long-term effects and may cause economic uncertainties or deterioration in the U.S. In addition, the fiscal and monetary policies of foreign nations, such as Russia and China, may have a severe impact on U.S. financial</w:t>
      </w:r>
    </w:p>
    <w:p>
      <w:pPr>
        <w:spacing w:after="0" w:line="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markets. We are monitoring the conflicts between Russia and Ukraine and Israel and Hamas. While we do not expect that such conflicts will themselves be material to our business, geopolitical instability and adversity arising from such conflict (including additional conflicts that could arise from such conflicts), the imposition of sanctions, taxes and/or tariffs against one of the countries or their response to such sanctions (including retaliatory acts, such as cyber attacks and sanctions against other countries) could adversely affect the global economy or specific international, regional and domestic markets, which could have a material adverse effect on our business, results of operations or financial condition.</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Any new legislation that may be adopted in the U.S. could significantly affect the regulation of U.S. financial markets. Areas subject to potential change, amendment or repeal include the Dodd-Frank Act and the authority of the Federal Reserve Board and the FSOC. The U.S. may also potentially withdraw from or renegotiate various trade agreements and take other actions that would change current trade policies of the U.S. We cannot predict which, if any, of these actions will be taken or, if taken, their effect on the financial stability of the U.S.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45"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FIs and other service and technology providers. If they fail or discontinue providing their services or technology generally or to us specifically, our ability to provide services to customers may be interrupted, and, as a result, our business, financial condition and results of operations could be adversely impacted.</w:t>
      </w:r>
    </w:p>
    <w:p>
      <w:pPr>
        <w:spacing w:after="0" w:line="12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We rely on various FIs to provide clearing services in connection with our settlement activities. If such FIs should stop providing clearing services, we must find other FIs to provide those services. Additionally, we rely on FIs to facilitate our B2B and money transmission services offerings. If we are unable to find a replacement financial institution, we may no longer be able to provide these services to certain customers, which could negatively affect our revenues, earnings and cash flows.</w:t>
      </w:r>
    </w:p>
    <w:p>
      <w:pPr>
        <w:spacing w:after="0" w:line="136"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We also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Fraud by customers or others could cause us to incur losses.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have potential liability for fraudulent Electronic Payment transactions or credits initiated by customers or others. Examples of customer fraud include when a merchant or other party knowingly uses a stolen or counterfeit credit or debit card, card number, or other credentials to record a false sales or credit transaction, processes an invalid card, or intentionally fails to deliver the merchandise or services sold in an otherwise valid transaction. Criminals are using increasingly sophisticated methods to engage in illegal activities such as counterfeiting and fraud. Failure to effectively manage risk and prevent fraud could increase in the future. Increases in chargebacks, ACH returns or other liabilities could have a material adverse effect on our financial condition, results of operations and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liability when our customers refuse or cannot reimburse us for chargebacks resolved in favor of their customers or ACH returns.</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Similarly, if a return is made against a customer for whom we have collected an ACH payment and that customer does not have adequate funds to offset such a return, we may incur a loss.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customers could have a material adverse effect on our business.</w:t>
      </w:r>
    </w:p>
    <w:p>
      <w:pPr>
        <w:spacing w:after="0" w:line="14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the applicable requirements of the card networks, they could seek to fine us, suspend us or terminate our registrations for membership. If we incur fines or penalties for which our customers or ISOs are responsible that we cannot collect, we may have to bear the cost of such fines or penalties</w:t>
      </w:r>
      <w:r>
        <w:rPr>
          <w:rFonts w:ascii="Times New Roman" w:cs="Times New Roman" w:eastAsia="Times New Roman" w:hAnsi="Times New Roman"/>
          <w:sz w:val="14"/>
          <w:szCs w:val="14"/>
          <w:b w:val="1"/>
          <w:bCs w:val="1"/>
          <w:color w:val="auto"/>
        </w:rPr>
        <w:t>.</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are subject to card association and network rules that could subject us to a variety of fines or penalties that may be levied by the card networks for certain acts or omissions. The rules of the card networks are set by the card networks themselves and may be influenced by card issuers, some of which are our competitors with respect to processing services. Many banks directly or indirectly sell processing services to merchants in direct competition with us. These banks could attempt, by virtue of their influence on the networks, to alter the networks' rules or policies to the detriment of non-members, including us. The termination of our registrations or our membership status as a service provider or merchant processor, or any changes in a card association or other network rules or standards, including interpretation and implementation of the rules or standards, that increase the cost of doing business or limit our ability to provide transaction processing services to our customers, could have a material adverse effect on our business, financial condition, results of operations and cash flows. If a customer or an ISO fails to comply with the applicable requirements of the card associations and networks, we or the customer or ISO could be subject to a variety of fines or penalties that may be levied by the card associations or networks. If we cannot collect or pursue collection of such amounts from the applicable customer or ISO, we may have to bear the cost of such fines or penalties, resulting in lower earnings for us. The termination of our registration, or any changes in the Visa or Mastercard rules that would impair our registration, could require us to stop providing Visa and Mastercard payment processing services, which would make it impossible for us to conduct our business on its current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responsible for the actions of our vendors in some circumstances.</w:t>
      </w:r>
    </w:p>
    <w:p>
      <w:pPr>
        <w:spacing w:after="0" w:line="18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use third parties to provide services to us including IT related services and sales related functions. Should a cybersecurity related event or other act of negligence occur as a result of a third-party service provider, we may be liable for those 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failures and resulting interruptions in the availability of our products or services could harm our business and reputation.</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Our business depends heavily on the reliability of our systems. An operational failure that results in an interruption in the availability of our products and services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ransomware, denial-of-service 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 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enhanced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Regulatory Compliance and Tax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 could have a material adverse effect on our business, financial condition or results of operations.</w:t>
      </w:r>
    </w:p>
    <w:p>
      <w:pPr>
        <w:spacing w:after="0" w:line="18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litigation or investigation significantly exceed our insurance coverage, they could have a material adverse effect on our business, financial condition and results of operations.</w:t>
      </w:r>
    </w:p>
    <w:p>
      <w:pPr>
        <w:spacing w:after="0" w:line="177"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affected by laws and regulations and examinations that affect us and our industries. Regulation and proposed regulation of the payments industry has increased significantly in recent</w:t>
      </w:r>
    </w:p>
    <w:p>
      <w:pPr>
        <w:spacing w:after="0" w:line="4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years. Failure to comply with regulations or guidelines may result in the suspension or revocation of a license or registration, the limitation, suspension or termination of service, including money transmission services, and the imposition of civil and criminal penalties, including fines, or may cause customers or potential customers to be reluctant to do business with us, any of which could have an adverse effect on our financial condition.</w:t>
      </w:r>
    </w:p>
    <w:p>
      <w:pPr>
        <w:spacing w:after="0" w:line="136"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4"/>
          <w:szCs w:val="14"/>
          <w:color w:val="auto"/>
        </w:rPr>
        <w:t>Interchange fees are subject to intense legal, regulatory and legislative scrutiny. In particular, the Dodd-Frank Act limits the amount of debit card fees charged by certain issuers, allowing merchants to set minimum dollar amounts for the acceptance of credit cards and allowing merchants to offer discounts or other incentives for different payment methods. These types of restrictions could</w:t>
      </w:r>
    </w:p>
    <w:p>
      <w:pPr>
        <w:spacing w:after="0" w:line="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negatively affect the number of debit transactions, which would adversely affect our business. The Dodd-Frank Act also created the CFPB, which has assumed responsibility for enforcing federal consumer protection laws, and the FSOC, which has the authority to determine whether any non-bank financial company, which may include us within the definitional scope, should be supervised by the Federal Reserve because it is systemically important to the U.S. financial system. Any such designation would result in increased regulatory burdens on our business, which increases our risk profile and may have an adverse impact on our business, financial condition and results of operations.</w:t>
      </w:r>
    </w:p>
    <w:p>
      <w:pPr>
        <w:spacing w:after="0" w:line="14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and many of our merchants may be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4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Our business may also be subject to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2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Separately, the Housing Assistance Tax Act of 2008 included an amendment to the Internal Revenue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manage our intellectual property and may be subject to infringement claims.</w:t>
      </w:r>
    </w:p>
    <w:p>
      <w:pPr>
        <w:spacing w:after="0" w:line="18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may also be subject to costly litigation if our services and technology are alleged to infringe upon or otherwise violate a third 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regulations could adversely affect our results of operations and cash flows from operations.</w:t>
      </w:r>
    </w:p>
    <w:p>
      <w:pPr>
        <w:spacing w:after="0" w:line="181"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risk management policies and procedures may not be fully effective in mitigating our risk exposure in all market environments or against all types of risks.</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costs and subject us to reputational damage that could limit our ability to grow and cause us to lose existing merchant clients.</w:t>
      </w:r>
    </w:p>
    <w:p>
      <w:pPr>
        <w:spacing w:after="0" w:line="177"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p>
    <w:p>
      <w:pPr>
        <w:spacing w:after="0" w:line="1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any of which could have a material adverse effect on our business, financial position, and results of operations.</w:t>
      </w:r>
    </w:p>
    <w:p>
      <w:pPr>
        <w:spacing w:after="0" w:line="1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Recently, federal bank regulators have increasingly focused on the risks related to bank and non-bank financial service company partnerships, raising concerns regarding risk management, oversight, internal controls, information security, change management, and information technology operational resilience. This focus is demonstrated by recent regulatory enforcement actions against banks that have allegedly not adequately addressed these concerns while growing their non-bank financial service offerings. Additionally, there are ongoing investigations by federal and state governmental entities concerning a prepaid debit card product program that was offered by the Company through an independent program manager. We could be subject to additional regulatory scrutiny with respect to that portion of our business that could have a material adverse effect on the business, financial condition, results of operations and growth prospects of the Company.</w:t>
      </w:r>
    </w:p>
    <w:p>
      <w:pPr>
        <w:spacing w:after="0" w:line="1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16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Disruptions or security failures in our information technology systems, including as a result of cybersecurity incidents, could create liability for us and/or limit our ability to effectively monitor, operate and control our operations and adversely affect our reputation, business, financial condition, results of operation and cash flows.</w:t>
      </w:r>
    </w:p>
    <w:p>
      <w:pPr>
        <w:spacing w:after="0" w:line="12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may face risks related to cybersecurity, such as unauthorized access, cybersecurity attacks and other security incidents, which could adversely affect our business and operations. The Company relies upon operational and information systems, some of which are managed by third parties, to process, transmit and store electronic information and to manage or support a variety of our business processes, activities and products. Additionally, we collect and store sensitive data, including the personally identifiable information of our customers and employees, in data centers and on information systems (including systems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may be controlled or maintained by third parties). The Company’s business, and in particular, the debit card and cash management solutions business and global payments business, is dependent on its ability to process and monitor, on a daily basis, a large number of transactions, many of which are highly complex, across numerous and diverse markets. These transactions, as well as the information technology services provided to clients, often must adhere to client-specific guidelines, as well as legal and regulatory standards. Due to the breadth and geographical reach of the Company’s client base, developing and maintaining its operational and information systems and infrastructure is challenging, particularly as a result of rapidly evolving legal and regulatory requirements and technological shifts.</w:t>
      </w:r>
    </w:p>
    <w:p>
      <w:pPr>
        <w:spacing w:after="0" w:line="14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Although the Company continues to take protective measures to maintain the confidentiality, integrity and security of our operational and information systems and infrastructure, the techniques used in cyberattacks are becoming increasingly diverse and sophisticated. For example, the Company’s operational and information systems or infrastructure, or those of our third-party providers, may be vulnerable to unauthorized access, loss or destruction of data (including confidential client information), account takeovers, disruptions of service, computer viruses or other malicious code, cyberattacks and other incidents that could create a cybersecurity event, any of which could remain undetected for an extended period of time. Furthermore, the Company may not be able to ensure that all of its clients, suppliers, counterparties and other third parties have appropriate controls in place to protect themselves from cyberattacks or to protect the confidentiality of the information that they exchange with us, particularly where such information is transmitted by electronic means. Given the increasingly high volume of transactions, certain errors may be repeated or compounded before they can be discovered and rectified. In addition, the increasing reliance on information systems, and the occurrence and potential adverse impact of attacks on such systems, both generally and in the financial services industry, have encouraged increased government and regulatory scrutiny of the measures taken by companies to protect against cybersecurity threats and incidents. As these threats, incidents and government and regulatory oversight of associated risks continue to evolve, the Company may be required to expend additional resources to enhance or expand upon the security measures it currently maintains. Although the Company has developed, and continues to invest in, systems and processes that are designed to detect and prevent security breaches and cyberattacks, a breach of its systems and global payments infrastructure or those of our non-bank financial service partners and processors could result in: losses to the Company and its customers; loss of business and/or customers; damage to its reputation; the incurrence of additional expenses (including the cost of notification to consumers, credit monitoring and forensics, and fees and fines imposed by the card networks); disruption to its business; an inability to grow its online services or other businesses; additional regulatory scrutiny or penalties; and/or exposure to civil litigation and possible financial liability — any of which could have a material adverse effect on the Company’s business, financial condition and results of operations. We have not encountered cybersecurity threats or incidents that have materially and adversely affected, or are reasonably likely to materially and adversely affect, the Company’s business, results of operations or financial condition; however, the impacts of such threats or incidents in the future may be material.</w:t>
      </w:r>
    </w:p>
    <w:p>
      <w:pPr>
        <w:spacing w:after="0" w:line="170"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 xml:space="preserve">While the Company maintains cybersecurity insurance, the costs related to cybersecurity threats or disruptions may not be fully insured. For information on our cybersecurity risk management, strategy and governance, see </w:t>
      </w:r>
      <w:r>
        <w:rPr>
          <w:rFonts w:ascii="Times New Roman" w:cs="Times New Roman" w:eastAsia="Times New Roman" w:hAnsi="Times New Roman"/>
          <w:sz w:val="14"/>
          <w:szCs w:val="14"/>
          <w:u w:val="single" w:color="auto"/>
          <w:color w:val="0000FF"/>
        </w:rPr>
        <w:t>Part I, Item 1C., Cybersecurity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Related to Our Capital 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our substantial indebtedness.</w:t>
      </w:r>
    </w:p>
    <w:p>
      <w:pPr>
        <w:spacing w:after="0" w:line="18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We have a substantial amount of indebtedness and may incur other debt in the future. Our level of debt and the covenants to which we agreed could have negative consequences on us, including, among other things, (i) requiring us to dedicate a large portion of our cash flow from operations to servicing and repayment of the debt; (ii) limiting funds available for strategic initiatives and opportunities, working capital and other general corporate needs and (iii) limiting our ability to incur certain kinds or amounts of additional indebtedness, which could restrict our ability to react to changes in our business, our industry and economic conditions.</w:t>
      </w:r>
    </w:p>
    <w:p>
      <w:pPr>
        <w:spacing w:after="0" w:line="14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242424"/>
        </w:rPr>
        <w:t>Substantially all of our indebtedness is variable rate debt, primarily based on SOFR, which replaced LIBOR effective June 30, 2023. As a result of this variable rate debt, an increase in interest rates generally, such as those we have recently experienced, would adversely affect our profitability. We may enter into pay-fixed interest rate swaps or other derivative transactions to limit our exposure to changes in floating interest rates. Such instruments may result in economic losses should interest rates decline to a point lower than our fixed rate commitments. We would be exposed to credit-related losses, which could impact the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42424"/>
        </w:rPr>
        <w:t>of operations in the event of fluctuations in the fair value of the interest rate swaps due to a change in the credit worthiness or non-performance by the counterparties to the interest rate swaps.</w:t>
      </w:r>
    </w:p>
    <w:p>
      <w:pPr>
        <w:spacing w:after="0" w:line="17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2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limit our ability to:</w:t>
      </w:r>
    </w:p>
    <w:p>
      <w:pPr>
        <w:spacing w:after="0" w:line="136"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or redeem or purchase equity interests;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debt;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nature of our business;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transactions with affiliates;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acquisitions or other investments;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 with other entities.</w:t>
      </w:r>
    </w:p>
    <w:p>
      <w:pPr>
        <w:spacing w:after="0" w:line="17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In addition, the credit agreement governing our revolving credit facility contains a total net leverage ratio financial covenant that is applicable when 35% or more of the revolving credit facility is drawn at quarter end. A breach of any of these covenants (or any other covenant in the documents governing our Credit and Guaranty Agreement) could result in a default or event of default under our Credit and Guaranty Agreement. If an event of default occurred,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and Guaranty Agreement. Any acceleration of amounts due under the Credit and Guaranty Agreement would likely have a material adverse effect on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Ownership of Our Stock</w:t>
      </w:r>
    </w:p>
    <w:p>
      <w:pPr>
        <w:spacing w:after="0" w:line="17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Mr. Thomas Priore, our Chief Executive Officer and Chairman, controls the Company, and his interests may conflict with ours or yours in the future.</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4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shareholders'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4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sales of common stock by our directors and officers, or their pledgees, as a result of foreclosure could adversely affect the price of common stock and could, in the future, result in a loss of control of our company.</w:t>
      </w:r>
    </w:p>
    <w:p>
      <w:pPr>
        <w:spacing w:after="0" w:line="1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Upon the approval of our Board, our directors and officers may pledge shares of common stock as collateral for personal loans or investments in favor of third parties. Depending on the status of the various loan obligations for which the stock would ultimately serve as collateral and the trading price of our common stock, our directors and/or officers, and their affiliates, may experience foreclosure that could result in the sale of the pledged stock, in the open market or otherwise. Sales by these pledgees may not be subject to the volume limitations of Rule 144 of the Securities Act. Even in the absence of shares being sold, the act of pledging shares and the risk of sales of shares may create a misalignment of interests between insider pledgors and the Company’s shareholders, as the insider may be incentivized to take actions that limit his or her exposure to such sales. Either scenario could potentially subject the Company and its insiders to shareholder lawsuits, particularly in an environment of declining share prices. As of the date of this Form 10-K, no officer or director that has pledged shares of common stock.</w:t>
      </w:r>
    </w:p>
    <w:p>
      <w:pPr>
        <w:spacing w:after="0" w:line="14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a material weakness in our internal control over financial reporting, and if our remediation of such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2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In the course of preparing our financial statements for the year ended December 31, 2024, we identified a material weakness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pertains to certain tools or applications involved in the transformation and ingestion of third-party processors’ data in the Company’s control environment.</w:t>
      </w:r>
    </w:p>
    <w:p>
      <w:pPr>
        <w:spacing w:after="0" w:line="162"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6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recognize the importance of maintaining the trust and confidence of the customers we serve, our business partners, employees and our shareholders and are committed to protecting the confidentiality, integrity and reliance of our business operations and systems. Effective data protection and cyber security practices, including responsible stewardship of our intellectual property and the secure processing, storage, maintenance and transmission of critical information by us and other third parties with whom we do business is vital to our operations. We have adopted policies and procedures with an intended design to identify, assess and manage risks associated with cybersecurity threats.</w:t>
      </w:r>
    </w:p>
    <w:p>
      <w:pPr>
        <w:spacing w:after="0" w:line="161"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perform risk assessments periodically at both an enterprise level and system level in addition to assessments performed by third parties;</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information security team performs threat monitoring services;</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Internal Audit function performs annual reviews of selected systems and applications to test certain controls;</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Independent consultants evaluate selected systems and applications on an annual basis;</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perform risk assessments of third-party vendors and perform ongoing risk-based monitoring of those third parties; and</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maintain a business continuity plan for execution in the event of a cybersecurity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have not experienced any material cybersecurity incidents in the past calendar years and the expenses we have incurred from cybersecurity incidents during that time were immaterial. We have not identified risks from known cybersecurity threats that have materially affected us, including our operations, business strategy, results of operations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81" w:lineRule="exact"/>
        <w:rPr>
          <w:sz w:val="20"/>
          <w:szCs w:val="20"/>
          <w:color w:val="auto"/>
        </w:rPr>
      </w:pPr>
    </w:p>
    <w:p>
      <w:pPr>
        <w:ind w:right="40"/>
        <w:spacing w:after="0" w:line="334" w:lineRule="auto"/>
        <w:rPr>
          <w:sz w:val="20"/>
          <w:szCs w:val="20"/>
          <w:color w:val="auto"/>
        </w:rPr>
      </w:pPr>
      <w:r>
        <w:rPr>
          <w:rFonts w:ascii="Times New Roman" w:cs="Times New Roman" w:eastAsia="Times New Roman" w:hAnsi="Times New Roman"/>
          <w:sz w:val="14"/>
          <w:szCs w:val="14"/>
          <w:color w:val="auto"/>
        </w:rPr>
        <w:t>Our Board considers cybersecurity risk as part of its risk oversight function. The Board oversees the Company’s overall risk framework including management’s implementation of our cybersecurity risk management program. The Board receives reports from the Chief Risk Officer on a regular basis on cybersecurity and information technology risk management.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Company’s cybersecurity team, overseen by our Chief Information Security Officer (“CISO”) is responsible for assessing and managing our risks from cybersecurity threats, including defining</w:t>
      </w:r>
    </w:p>
    <w:p>
      <w:pPr>
        <w:spacing w:after="0" w:line="4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security policy and furnishing related information for Board reporting. The CISO approves all security policies and oversees the identification, assessment, and management of security risks. The CISO regularly reports to management’s SOX Committee which may elevate cybersecurity issues to the Board at any time.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from several offices throughout the U.S. and one office in India, all of which we 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key office locations include:</w:t>
      </w:r>
    </w:p>
    <w:p>
      <w:pPr>
        <w:spacing w:after="0" w:line="179"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headquarters in Alpharetta, GA;</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Hicksville, NY;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New York, NY;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Dallas, TX;</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Houston, TX;</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Nashville, TN;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Chattanooga, TN;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San Francisco, CA;</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Raleigh, NC;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office in Chandigarh, India.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lease several small facilities for sales and operations. Our current facilities meet the needs of our employee base and can accommodate our currently contemplated growth.</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is a party in a case filed on October 11, 2023 in the United States District Court of Northern District of California (the “Complaint”). The Complaint is a putative class action against The Credit Wholesale Company, Inc. (“Wholesale”), Priority Technology Holdings, Inc., Priority Payment Systems (“PPS”), LLC and Wells Fargo Bank, N.A. (“Wells Fargo”). The Complaint alleges that Wholesale as an agent of Priority, PPS and Wells Fargo made non-consensual recordation of telephonic communications with California businesses in violation of California Invasion of Privacy Act (the “Act”). The Complaint seeks to certify a class of affected businesses and an award of $5,000 per violation of the Act. On January 24, 2025, the court preliminarily approved the settlement agreement entered into by the parties wherein defendants agree to pay $19.5 million to settle this litigation. Any contribution toward the settlement by the Company will be nominal, and will not have any material impact on the Company's results of operations, financial conditions or cash flows.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On July 25, 2018, our Common Stock began trading on The Nasdaq Capital Market under the symbol "PRTH". As of February 28, 2025, we had 62 holders of record of our Common Stock. This figure does not include the number of persons whose securities are held in nominee or "street" name accounts through brokers. We have never declared or paid, and do not anticipate declaring or paying in the foreseeable future, any cash dividends on our Common 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120" w:type="dxa"/>
            <w:vAlign w:val="bottom"/>
          </w:tcPr>
          <w:p>
            <w:pPr>
              <w:spacing w:after="0"/>
              <w:rPr>
                <w:sz w:val="24"/>
                <w:szCs w:val="24"/>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 available for</w:t>
            </w:r>
          </w:p>
        </w:tc>
        <w:tc>
          <w:tcPr>
            <w:tcW w:w="0" w:type="dxa"/>
            <w:vAlign w:val="bottom"/>
          </w:tcPr>
          <w:p>
            <w:pPr>
              <w:spacing w:after="0"/>
              <w:rPr>
                <w:sz w:val="1"/>
                <w:szCs w:val="1"/>
                <w:color w:val="auto"/>
              </w:rPr>
            </w:pPr>
          </w:p>
        </w:tc>
      </w:tr>
      <w:tr>
        <w:trPr>
          <w:trHeight w:val="140"/>
        </w:trPr>
        <w:tc>
          <w:tcPr>
            <w:tcW w:w="378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020" w:type="dxa"/>
            <w:vAlign w:val="bottom"/>
            <w:gridSpan w:val="3"/>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31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future issuance under equity compensation plans</w:t>
            </w:r>
          </w:p>
        </w:tc>
        <w:tc>
          <w:tcPr>
            <w:tcW w:w="0" w:type="dxa"/>
            <w:vAlign w:val="bottom"/>
          </w:tcPr>
          <w:p>
            <w:pPr>
              <w:spacing w:after="0"/>
              <w:rPr>
                <w:sz w:val="1"/>
                <w:szCs w:val="1"/>
                <w:color w:val="auto"/>
              </w:rPr>
            </w:pPr>
          </w:p>
        </w:tc>
      </w:tr>
      <w:tr>
        <w:trPr>
          <w:trHeight w:val="189"/>
        </w:trPr>
        <w:tc>
          <w:tcPr>
            <w:tcW w:w="3780" w:type="dxa"/>
            <w:vAlign w:val="bottom"/>
            <w:gridSpan w:val="2"/>
            <w:vMerge w:val="continue"/>
          </w:tcPr>
          <w:p>
            <w:pPr>
              <w:spacing w:after="0"/>
              <w:rPr>
                <w:sz w:val="16"/>
                <w:szCs w:val="16"/>
                <w:color w:val="auto"/>
              </w:rPr>
            </w:pPr>
          </w:p>
        </w:tc>
        <w:tc>
          <w:tcPr>
            <w:tcW w:w="23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9"/>
              </w:rPr>
              <w:t>options, warrants and rights</w:t>
            </w:r>
            <w:r>
              <w:rPr>
                <w:rFonts w:ascii="Times New Roman" w:cs="Times New Roman" w:eastAsia="Times New Roman" w:hAnsi="Times New Roman"/>
                <w:sz w:val="18"/>
                <w:szCs w:val="18"/>
                <w:b w:val="1"/>
                <w:bCs w:val="1"/>
                <w:color w:val="auto"/>
                <w:w w:val="99"/>
                <w:vertAlign w:val="superscript"/>
              </w:rPr>
              <w:t>(1)</w:t>
            </w:r>
          </w:p>
        </w:tc>
        <w:tc>
          <w:tcPr>
            <w:tcW w:w="120" w:type="dxa"/>
            <w:vAlign w:val="bottom"/>
          </w:tcPr>
          <w:p>
            <w:pPr>
              <w:spacing w:after="0"/>
              <w:rPr>
                <w:sz w:val="16"/>
                <w:szCs w:val="16"/>
                <w:color w:val="auto"/>
              </w:rPr>
            </w:pPr>
          </w:p>
        </w:tc>
        <w:tc>
          <w:tcPr>
            <w:tcW w:w="1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4"/>
                <w:szCs w:val="14"/>
                <w:b w:val="1"/>
                <w:bCs w:val="1"/>
                <w:color w:val="auto"/>
                <w:w w:val="97"/>
              </w:rPr>
              <w:t>warrants and rights</w:t>
            </w:r>
            <w:r>
              <w:rPr>
                <w:rFonts w:ascii="Times New Roman" w:cs="Times New Roman" w:eastAsia="Times New Roman" w:hAnsi="Times New Roman"/>
                <w:sz w:val="18"/>
                <w:szCs w:val="18"/>
                <w:b w:val="1"/>
                <w:bCs w:val="1"/>
                <w:color w:val="auto"/>
                <w:w w:val="97"/>
                <w:vertAlign w:val="superscript"/>
              </w:rPr>
              <w:t>(2)</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 reflected in the first column)</w:t>
            </w:r>
          </w:p>
        </w:tc>
        <w:tc>
          <w:tcPr>
            <w:tcW w:w="0" w:type="dxa"/>
            <w:vAlign w:val="bottom"/>
          </w:tcPr>
          <w:p>
            <w:pPr>
              <w:spacing w:after="0"/>
              <w:rPr>
                <w:sz w:val="1"/>
                <w:szCs w:val="1"/>
                <w:color w:val="auto"/>
              </w:rPr>
            </w:pPr>
          </w:p>
        </w:tc>
      </w:tr>
      <w:tr>
        <w:trPr>
          <w:trHeight w:val="171"/>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2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2,453,018</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140" w:type="dxa"/>
            <w:vAlign w:val="bottom"/>
            <w:tcBorders>
              <w:top w:val="single" w:sz="8" w:color="CCEEFF"/>
            </w:tcBorders>
            <w:shd w:val="clear" w:color="auto" w:fill="CCEEFF"/>
          </w:tcPr>
          <w:p>
            <w:pPr>
              <w:spacing w:after="0"/>
              <w:rPr>
                <w:sz w:val="14"/>
                <w:szCs w:val="14"/>
                <w:color w:val="auto"/>
              </w:rPr>
            </w:pPr>
          </w:p>
        </w:tc>
        <w:tc>
          <w:tcPr>
            <w:tcW w:w="3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3,150,595</w:t>
            </w:r>
          </w:p>
        </w:tc>
        <w:tc>
          <w:tcPr>
            <w:tcW w:w="0" w:type="dxa"/>
            <w:vAlign w:val="bottom"/>
          </w:tcPr>
          <w:p>
            <w:pPr>
              <w:spacing w:after="0"/>
              <w:rPr>
                <w:sz w:val="1"/>
                <w:szCs w:val="1"/>
                <w:color w:val="auto"/>
              </w:rPr>
            </w:pPr>
          </w:p>
        </w:tc>
      </w:tr>
      <w:tr>
        <w:trPr>
          <w:trHeight w:val="18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stock options PSUs, and RSUs outstanding under the Company's 2018 Plan.</w:t>
      </w:r>
    </w:p>
    <w:p>
      <w:pPr>
        <w:spacing w:after="0" w:line="1" w:lineRule="exact"/>
        <w:rPr>
          <w:rFonts w:ascii="Times New Roman" w:cs="Times New Roman" w:eastAsia="Times New Roman" w:hAnsi="Times New Roman"/>
          <w:sz w:val="18"/>
          <w:szCs w:val="18"/>
          <w:color w:val="auto"/>
          <w:vertAlign w:val="superscript"/>
        </w:rPr>
      </w:pPr>
    </w:p>
    <w:p>
      <w:pPr>
        <w:ind w:left="520" w:hanging="260"/>
        <w:spacing w:after="0" w:line="220" w:lineRule="auto"/>
        <w:tabs>
          <w:tab w:leader="none" w:pos="51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weighted-average exercise price set forth in this column is calculated for stock options outstanding and excludes outstanding PSUs and RSU awards, since recipients are not required to pay an exercise price to receive the shares related to these awards.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purchases made by the Company of its Common Stock during the three months ended December 31, 2024 (shares are in whole units):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12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 that May</w:t>
            </w:r>
          </w:p>
        </w:tc>
        <w:tc>
          <w:tcPr>
            <w:tcW w:w="0" w:type="dxa"/>
            <w:vAlign w:val="bottom"/>
          </w:tcPr>
          <w:p>
            <w:pPr>
              <w:spacing w:after="0"/>
              <w:rPr>
                <w:sz w:val="1"/>
                <w:szCs w:val="1"/>
                <w:color w:val="auto"/>
              </w:rPr>
            </w:pPr>
          </w:p>
        </w:tc>
      </w:tr>
      <w:tr>
        <w:trPr>
          <w:trHeight w:val="138"/>
        </w:trPr>
        <w:tc>
          <w:tcPr>
            <w:tcW w:w="284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4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Part of Publicly Announced Plans or</w:t>
            </w:r>
          </w:p>
        </w:tc>
        <w:tc>
          <w:tcPr>
            <w:tcW w:w="120" w:type="dxa"/>
            <w:vAlign w:val="bottom"/>
          </w:tcPr>
          <w:p>
            <w:pPr>
              <w:spacing w:after="0"/>
              <w:rPr>
                <w:sz w:val="11"/>
                <w:szCs w:val="11"/>
                <w:color w:val="auto"/>
              </w:rPr>
            </w:pPr>
          </w:p>
        </w:tc>
        <w:tc>
          <w:tcPr>
            <w:tcW w:w="24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Yet Be Purchased Under the Plans or</w:t>
            </w:r>
          </w:p>
        </w:tc>
        <w:tc>
          <w:tcPr>
            <w:tcW w:w="0" w:type="dxa"/>
            <w:vAlign w:val="bottom"/>
          </w:tcPr>
          <w:p>
            <w:pPr>
              <w:spacing w:after="0"/>
              <w:rPr>
                <w:sz w:val="1"/>
                <w:szCs w:val="1"/>
                <w:color w:val="auto"/>
              </w:rPr>
            </w:pPr>
          </w:p>
        </w:tc>
      </w:tr>
      <w:tr>
        <w:trPr>
          <w:trHeight w:val="191"/>
        </w:trPr>
        <w:tc>
          <w:tcPr>
            <w:tcW w:w="2840" w:type="dxa"/>
            <w:vAlign w:val="bottom"/>
            <w:gridSpan w:val="2"/>
            <w:vMerge w:val="continue"/>
          </w:tcPr>
          <w:p>
            <w:pPr>
              <w:spacing w:after="0"/>
              <w:rPr>
                <w:sz w:val="16"/>
                <w:szCs w:val="16"/>
                <w:color w:val="auto"/>
              </w:rPr>
            </w:pPr>
          </w:p>
        </w:tc>
        <w:tc>
          <w:tcPr>
            <w:tcW w:w="1620" w:type="dxa"/>
            <w:vAlign w:val="bottom"/>
          </w:tcPr>
          <w:p>
            <w:pPr>
              <w:jc w:val="right"/>
              <w:ind w:right="369"/>
              <w:spacing w:after="0" w:line="191" w:lineRule="exact"/>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1"/>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1-31, 2024</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ind w:left="22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690,626</w:t>
            </w:r>
          </w:p>
        </w:tc>
        <w:tc>
          <w:tcPr>
            <w:tcW w:w="0" w:type="dxa"/>
            <w:vAlign w:val="bottom"/>
          </w:tcPr>
          <w:p>
            <w:pPr>
              <w:spacing w:after="0"/>
              <w:rPr>
                <w:sz w:val="1"/>
                <w:szCs w:val="1"/>
                <w:color w:val="auto"/>
              </w:rPr>
            </w:pPr>
          </w:p>
        </w:tc>
      </w:tr>
      <w:tr>
        <w:trPr>
          <w:trHeight w:val="18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1-30,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0" w:type="dxa"/>
            <w:vAlign w:val="bottom"/>
          </w:tcPr>
          <w:p>
            <w:pPr>
              <w:ind w:left="2240"/>
              <w:spacing w:after="0"/>
              <w:rPr>
                <w:sz w:val="20"/>
                <w:szCs w:val="20"/>
                <w:color w:val="auto"/>
              </w:rPr>
            </w:pPr>
            <w:r>
              <w:rPr>
                <w:rFonts w:ascii="Times New Roman" w:cs="Times New Roman" w:eastAsia="Times New Roman" w:hAnsi="Times New Roman"/>
                <w:sz w:val="14"/>
                <w:szCs w:val="14"/>
                <w:color w:val="auto"/>
                <w:w w:val="99"/>
              </w:rPr>
              <w:t>—</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690,626</w:t>
            </w:r>
          </w:p>
        </w:tc>
        <w:tc>
          <w:tcPr>
            <w:tcW w:w="0" w:type="dxa"/>
            <w:vAlign w:val="bottom"/>
          </w:tcPr>
          <w:p>
            <w:pPr>
              <w:spacing w:after="0"/>
              <w:rPr>
                <w:sz w:val="1"/>
                <w:szCs w:val="1"/>
                <w:color w:val="auto"/>
              </w:rPr>
            </w:pPr>
          </w:p>
        </w:tc>
      </w:tr>
      <w:tr>
        <w:trPr>
          <w:trHeight w:val="18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1-31,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shd w:val="clear" w:color="auto" w:fill="CCEEFF"/>
          </w:tcPr>
          <w:p>
            <w:pPr>
              <w:spacing w:after="0"/>
              <w:rPr>
                <w:sz w:val="15"/>
                <w:szCs w:val="15"/>
                <w:color w:val="auto"/>
              </w:rPr>
            </w:pPr>
          </w:p>
        </w:tc>
        <w:tc>
          <w:tcPr>
            <w:tcW w:w="2400" w:type="dxa"/>
            <w:vAlign w:val="bottom"/>
            <w:tcBorders>
              <w:bottom w:val="single" w:sz="8" w:color="auto"/>
            </w:tcBorders>
            <w:shd w:val="clear" w:color="auto" w:fill="CCEEFF"/>
          </w:tcPr>
          <w:p>
            <w:pPr>
              <w:ind w:left="2240"/>
              <w:spacing w:after="0"/>
              <w:rPr>
                <w:sz w:val="20"/>
                <w:szCs w:val="20"/>
                <w:color w:val="auto"/>
              </w:rPr>
            </w:pPr>
            <w:r>
              <w:rPr>
                <w:rFonts w:ascii="Times New Roman" w:cs="Times New Roman" w:eastAsia="Times New Roman" w:hAnsi="Times New Roman"/>
                <w:sz w:val="14"/>
                <w:szCs w:val="14"/>
                <w:color w:val="auto"/>
                <w:w w:val="99"/>
              </w:rPr>
              <w:t>—</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690,626</w:t>
            </w:r>
          </w:p>
        </w:tc>
        <w:tc>
          <w:tcPr>
            <w:tcW w:w="0" w:type="dxa"/>
            <w:vAlign w:val="bottom"/>
          </w:tcPr>
          <w:p>
            <w:pPr>
              <w:spacing w:after="0"/>
              <w:rPr>
                <w:sz w:val="1"/>
                <w:szCs w:val="1"/>
                <w:color w:val="auto"/>
              </w:rPr>
            </w:pPr>
          </w:p>
        </w:tc>
      </w:tr>
      <w:tr>
        <w:trPr>
          <w:trHeight w:val="171"/>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20" w:right="220" w:hanging="260"/>
        <w:spacing w:after="0" w:line="230" w:lineRule="auto"/>
        <w:tabs>
          <w:tab w:leader="none" w:pos="51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38,702 shares were withheld to satisfy employees' tax withholding obligations in connection with the vesting of PSUs and RSUs. The number of shares withheld was determined based on the fair market value on the vesting date.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81" w:lineRule="exact"/>
        <w:rPr>
          <w:sz w:val="20"/>
          <w:szCs w:val="20"/>
          <w:color w:val="auto"/>
        </w:rPr>
      </w:pPr>
    </w:p>
    <w:p>
      <w:pPr>
        <w:spacing w:after="0" w:line="264"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The following management's discussion and analysis of financial condition and results of operations should be read together with our audited financial statements and the related notes included elsewhere in this Annual Report on Form 10-K. This section of this Form 10-K generally discusses 2024 and 2023 items and year-over-year comparisons between 2024 and 2023. Discussions of 2023 </w:t>
      </w:r>
      <w:hyperlink r:id="rId46">
        <w:r>
          <w:rPr>
            <w:rFonts w:ascii="Times New Roman" w:cs="Times New Roman" w:eastAsia="Times New Roman" w:hAnsi="Times New Roman"/>
            <w:sz w:val="14"/>
            <w:szCs w:val="14"/>
            <w:color w:val="auto"/>
          </w:rPr>
          <w:t xml:space="preserve">items and year-over-year comparisons between 2023 and 2022 are not included in this Form 10-K, and can be found in </w:t>
        </w:r>
        <w:r>
          <w:rPr>
            <w:rFonts w:ascii="Times New Roman" w:cs="Times New Roman" w:eastAsia="Times New Roman" w:hAnsi="Times New Roman"/>
            <w:sz w:val="14"/>
            <w:szCs w:val="14"/>
            <w:u w:val="single" w:color="auto"/>
            <w:color w:val="0000FF"/>
          </w:rPr>
          <w:t>"Management's Discussion and Analysis of Financial Condition and Results of</w:t>
        </w:r>
      </w:hyperlink>
      <w:r>
        <w:rPr>
          <w:rFonts w:ascii="Times New Roman" w:cs="Times New Roman" w:eastAsia="Times New Roman" w:hAnsi="Times New Roman"/>
          <w:sz w:val="14"/>
          <w:szCs w:val="14"/>
          <w:color w:val="auto"/>
        </w:rPr>
        <w:t xml:space="preserve"> </w:t>
      </w:r>
      <w:hyperlink r:id="rId46">
        <w:r>
          <w:rPr>
            <w:rFonts w:ascii="Times New Roman" w:cs="Times New Roman" w:eastAsia="Times New Roman" w:hAnsi="Times New Roman"/>
            <w:sz w:val="14"/>
            <w:szCs w:val="14"/>
            <w:u w:val="single" w:color="auto"/>
            <w:color w:val="0000FF"/>
          </w:rPr>
          <w:t>Operations" in Part II, Item 7 of the Company's Annual Report on Form 10-K for the year ended December 31, 2023.</w:t>
        </w:r>
      </w:hyperlink>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amounts in this section may not add mathematically due to rounding.</w:t>
      </w:r>
    </w:p>
    <w:p>
      <w:pPr>
        <w:spacing w:after="0" w:line="17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 xml:space="preserve">For a description and additional information about our three reportable segments, see </w:t>
      </w:r>
      <w:r>
        <w:rPr>
          <w:rFonts w:ascii="Times New Roman" w:cs="Times New Roman" w:eastAsia="Times New Roman" w:hAnsi="Times New Roman"/>
          <w:sz w:val="14"/>
          <w:szCs w:val="14"/>
          <w:u w:val="single" w:color="auto"/>
          <w:color w:val="0000FF"/>
        </w:rPr>
        <w:t>Note 19. Segment Information</w:t>
      </w:r>
      <w:r>
        <w:rPr>
          <w:rFonts w:ascii="Times New Roman" w:cs="Times New Roman" w:eastAsia="Times New Roman" w:hAnsi="Times New Roman"/>
          <w:sz w:val="14"/>
          <w:szCs w:val="14"/>
          <w:color w:val="auto"/>
        </w:rPr>
        <w:t>, contained in "</w:t>
      </w:r>
      <w:r>
        <w:rPr>
          <w:rFonts w:ascii="Times New Roman" w:cs="Times New Roman" w:eastAsia="Times New Roman" w:hAnsi="Times New Roman"/>
          <w:sz w:val="14"/>
          <w:szCs w:val="14"/>
          <w:u w:val="single" w:color="auto"/>
          <w:color w:val="0000FF"/>
        </w:rPr>
        <w:t>Item 8 - Financial Statements and Supplementary Data</w:t>
      </w:r>
      <w:r>
        <w:rPr>
          <w:rFonts w:ascii="Times New Roman" w:cs="Times New Roman" w:eastAsia="Times New Roman" w:hAnsi="Times New Roman"/>
          <w:sz w:val="14"/>
          <w:szCs w:val="14"/>
          <w:color w:val="auto"/>
        </w:rPr>
        <w:t>"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This section includes certain components of our results of operations for the years ended December 31, 2024 (or "2024"), and December 31, 2023 (or "2023"). We have derived this data, except key indicators including merchant bankcard processing dollar values and transaction count (SMB Payments), issuing dollar volume and transaction count (B2B Payments), and average billed clients and new enrollments (Enterprise Payments), from our audited Consolidated Financial Statements included elsewhere in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2024, our consolidated revenue of $879.7 million increased by $124.1 million, or 16.4%, from $755.6 million for the year ended December 31, 2023. This overall increase was driven by increases in merchant bankcard processing dollar value and transaction count in our SMB Payments segment, an increase in new enrollments and higher interest income on permissible investments in our Enterprise Payments segment and an increase in revenue from CPX due to increase in volumes and Plastiq business acquired during the third quarter of 2023 in B2B Payments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Revenues by type for 2024 and 2023 were as follows: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12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171"/>
        </w:trPr>
        <w:tc>
          <w:tcPr>
            <w:tcW w:w="69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1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Merchant card fees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670,411</w:t>
            </w:r>
          </w:p>
        </w:tc>
        <w:tc>
          <w:tcPr>
            <w:tcW w:w="14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595,205</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75,206</w:t>
            </w:r>
          </w:p>
        </w:tc>
      </w:tr>
      <w:tr>
        <w:trPr>
          <w:trHeight w:val="18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transmission services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130,123</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98,137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31,986</w:t>
            </w:r>
          </w:p>
        </w:tc>
      </w:tr>
      <w:tr>
        <w:trPr>
          <w:trHeight w:val="180"/>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Outsourced services and other services</w:t>
            </w:r>
          </w:p>
        </w:tc>
        <w:tc>
          <w:tcPr>
            <w:tcW w:w="3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67,018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49,600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17,418</w:t>
            </w:r>
          </w:p>
        </w:tc>
      </w:tr>
      <w:tr>
        <w:trPr>
          <w:trHeight w:val="18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12,150</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12,670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(520)</w:t>
            </w:r>
          </w:p>
        </w:tc>
      </w:tr>
      <w:tr>
        <w:trPr>
          <w:trHeight w:val="17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879,702</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755,612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124,090</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Merchant Card Fees</w:t>
      </w:r>
    </w:p>
    <w:p>
      <w:pPr>
        <w:spacing w:after="0" w:line="17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our merchant card fees revenue of $670.4 million increased by $75.2 million, or 12.6%, from $595.2 million for the year ended December 31, 2023. This increase was primarily driven by revenue from the Plastiq business that was acquired during the third quarter of 2023 and increased bankcard processing dollar values and transaction counts in SMB payments.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Money Transmission Services</w:t>
      </w:r>
    </w:p>
    <w:p>
      <w:pPr>
        <w:spacing w:after="0" w:line="17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Money transmission services revenue of $130.1 million for the year ended December 31, 2024 increased by $32.0 million or 32.6%, from $98.1 million for the year ended December 31, 2023 and is primarily driven by an increase in customer enrollments.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Outsourced Services and Other Services</w:t>
      </w:r>
    </w:p>
    <w:p>
      <w:pPr>
        <w:spacing w:after="0" w:line="17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Outsourced services and other services revenue of $67.0 million for the year ended December 31, 2024 increased by $17.4 million, or 35.1%, from $49.6 million for the year ended December 31, 2023. This increase was primarily due to growth in interest income on permissible investments due to higher interest rates and deposit balances and additional revenues generated by our B2B Payments segment.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Equipment</w:t>
      </w:r>
    </w:p>
    <w:p>
      <w:pPr>
        <w:spacing w:after="0" w:line="179"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Equipment revenue of $12.2 million for the year ended December 31, 2024, decreased by $0.5 million, or 4.1%, from $12.7 million for the year ended December 31, 2023. The decrease was primarily due to a decrease in point-of-sale equipment sales volume.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40"/>
        </w:trPr>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 for 2024 and 2023 were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2"/>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12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171"/>
        </w:trPr>
        <w:tc>
          <w:tcPr>
            <w:tcW w:w="69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services (excludes depreciation and amortization)</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551,621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480,307</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71,314</w:t>
            </w:r>
          </w:p>
        </w:tc>
      </w:tr>
      <w:tr>
        <w:trPr>
          <w:trHeight w:val="18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Salary and employee benefits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89,216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79,974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9,242</w:t>
            </w:r>
          </w:p>
        </w:tc>
      </w:tr>
      <w:tr>
        <w:trPr>
          <w:trHeight w:val="180"/>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58,041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68,395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(10,354)</w:t>
            </w:r>
          </w:p>
        </w:tc>
      </w:tr>
      <w:tr>
        <w:trPr>
          <w:trHeight w:val="18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47,403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45,412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1,991</w:t>
            </w:r>
          </w:p>
        </w:tc>
      </w:tr>
      <w:tr>
        <w:trPr>
          <w:trHeight w:val="17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746,281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674,088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72,193</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Costs of Services (excludes depreciation and amortization)</w:t>
      </w:r>
    </w:p>
    <w:p>
      <w:pPr>
        <w:spacing w:after="0" w:line="17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Costs of services (excludes depreciation and amortization) of $551.6 million for the year ended December 31, 2024 increased by $71.3 million, or 14.8%, from $480.3 million for the year ended December 31, 2023, primarily due to the corresponding increase in revenues. For the year ended December 31, 2024, costs of services (excluding depreciation and amortization) as a percentage of total revenues decreased to 62.7% as compared to 63.6% for the year ended December 31, 2023. This decrease was primarily due to the increase in interest income on permissible investments and money transmission revenues which do not have significant cost of services offset by certain credit losses, obsolete inventory write offs and, mix related margin compression.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Salary and employee benefits</w:t>
      </w:r>
    </w:p>
    <w:p>
      <w:pPr>
        <w:spacing w:after="0" w:line="179"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Salary and employee benefits expense of $89.2 million for the year ended December 31, 2024 increased by $9.2 million, or 11.6%, from $80.0 million for the year ended December 31, 2023, primarily due to higher wages, and increased headcount from acquisitions to support overall growth of the Company. The Company's employee headcount increased to 1,019 in 2024 from 977 in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Depreciation and amortization expense</w:t>
      </w:r>
    </w:p>
    <w:p>
      <w:pPr>
        <w:spacing w:after="0" w:line="179"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of $58.0 million for the year ended December 31, 2024 decreased by $10.4 million, or 15.1%, from $68.4 million for the year ended December 31, 2023, primarily due to full amortization of certain intangible assets partially offset by the depreciation of new assets placed in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Selling, general and administrative</w:t>
      </w:r>
    </w:p>
    <w:p>
      <w:pPr>
        <w:spacing w:after="0" w:line="17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of $47.4 million for the year ended December 31, 2024 increased by $2.0 million, or 4.4%, from $45.4 million for the year ended December 31, 2023, primarily due to increase of $8.5 million in marketing, software, management fee, bad debt write offs and other operating expenses offset by decrease in restructuring expenses ($3.5 million), legal and professional expenses ($1.5 million) primarily related to acquisitions, and gain from changes in fair value of contingent consideration ($1.5 million).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Expenses, net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12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171"/>
        </w:trPr>
        <w:tc>
          <w:tcPr>
            <w:tcW w:w="69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(88,948)</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(76,108)</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(12,840)</w:t>
            </w:r>
          </w:p>
        </w:tc>
      </w:tr>
      <w:tr>
        <w:trPr>
          <w:trHeight w:val="180"/>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extinguishment and modification costs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(10,369)</w:t>
            </w:r>
          </w:p>
        </w:tc>
      </w:tr>
      <w:tr>
        <w:trPr>
          <w:trHeight w:val="180"/>
        </w:trPr>
        <w:tc>
          <w:tcPr>
            <w:tcW w:w="6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3,177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1,736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1,441</w:t>
            </w:r>
          </w:p>
        </w:tc>
      </w:tr>
      <w:tr>
        <w:trPr>
          <w:trHeight w:val="196"/>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expenses, net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(96,140)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(74,372)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(21,768)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expense</w:t>
      </w:r>
    </w:p>
    <w:p>
      <w:pPr>
        <w:spacing w:after="0" w:line="179"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Interest expense of $88.9 million for the year ended December 31, 2024 increased by $12.8 million, or 16.9%, from $76.1 million for the year ended December 31, 2023, due to higher debt balances to fund the redemption of the redeemable senior preferred stock partially offset by a decrease in interest rates during the fourth quarter of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extinguishment and modification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Debt extinguishment and modification costs for the year ended December 31, 2024 increased by $10.4 million or 100%, from the year ended December 31, 2023, due to debt refinancings (see </w:t>
      </w:r>
      <w:r>
        <w:rPr>
          <w:rFonts w:ascii="Times New Roman" w:cs="Times New Roman" w:eastAsia="Times New Roman" w:hAnsi="Times New Roman"/>
          <w:sz w:val="14"/>
          <w:szCs w:val="14"/>
          <w:u w:val="single" w:color="auto"/>
          <w:color w:val="0000FF"/>
        </w:rPr>
        <w:t>Note</w:t>
      </w:r>
    </w:p>
    <w:p>
      <w:pPr>
        <w:spacing w:after="0" w:line="23" w:lineRule="exact"/>
        <w:rPr>
          <w:sz w:val="20"/>
          <w:szCs w:val="20"/>
          <w:color w:val="auto"/>
        </w:rPr>
      </w:pPr>
    </w:p>
    <w:p>
      <w:pPr>
        <w:ind w:right="120" w:firstLine="5"/>
        <w:spacing w:after="0" w:line="266" w:lineRule="auto"/>
        <w:tabs>
          <w:tab w:leader="none" w:pos="212" w:val="left"/>
        </w:tabs>
        <w:numPr>
          <w:ilvl w:val="0"/>
          <w:numId w:val="14"/>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Debt Obligations</w:t>
      </w:r>
      <w:r>
        <w:rPr>
          <w:rFonts w:ascii="Times New Roman" w:cs="Times New Roman" w:eastAsia="Times New Roman" w:hAnsi="Times New Roman"/>
          <w:sz w:val="14"/>
          <w:szCs w:val="14"/>
          <w:color w:val="000000"/>
        </w:rPr>
        <w:t>). Other income, net of $3.2 million for the year ended December 31, 2024 increased by $1.4 million, or 83.0%, from $1.7 million for the year ended December 31, 2023, due to</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increased interest income from the Company's operating accounts.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83"/>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80" w:type="dxa"/>
            <w:vAlign w:val="bottom"/>
          </w:tcPr>
          <w:p>
            <w:pPr>
              <w:spacing w:after="0"/>
              <w:rPr>
                <w:sz w:val="24"/>
                <w:szCs w:val="24"/>
                <w:color w:val="auto"/>
              </w:rPr>
            </w:pPr>
          </w:p>
        </w:tc>
        <w:tc>
          <w:tcPr>
            <w:tcW w:w="238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171"/>
        </w:trPr>
        <w:tc>
          <w:tcPr>
            <w:tcW w:w="1120" w:type="dxa"/>
            <w:vAlign w:val="bottom"/>
            <w:tcBorders>
              <w:bottom w:val="single" w:sz="8" w:color="CCEEFF"/>
            </w:tcBorders>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98"/>
              </w:rPr>
              <w:t>37,281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7,152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30,129</w:t>
            </w:r>
          </w:p>
        </w:tc>
      </w:tr>
      <w:tr>
        <w:trPr>
          <w:trHeight w:val="18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8"/>
              </w:rPr>
              <w:t>13,266</w:t>
            </w:r>
          </w:p>
        </w:tc>
        <w:tc>
          <w:tcPr>
            <w:tcW w:w="10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8,463</w:t>
            </w:r>
          </w:p>
        </w:tc>
        <w:tc>
          <w:tcPr>
            <w:tcW w:w="8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w:t>
            </w:r>
          </w:p>
        </w:tc>
      </w:tr>
      <w:tr>
        <w:trPr>
          <w:trHeight w:val="18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118.3 %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bl>
    <w:p>
      <w:pPr>
        <w:spacing w:after="0" w:line="21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decrease in the effective tax rate from 2023 to 2024 is primarily due to a reduction in the amount of additional valuation allowance recorded against certain business interest carryover deferred tax assets.</w:t>
      </w:r>
    </w:p>
    <w:p>
      <w:pPr>
        <w:spacing w:after="0" w:line="12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consolidated effective income tax rates differ from the statutory rate due to timing and permanent differences between amounts calculated under GAAP and the U.S. tax code. The consolidated effective income tax rate for 2024 may not be indicative of our effective tax rate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Attributable to Common Shareholders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2"/>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12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171"/>
        </w:trPr>
        <w:tc>
          <w:tcPr>
            <w:tcW w:w="69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242424"/>
              </w:rPr>
              <w:t>$ Change</w:t>
            </w: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24,015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25,326</w:t>
            </w:r>
          </w:p>
        </w:tc>
      </w:tr>
      <w:tr>
        <w:trPr>
          <w:trHeight w:val="180"/>
        </w:trPr>
        <w:tc>
          <w:tcPr>
            <w:tcW w:w="6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Dividends, accretion and related excise tax attributable to redeemable senior preferred stockholders</w:t>
            </w:r>
          </w:p>
        </w:tc>
        <w:tc>
          <w:tcPr>
            <w:tcW w:w="3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(47,336)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(47,744)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408</w:t>
            </w:r>
          </w:p>
        </w:tc>
      </w:tr>
      <w:tr>
        <w:trPr>
          <w:trHeight w:val="180"/>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NCI preferred unit redemptions, net of deferred tax benefit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(639)</w:t>
            </w:r>
          </w:p>
        </w:tc>
      </w:tr>
      <w:tr>
        <w:trPr>
          <w:trHeight w:val="17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shareholders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(23,960)</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(49,055)</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25,095</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Dividends, accretion and related excise tax attributable to redeemable senior preferred stockholders consists of $27.7 million of dividends, $16.9 million of accretion and $2.7 million of excise tax related to redemption of redeemable senior preferred stock and redeemable NCI for the year ended December 31, 2024. The balance remained consistent as compared to 2023 due to redemption of redeemable senior preferred stock during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Results</w:t>
      </w:r>
    </w:p>
    <w:p>
      <w:pPr>
        <w:spacing w:after="0" w:line="18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The Company's chief operating decision makers ("CODM") are our CEO and CFO. The CODM uses adjusted earnings before interest expense, income tax and depreciation and amortization expenses ("Adjusted EBITDA") as measures of segment profit and loss to allocate resources.</w:t>
      </w:r>
    </w:p>
    <w:p>
      <w:pPr>
        <w:spacing w:after="0" w:line="12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Adjusted EBITDA represents, EBITDA,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Adjusted EBITDA is a non-GAAP measure and therefore, a reconciliation to net income (loss) (a GAAP measure) is included herein.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overhead and shared costs are managed centrally and included in corporate.</w:t>
      </w:r>
    </w:p>
    <w:p>
      <w:pPr>
        <w:spacing w:after="0" w:line="17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This non-GAAP financial measure helps to understand the underlying financial and business trends relating to results of operations of the Company and therefore used as a measure of segment profit or loss for the purposes of evaluation of segment performance and allocation of resources.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SMB Payments</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2"/>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583,251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30,296</w:t>
            </w: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1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109,485</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(572)</w:t>
            </w: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Indicators:</w:t>
            </w:r>
          </w:p>
        </w:tc>
        <w:tc>
          <w:tcPr>
            <w:tcW w:w="1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Merchant bankcard processing dollar value</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61,703,021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59,054,039</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2,648,982</w:t>
            </w: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Merchant bankcard transaction count</w:t>
            </w:r>
          </w:p>
        </w:tc>
        <w:tc>
          <w:tcPr>
            <w:tcW w:w="1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696,203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59,786</w:t>
            </w:r>
          </w:p>
        </w:tc>
      </w:tr>
      <w:tr>
        <w:trPr>
          <w:trHeight w:val="184"/>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card processing dollar value</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71,566,091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68,489,886</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3,076,205</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w:t>
      </w:r>
    </w:p>
    <w:p>
      <w:pPr>
        <w:spacing w:after="0" w:line="179"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Revenue from our SMB Payments segment was $613.5 million for the year ended December 31, 2024, compared to $583.3 million for the year ended December 31, 2023. The increase of $30.3 million, or 5.2%, was primarily driven by merchant card fee rate and bankcard processing dollar value and transaction count increases. The Company's merchant card fee revenue from the SMB Payments segment ($595.0 million for 2024 and $564.3 million for 2023) as a percentage of merchant bankcard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processing dollar value during 2024 increased to 0.96% from 0.95% during 2023. The increase was primarily driven by changes in the merchant mix.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Adjusted EBITDA</w:t>
      </w:r>
    </w:p>
    <w:p>
      <w:pPr>
        <w:spacing w:after="0" w:line="17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Adjusted EBITDA from our SMB Payments segment was $108.9 million for the year ended December 31, 2024, compared to $109.5 million for the year ended December 31, 2024. The decrease of $0.6 million or 0.6% was primarily due to certain credit losses, mix-related margin compression and increase in salary expenses partially offset by increased revenue and gain from changes in the fair value of contingent consideration from a past acquisition.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B2B Payments</w:t>
            </w: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2"/>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Revenues</w:t>
            </w: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47,947</w:t>
            </w: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1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5,355</w:t>
            </w: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Indicators:</w:t>
            </w:r>
          </w:p>
        </w:tc>
        <w:tc>
          <w:tcPr>
            <w:tcW w:w="1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B2B issuing dollar volume</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977,278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851,948</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125,330</w:t>
            </w: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B2B issuing transaction</w:t>
            </w:r>
          </w:p>
        </w:tc>
        <w:tc>
          <w:tcPr>
            <w:tcW w:w="1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(113)</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w:t>
      </w:r>
    </w:p>
    <w:p>
      <w:pPr>
        <w:spacing w:after="0" w:line="17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Revenue from our B2B Payments segment was $89.1 million for the year ended December 31, 2024, compared to $41.2 million for the year ended December 31, 2023. The increase of $47.9 million, or 116.5%, was primarily driven by an increase of $44.4 million in the Plastiq business which was acquired during the third quarter of 2023 and an increase of $4.1 million in the CPX business due to increased interest revenue and volumes. This increase was offset by a decrease of $0.6 million driven by the wind down of certain customer programs in the managed services business during the fourth quarter of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Adjusted EBITDA</w:t>
      </w:r>
    </w:p>
    <w:p>
      <w:pPr>
        <w:spacing w:after="0" w:line="17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Adjusted EBITDA from our B2B Payments segment was $7.6 million for the year December 31, 2024, compared to $2.2 million for the year ended December 31, 2023. The increase of $5.4 million was primarily driven by increase in revenues offset by increase in operating expenses.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Enterprise Payments</w:t>
            </w: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2"/>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242424"/>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Revenues</w:t>
            </w: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132,186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48,262</w:t>
            </w: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1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110,893</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44,043</w:t>
            </w: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Indicators:</w:t>
            </w:r>
          </w:p>
        </w:tc>
        <w:tc>
          <w:tcPr>
            <w:tcW w:w="1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Average billed clients</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797,567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556,526</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241,041</w:t>
            </w: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Average new enrollments</w:t>
            </w:r>
          </w:p>
        </w:tc>
        <w:tc>
          <w:tcPr>
            <w:tcW w:w="1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5,013</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from our Enterprise Payments segment was $180.4 million for the year ended December 31, 2024, compared to $132.2 million for the year ended December 31, 2023. The increase of</w:t>
      </w:r>
    </w:p>
    <w:p>
      <w:pPr>
        <w:spacing w:after="0" w:line="2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4"/>
          <w:szCs w:val="14"/>
          <w:color w:val="auto"/>
        </w:rPr>
        <w:t>$48.3 million, or 36.6%, was primarily driven by an increase in customer enrollments, additional revenues generated by our Passport platform, and growth in interest income due to higher deposit balances and higher returns on the permissible investments related to our money transmission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Adjusted EBITDA</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Adjusted EBITDA from our Enterprise Payments segment was $154.9 million for the year ended December 31, 2024, compared to $110.9 million for the year ended December 31, 2023. The increase of $44.0 million or 39.8% was primarily due to increase in revenue offset by increased salaries.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500" w:type="dxa"/>
            <w:vAlign w:val="bottom"/>
            <w:tcBorders>
              <w:bottom w:val="single" w:sz="8" w:color="auto"/>
            </w:tcBorders>
            <w:gridSpan w:val="1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SMB Payments</w:t>
            </w:r>
          </w:p>
        </w:tc>
        <w:tc>
          <w:tcPr>
            <w:tcW w:w="80" w:type="dxa"/>
            <w:vAlign w:val="bottom"/>
          </w:tcPr>
          <w:p>
            <w:pPr>
              <w:spacing w:after="0"/>
              <w:rPr>
                <w:sz w:val="11"/>
                <w:szCs w:val="11"/>
                <w:color w:val="auto"/>
              </w:rPr>
            </w:pPr>
          </w:p>
        </w:tc>
        <w:tc>
          <w:tcPr>
            <w:tcW w:w="11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B2B Payments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3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 to GAAP Measure:</w:t>
            </w: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108,913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80" w:type="dxa"/>
            <w:vAlign w:val="bottom"/>
          </w:tcPr>
          <w:p>
            <w:pPr>
              <w:spacing w:after="0"/>
              <w:rPr>
                <w:sz w:val="15"/>
                <w:szCs w:val="15"/>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154,936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modification and extinguishment expenses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(non-recurring)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stock based compensation</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taxes</w:t>
            </w:r>
          </w:p>
        </w:tc>
        <w:tc>
          <w:tcPr>
            <w:tcW w:w="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78,031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(2,213)</w:t>
            </w:r>
          </w:p>
        </w:tc>
        <w:tc>
          <w:tcPr>
            <w:tcW w:w="8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137,877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(176,414)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37,281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80" w:type="dxa"/>
            <w:vAlign w:val="bottom"/>
            <w:gridSpan w:val="2"/>
          </w:tcPr>
          <w:p>
            <w:pPr>
              <w:spacing w:after="0"/>
              <w:rPr>
                <w:sz w:val="24"/>
                <w:szCs w:val="24"/>
                <w:color w:val="auto"/>
              </w:rPr>
            </w:pPr>
          </w:p>
        </w:tc>
        <w:tc>
          <w:tcPr>
            <w:tcW w:w="11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500" w:type="dxa"/>
            <w:vAlign w:val="bottom"/>
            <w:tcBorders>
              <w:bottom w:val="single" w:sz="8" w:color="auto"/>
            </w:tcBorders>
            <w:gridSpan w:val="12"/>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SMB Payments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B2B Payments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Total Consolidated</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 to GAAP Measure:</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109,485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2,250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110,893</w:t>
            </w:r>
          </w:p>
        </w:tc>
        <w:tc>
          <w:tcPr>
            <w:tcW w:w="2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(54,296)</w:t>
            </w:r>
          </w:p>
        </w:tc>
        <w:tc>
          <w:tcPr>
            <w:tcW w:w="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168,332</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(74,449)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(76,108)</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(36,715)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(22,426)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(68,395)</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(non-recurring)</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(9,825)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(9,825)</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stock based compensation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(6,768)</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other losses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7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taxes</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72,231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(1,432)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87,849</w:t>
            </w:r>
          </w:p>
        </w:tc>
        <w:tc>
          <w:tcPr>
            <w:tcW w:w="2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(151,496)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7,152</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(8,463)</w:t>
            </w:r>
          </w:p>
        </w:tc>
        <w:tc>
          <w:tcPr>
            <w:tcW w:w="0" w:type="dxa"/>
            <w:vAlign w:val="bottom"/>
          </w:tcPr>
          <w:p>
            <w:pPr>
              <w:spacing w:after="0"/>
              <w:rPr>
                <w:sz w:val="1"/>
                <w:szCs w:val="1"/>
                <w:color w:val="auto"/>
              </w:rPr>
            </w:pPr>
          </w:p>
        </w:tc>
      </w:tr>
      <w:tr>
        <w:trPr>
          <w:trHeight w:val="17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(1,311)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Liquidity and capital resource management is a process focused on providing the funding we need to meet our short-term and long-term cash and working capital needs. We have used our funding sources to build our customer base, for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capital requirements for at least the next twelve months. This is based upon management's estimates and assumptions regarding effects of micro and macro factors impacting the economic environment in which the Company operates on our financial results. Actual future results could differ materially, as the magnitude, duration and effects of changes in economic, political and market conditions are difficult to predict, and ultimately could negatively impact our liquidity and capital resources. Our principal uses of cash are to fund business operations (including capital expenditures and strategic investments) and administrative costs, and to service our debt.</w:t>
      </w:r>
    </w:p>
    <w:p>
      <w:pPr>
        <w:spacing w:after="0" w:line="14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working capital, defined as current assets less current liabilities, was $53.4 million at December 31, 2024 and $29.2 million at December 31, 2023. As of December 31, 2024, we had cash and cash equivalents with a balance of $58.6 million compared to $39.6 million at December 31, 2023. These cash and cash equivalent balances do not include restricted cash of $11.1 million and $11.9 million at December 31, 2024 and 2023, respectively, which reflects cash accounts holding customer settlement funds and cash reserves for potential losses. The current portion of long-term debt included in current liabilities was $9.5 million and $6.7 million at December 31, 2024 and 2023,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2024, we had availability of approximately $70.0 million under our revolving credit arrangement.</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4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and narrative reflect our changes in cash flows for the comparative annual periods.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1"/>
        </w:trPr>
        <w:tc>
          <w:tcPr>
            <w:tcW w:w="79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1"/>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activities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85,609</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81,256</w:t>
            </w:r>
          </w:p>
        </w:tc>
      </w:tr>
      <w:tr>
        <w:trPr>
          <w:trHeight w:val="18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Investing activities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(55,748)</w:t>
            </w:r>
          </w:p>
        </w:tc>
      </w:tr>
      <w:tr>
        <w:trPr>
          <w:trHeight w:val="18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Financing activities</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147,578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210,105</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restricted cash</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197,641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235,613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Provided by Operating Activities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operating activities was $85.6 million and $81.3 million for the years ended December 31, 2024 and 2023, respectively. The $4.3 million or 5.3% increase in 2024 was driven by net income increase, offset by changes in non-cash items and, operating assets and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Used in Investing Activities</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Net cash used in investing activities was $35.5 million compared to cash used investing activities of $55.7 million for the years ended December 31, 2024 and 2023, respectively. The Company had no business acquisitions for the year ended December 31, 2024, compared to net cash used of $28.2 million in 2023 to acquire Plastiq business. Additions to property, equipment and software was $21.7 million for the year ended December 31, 2024 compared to $21.3 million in 2023 and acquisitions of intangible assets was $10.5 million for the year ended December 31, 2024, compared to $6.6 million in 2023. Net amount of $3.4 million was advanced for loans to ISOs for the year ended December 31, 2024, compared to $0.4 million related to payments received against loans to ISOs in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Provided by Financing Activities</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Net cash provided by financing activities was $147.6 million for the year ended December 31, 2024, compared to $210.1 million for the year ended December 31, 2023. The net cash provided by for the year ended December 31, 2024 included changes in the net obligations for funds held on the behalf of customers of $179.6 million, borrowings under the 2024 Credit Agreement (including the First Amendment) net of issue discounts of $945.1 million, and proceeds for the exercise of stock options of $1.8 million. This was offset by repayment of the principal of the 2021 Credit Agreement and debt issuance and modification costs related to the refinancing of $666.5 million, redemption of the redeemable senior preferred stock including dividends of $303.2 million, redemption of non-controlling interest in subsidiary of $2.1 million, $1.5 million of cash used for shares withheld for taxes, and $5.6 million of payment of contingent consideration for business combinations. For the year ended December 31, 2023, included changes in the net obligations for funds held on the behalf of customers of $211.1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$49.8 million related to proceeds from the increase of the term Facility under the 2021 Credit Agreement and $44.0 million related to additional borrowings under the revolving credit facility. This was offset by $56.5 million of cash used for the repayment of borrowings under the revolving credit facility, $6.3 million of cash used for the repayment of the 2021 Credit Agreement's term facility, $24.7 million of cash dividends paid to redeemable senior preferred stockholders, $1.3 million of cash used for shares withheld for taxes, $4.7 million of payments of contingent consideration for business combinations and $1.2 million for debt issuance and modification costs paid related to the modification of the 2021 Credit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Long-Term Debt</w:t>
      </w:r>
    </w:p>
    <w:p>
      <w:pPr>
        <w:spacing w:after="0" w:line="18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2024, the Company had outstanding debt obligations, including the current portion and net of unamortized debt discount of $945.5 million, compared to $654.4 million for the year ended December 31, 2023, resulting in an increase of $291.1 million. The debt balance for the year ended December 31, 2024 consisted of funds outstanding under the term facility, offset by $15.1 million of unamortized debt discounts and issuance costs. There were no funds outstanding under the revolving credit facility as of December 31, 2024 and 2023. Minimum amortization of the term facility are equal quarterly installments in aggregate annual amounts equal to 1.0% of the original principal, with the balance paid upon maturity.</w:t>
      </w:r>
    </w:p>
    <w:p>
      <w:pPr>
        <w:spacing w:after="0" w:line="14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On May 16, 2024, the Company entered in to the 2024 Credit Agreement, which provided a $835.0 million term facility and a revolving credit facility of $70.0 million. The term facility was was further increased by $115.0 million (First Amendment to the 2024 Credit Agreement) effective November 21, 2024. The outstanding borrowings will accrue using the SOFR rate plus an applicable margin per year subject to a SOFR floor of 0.50%. The term facility matures in May 2031 and the revolving credit facility expires in May 2029.</w:t>
      </w:r>
    </w:p>
    <w:p>
      <w:pPr>
        <w:spacing w:after="0" w:line="13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less unrestricted cash to consolidated adjusted EBITDA (as defined in the Credit Agreement). 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December 31, 2024, the Company was in compliance with the covenants in the 2024 Credit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likely than not that some portion or all of a deferred tax asset will not be realized based on the weight of available evidence, including expected future earnings.</w:t>
      </w:r>
    </w:p>
    <w:p>
      <w:pPr>
        <w:spacing w:after="0" w:line="179"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and Long-lived Assets</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test goodwill for impairment for each of our reporting units on an annual basis on October 1 or when events occur, or circumstances indicate the fair value of a reporting unit may be below its carrying value. We perform the annual assessment using the qualitative method. Where deemed appropriate, we may perform a quantitative assessment that uses market data and discounted cash flow analysis, which involve estimates of future revenues and operating cash flows. Changes in these estimates and assumptions or a significant decrease in earnings could materially affect the fair value of goodwill and could result in a goodwill impairment charge.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annual impairment assessment for goodwill does not change our requirements to assess goodwill on an interim date between scheduled annual testing dates if triggering events are present.</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review our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unamortized balance of the asset group.</w:t>
      </w:r>
    </w:p>
    <w:p>
      <w:pPr>
        <w:spacing w:after="0" w:line="12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amortize the cost of our acquired intangible assets over their estimated useful lives using either a straight-line or an accelerated method that most accurately reflects the estimated pattern in which the economic benefit of the respective asset is consumed.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8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We allocate the purchase price of an acquired business to the assets acquired and liabilities assumed based on their estimated fair values. The excess of the purchase price over the fair value of the net assets acquired is recorded as goodwill. For acquisitions that include contingent consideration, we estimate the fair value of contingent consideration at the acquisition date. The estimated fair value of contingent consideration is updated in future periods based on information available at that time. Management uses all available information when estimating the fair values of the assets acquired, liabilities assumed and contingent consideration, and must apply judgement and make certain assumptions when making these estimates. The assumptions management uses when determining fair values include estimated future cash flows or income, market rate assumptions, actuarial assumptions and discount rate assumptions. We typically engage third-party valuation advisors to assist in estimating the fair values of acquired assets and assumed liabilities. Our estimates of fair value are based upon assumptions the Company believes to be reasonable, but that are inherently uncertain, and therefore, may not be realized. Accordingly, there can be no assurance that the estimates, assumptions and values reflected in the valuations will be realized, and actual results could differ materially.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81"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14"/>
          <w:szCs w:val="14"/>
          <w:color w:val="auto"/>
        </w:rPr>
        <w:t>Our debt facilities under our Credit Agreement bear interest at either a base rate or a SOFR rate plus an applicable margin per year, subject to a SOFR rate floor of 0.50% per year. As of December 31, 2024, we had $945.5 million in outstanding borrowings under our Credit Agreement. Ignoring the 0.50% SOFR floor, a hypothetical 1.00% increase or decrease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applicable SOFR rate on our outstanding indebtedness under the Credit Agreement would increase or decrease cash interest expense by approximately $9.5 million per year. We do not currently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125" w:right="6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2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color w:val="auto"/>
                <w:w w:val="94"/>
              </w:rPr>
              <w:t>Page</w:t>
            </w:r>
          </w:p>
        </w:tc>
      </w:tr>
      <w:tr>
        <w:trPr>
          <w:trHeight w:val="150"/>
        </w:trPr>
        <w:tc>
          <w:tcPr>
            <w:tcW w:w="10820" w:type="dxa"/>
            <w:vAlign w:val="bottom"/>
            <w:gridSpan w:val="26"/>
          </w:tcPr>
          <w:p>
            <w:pPr>
              <w:spacing w:after="0"/>
              <w:rPr>
                <w:sz w:val="20"/>
                <w:szCs w:val="20"/>
                <w:color w:val="auto"/>
              </w:rPr>
            </w:pPr>
            <w:r>
              <w:rPr>
                <w:rFonts w:ascii="Times New Roman" w:cs="Times New Roman" w:eastAsia="Times New Roman" w:hAnsi="Times New Roman"/>
                <w:sz w:val="13"/>
                <w:szCs w:val="13"/>
                <w:color w:val="0000FF"/>
              </w:rPr>
              <w:t>Report of Independent Registered Public Accounting Firm</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44</w:t>
            </w:r>
          </w:p>
        </w:tc>
        <w:tc>
          <w:tcPr>
            <w:tcW w:w="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404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w w:val="97"/>
              </w:rPr>
              <w:t>Consolidated Balance Sheets as of December 31, 2024 and December 31, 2023</w:t>
            </w:r>
          </w:p>
        </w:tc>
        <w:tc>
          <w:tcPr>
            <w:tcW w:w="6780" w:type="dxa"/>
            <w:vAlign w:val="bottom"/>
            <w:gridSpan w:val="5"/>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48</w:t>
            </w:r>
          </w:p>
        </w:tc>
        <w:tc>
          <w:tcPr>
            <w:tcW w:w="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0820" w:type="dxa"/>
            <w:vAlign w:val="bottom"/>
            <w:gridSpan w:val="26"/>
          </w:tcPr>
          <w:p>
            <w:pPr>
              <w:spacing w:after="0"/>
              <w:rPr>
                <w:sz w:val="20"/>
                <w:szCs w:val="20"/>
                <w:color w:val="auto"/>
              </w:rPr>
            </w:pPr>
            <w:r>
              <w:rPr>
                <w:rFonts w:ascii="Times New Roman" w:cs="Times New Roman" w:eastAsia="Times New Roman" w:hAnsi="Times New Roman"/>
                <w:sz w:val="13"/>
                <w:szCs w:val="13"/>
                <w:color w:val="0000FF"/>
              </w:rPr>
              <w:t>Consolidated Statements of Operations and Comprehensive Loss for the years ended December 31, 2024, 2023 and 2022</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49</w:t>
            </w:r>
          </w:p>
        </w:tc>
        <w:tc>
          <w:tcPr>
            <w:tcW w:w="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0820" w:type="dxa"/>
            <w:vAlign w:val="bottom"/>
            <w:gridSpan w:val="26"/>
          </w:tcPr>
          <w:p>
            <w:pPr>
              <w:spacing w:after="0"/>
              <w:rPr>
                <w:sz w:val="20"/>
                <w:szCs w:val="20"/>
                <w:color w:val="auto"/>
              </w:rPr>
            </w:pPr>
            <w:r>
              <w:rPr>
                <w:rFonts w:ascii="Times New Roman" w:cs="Times New Roman" w:eastAsia="Times New Roman" w:hAnsi="Times New Roman"/>
                <w:sz w:val="13"/>
                <w:szCs w:val="13"/>
                <w:color w:val="0000FF"/>
              </w:rPr>
              <w:t>Consolidated Statements of Changes in Shareholders' Deficit and Non-Controlling Interests for the years ended December 31, 2024, 2023 and 2022</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50</w:t>
            </w:r>
          </w:p>
        </w:tc>
        <w:tc>
          <w:tcPr>
            <w:tcW w:w="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752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Consolidated Statements of Cash Flows for the years ended December 31, 2024, 2023 and 2022</w:t>
            </w:r>
          </w:p>
        </w:tc>
        <w:tc>
          <w:tcPr>
            <w:tcW w:w="3300" w:type="dxa"/>
            <w:vAlign w:val="bottom"/>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52</w:t>
            </w:r>
          </w:p>
        </w:tc>
        <w:tc>
          <w:tcPr>
            <w:tcW w:w="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488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Notes to Consolidated Financial Statements</w:t>
            </w:r>
            <w:r>
              <w:rPr>
                <w:rFonts w:ascii="Times New Roman" w:cs="Times New Roman" w:eastAsia="Times New Roman" w:hAnsi="Times New Roman"/>
                <w:sz w:val="13"/>
                <w:szCs w:val="13"/>
                <w:color w:val="000000"/>
              </w:rPr>
              <w:t>:</w:t>
            </w:r>
          </w:p>
        </w:tc>
        <w:tc>
          <w:tcPr>
            <w:tcW w:w="5940" w:type="dxa"/>
            <w:vAlign w:val="bottom"/>
            <w:gridSpan w:val="3"/>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54</w:t>
            </w:r>
          </w:p>
        </w:tc>
        <w:tc>
          <w:tcPr>
            <w:tcW w:w="60" w:type="dxa"/>
            <w:vAlign w:val="bottom"/>
          </w:tcPr>
          <w:p>
            <w:pPr>
              <w:spacing w:after="0"/>
              <w:rPr>
                <w:sz w:val="13"/>
                <w:szCs w:val="13"/>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1.</w:t>
            </w:r>
          </w:p>
        </w:tc>
        <w:tc>
          <w:tcPr>
            <w:tcW w:w="10620" w:type="dxa"/>
            <w:vAlign w:val="bottom"/>
            <w:gridSpan w:val="24"/>
          </w:tcPr>
          <w:p>
            <w:pPr>
              <w:ind w:left="20"/>
              <w:spacing w:after="0"/>
              <w:rPr>
                <w:sz w:val="20"/>
                <w:szCs w:val="20"/>
                <w:color w:val="auto"/>
              </w:rPr>
            </w:pPr>
            <w:r>
              <w:rPr>
                <w:rFonts w:ascii="Times New Roman" w:cs="Times New Roman" w:eastAsia="Times New Roman" w:hAnsi="Times New Roman"/>
                <w:sz w:val="13"/>
                <w:szCs w:val="13"/>
                <w:color w:val="0000FF"/>
              </w:rPr>
              <w:t>Nature of Business and Significant Accounting Policies</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54</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2.</w:t>
            </w: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w w:val="82"/>
              </w:rPr>
              <w:t>Acquisitions</w:t>
            </w:r>
          </w:p>
        </w:tc>
        <w:tc>
          <w:tcPr>
            <w:tcW w:w="2240" w:type="dxa"/>
            <w:vAlign w:val="bottom"/>
            <w:gridSpan w:val="14"/>
          </w:tcPr>
          <w:p>
            <w:pPr>
              <w:spacing w:after="0"/>
              <w:rPr>
                <w:sz w:val="13"/>
                <w:szCs w:val="13"/>
                <w:color w:val="auto"/>
              </w:rPr>
            </w:pPr>
          </w:p>
        </w:tc>
        <w:tc>
          <w:tcPr>
            <w:tcW w:w="7780" w:type="dxa"/>
            <w:vAlign w:val="bottom"/>
            <w:gridSpan w:val="6"/>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67</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3.</w:t>
            </w: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Revenues</w:t>
            </w:r>
          </w:p>
        </w:tc>
        <w:tc>
          <w:tcPr>
            <w:tcW w:w="10020" w:type="dxa"/>
            <w:vAlign w:val="bottom"/>
            <w:gridSpan w:val="20"/>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68</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4.</w:t>
            </w:r>
          </w:p>
        </w:tc>
        <w:tc>
          <w:tcPr>
            <w:tcW w:w="44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0000FF"/>
                <w:w w:val="97"/>
              </w:rPr>
              <w:t>Settlement Assets and Customer/Subscriber Account Balances and Related Obligations</w:t>
            </w:r>
          </w:p>
        </w:tc>
        <w:tc>
          <w:tcPr>
            <w:tcW w:w="6160" w:type="dxa"/>
            <w:vAlign w:val="bottom"/>
            <w:gridSpan w:val="4"/>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69</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5.</w:t>
            </w:r>
          </w:p>
        </w:tc>
        <w:tc>
          <w:tcPr>
            <w:tcW w:w="44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0000FF"/>
              </w:rPr>
              <w:t>Notes Receivable</w:t>
            </w:r>
          </w:p>
        </w:tc>
        <w:tc>
          <w:tcPr>
            <w:tcW w:w="6160" w:type="dxa"/>
            <w:vAlign w:val="bottom"/>
            <w:gridSpan w:val="4"/>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71</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6.</w:t>
            </w:r>
          </w:p>
        </w:tc>
        <w:tc>
          <w:tcPr>
            <w:tcW w:w="178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0000FF"/>
                <w:w w:val="96"/>
              </w:rPr>
              <w:t>Property, Equipment and Software</w:t>
            </w:r>
          </w:p>
        </w:tc>
        <w:tc>
          <w:tcPr>
            <w:tcW w:w="8840" w:type="dxa"/>
            <w:vAlign w:val="bottom"/>
            <w:gridSpan w:val="12"/>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72</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7.</w:t>
            </w:r>
          </w:p>
        </w:tc>
        <w:tc>
          <w:tcPr>
            <w:tcW w:w="10620" w:type="dxa"/>
            <w:vAlign w:val="bottom"/>
            <w:gridSpan w:val="24"/>
          </w:tcPr>
          <w:p>
            <w:pPr>
              <w:ind w:left="20"/>
              <w:spacing w:after="0"/>
              <w:rPr>
                <w:sz w:val="20"/>
                <w:szCs w:val="20"/>
                <w:color w:val="auto"/>
              </w:rPr>
            </w:pPr>
            <w:r>
              <w:rPr>
                <w:rFonts w:ascii="Times New Roman" w:cs="Times New Roman" w:eastAsia="Times New Roman" w:hAnsi="Times New Roman"/>
                <w:sz w:val="13"/>
                <w:szCs w:val="13"/>
                <w:color w:val="0000FF"/>
              </w:rPr>
              <w:t>Goodwill and Other Intangible Assets</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72</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8.</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w w:val="90"/>
              </w:rPr>
              <w:t>Leases</w:t>
            </w:r>
          </w:p>
        </w:tc>
        <w:tc>
          <w:tcPr>
            <w:tcW w:w="1540" w:type="dxa"/>
            <w:vAlign w:val="bottom"/>
            <w:gridSpan w:val="11"/>
          </w:tcPr>
          <w:p>
            <w:pPr>
              <w:spacing w:after="0"/>
              <w:rPr>
                <w:sz w:val="13"/>
                <w:szCs w:val="13"/>
                <w:color w:val="auto"/>
              </w:rPr>
            </w:pPr>
          </w:p>
        </w:tc>
        <w:tc>
          <w:tcPr>
            <w:tcW w:w="8720" w:type="dxa"/>
            <w:vAlign w:val="bottom"/>
            <w:gridSpan w:val="11"/>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74</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9.</w:t>
            </w:r>
          </w:p>
        </w:tc>
        <w:tc>
          <w:tcPr>
            <w:tcW w:w="21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00FF"/>
                <w:w w:val="96"/>
              </w:rPr>
              <w:t>Accounts Payable and Accrued Expenses</w:t>
            </w:r>
          </w:p>
        </w:tc>
        <w:tc>
          <w:tcPr>
            <w:tcW w:w="8500" w:type="dxa"/>
            <w:vAlign w:val="bottom"/>
            <w:gridSpan w:val="9"/>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75</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10.</w:t>
            </w:r>
          </w:p>
        </w:tc>
        <w:tc>
          <w:tcPr>
            <w:tcW w:w="2060" w:type="dxa"/>
            <w:vAlign w:val="bottom"/>
            <w:gridSpan w:val="14"/>
          </w:tcPr>
          <w:p>
            <w:pPr>
              <w:ind w:left="20"/>
              <w:spacing w:after="0"/>
              <w:rPr>
                <w:sz w:val="20"/>
                <w:szCs w:val="20"/>
                <w:color w:val="auto"/>
              </w:rPr>
            </w:pPr>
            <w:r>
              <w:rPr>
                <w:rFonts w:ascii="Times New Roman" w:cs="Times New Roman" w:eastAsia="Times New Roman" w:hAnsi="Times New Roman"/>
                <w:sz w:val="13"/>
                <w:szCs w:val="13"/>
                <w:color w:val="0000FF"/>
              </w:rPr>
              <w:t>Debt Obligations</w:t>
            </w:r>
          </w:p>
        </w:tc>
        <w:tc>
          <w:tcPr>
            <w:tcW w:w="8500" w:type="dxa"/>
            <w:vAlign w:val="bottom"/>
            <w:gridSpan w:val="9"/>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76</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272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w w:val="96"/>
              </w:rPr>
              <w:t>11. Redeemable Senior Preferred Stock and Warrants</w:t>
            </w:r>
          </w:p>
        </w:tc>
        <w:tc>
          <w:tcPr>
            <w:tcW w:w="8020" w:type="dxa"/>
            <w:vAlign w:val="bottom"/>
            <w:gridSpan w:val="8"/>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78</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0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12.</w:t>
            </w:r>
          </w:p>
        </w:tc>
        <w:tc>
          <w:tcPr>
            <w:tcW w:w="254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00FF"/>
              </w:rPr>
              <w:t>Income Taxes</w:t>
            </w:r>
          </w:p>
        </w:tc>
        <w:tc>
          <w:tcPr>
            <w:tcW w:w="8020" w:type="dxa"/>
            <w:vAlign w:val="bottom"/>
            <w:gridSpan w:val="8"/>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81</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13.</w:t>
            </w:r>
          </w:p>
        </w:tc>
        <w:tc>
          <w:tcPr>
            <w:tcW w:w="10560" w:type="dxa"/>
            <w:vAlign w:val="bottom"/>
            <w:gridSpan w:val="23"/>
          </w:tcPr>
          <w:p>
            <w:pPr>
              <w:ind w:left="20"/>
              <w:spacing w:after="0"/>
              <w:rPr>
                <w:sz w:val="20"/>
                <w:szCs w:val="20"/>
                <w:color w:val="auto"/>
              </w:rPr>
            </w:pPr>
            <w:r>
              <w:rPr>
                <w:rFonts w:ascii="Times New Roman" w:cs="Times New Roman" w:eastAsia="Times New Roman" w:hAnsi="Times New Roman"/>
                <w:sz w:val="13"/>
                <w:szCs w:val="13"/>
                <w:color w:val="0000FF"/>
              </w:rPr>
              <w:t>Shareholders' Deficit</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83</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14.</w:t>
            </w:r>
          </w:p>
        </w:tc>
        <w:tc>
          <w:tcPr>
            <w:tcW w:w="10560" w:type="dxa"/>
            <w:vAlign w:val="bottom"/>
            <w:gridSpan w:val="23"/>
          </w:tcPr>
          <w:p>
            <w:pPr>
              <w:ind w:left="20"/>
              <w:spacing w:after="0"/>
              <w:rPr>
                <w:sz w:val="20"/>
                <w:szCs w:val="20"/>
                <w:color w:val="auto"/>
              </w:rPr>
            </w:pPr>
            <w:r>
              <w:rPr>
                <w:rFonts w:ascii="Times New Roman" w:cs="Times New Roman" w:eastAsia="Times New Roman" w:hAnsi="Times New Roman"/>
                <w:sz w:val="13"/>
                <w:szCs w:val="13"/>
                <w:color w:val="0000FF"/>
              </w:rPr>
              <w:t>Stock-based Compensation</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83</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15.</w:t>
            </w:r>
          </w:p>
        </w:tc>
        <w:tc>
          <w:tcPr>
            <w:tcW w:w="1400" w:type="dxa"/>
            <w:vAlign w:val="bottom"/>
            <w:gridSpan w:val="10"/>
          </w:tcPr>
          <w:p>
            <w:pPr>
              <w:ind w:left="20"/>
              <w:spacing w:after="0"/>
              <w:rPr>
                <w:sz w:val="20"/>
                <w:szCs w:val="20"/>
                <w:color w:val="auto"/>
              </w:rPr>
            </w:pPr>
            <w:r>
              <w:rPr>
                <w:rFonts w:ascii="Times New Roman" w:cs="Times New Roman" w:eastAsia="Times New Roman" w:hAnsi="Times New Roman"/>
                <w:sz w:val="13"/>
                <w:szCs w:val="13"/>
                <w:color w:val="0000FF"/>
              </w:rPr>
              <w:t>Employee Benefit Plans</w:t>
            </w:r>
          </w:p>
        </w:tc>
        <w:tc>
          <w:tcPr>
            <w:tcW w:w="9160" w:type="dxa"/>
            <w:vAlign w:val="bottom"/>
            <w:gridSpan w:val="13"/>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87</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16.</w:t>
            </w:r>
          </w:p>
        </w:tc>
        <w:tc>
          <w:tcPr>
            <w:tcW w:w="172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0000FF"/>
                <w:w w:val="96"/>
              </w:rPr>
              <w:t>Commitments and Contingencies</w:t>
            </w:r>
          </w:p>
        </w:tc>
        <w:tc>
          <w:tcPr>
            <w:tcW w:w="8840" w:type="dxa"/>
            <w:vAlign w:val="bottom"/>
            <w:gridSpan w:val="12"/>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88</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17.</w:t>
            </w:r>
          </w:p>
        </w:tc>
        <w:tc>
          <w:tcPr>
            <w:tcW w:w="172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0000FF"/>
              </w:rPr>
              <w:t>Fair Value</w:t>
            </w:r>
          </w:p>
        </w:tc>
        <w:tc>
          <w:tcPr>
            <w:tcW w:w="8840" w:type="dxa"/>
            <w:vAlign w:val="bottom"/>
            <w:gridSpan w:val="12"/>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90</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7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18.</w:t>
            </w:r>
          </w:p>
        </w:tc>
        <w:tc>
          <w:tcPr>
            <w:tcW w:w="10560" w:type="dxa"/>
            <w:vAlign w:val="bottom"/>
            <w:gridSpan w:val="23"/>
          </w:tcPr>
          <w:p>
            <w:pPr>
              <w:ind w:left="20"/>
              <w:spacing w:after="0"/>
              <w:rPr>
                <w:sz w:val="20"/>
                <w:szCs w:val="20"/>
                <w:color w:val="auto"/>
              </w:rPr>
            </w:pPr>
            <w:r>
              <w:rPr>
                <w:rFonts w:ascii="Times New Roman" w:cs="Times New Roman" w:eastAsia="Times New Roman" w:hAnsi="Times New Roman"/>
                <w:sz w:val="13"/>
                <w:szCs w:val="13"/>
                <w:color w:val="0000FF"/>
              </w:rPr>
              <w:t>Segment Information</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90</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19.</w:t>
            </w:r>
          </w:p>
        </w:tc>
        <w:tc>
          <w:tcPr>
            <w:tcW w:w="10560" w:type="dxa"/>
            <w:vAlign w:val="bottom"/>
            <w:gridSpan w:val="23"/>
          </w:tcPr>
          <w:p>
            <w:pPr>
              <w:ind w:left="20"/>
              <w:spacing w:after="0"/>
              <w:rPr>
                <w:sz w:val="20"/>
                <w:szCs w:val="20"/>
                <w:color w:val="auto"/>
              </w:rPr>
            </w:pPr>
            <w:r>
              <w:rPr>
                <w:rFonts w:ascii="Times New Roman" w:cs="Times New Roman" w:eastAsia="Times New Roman" w:hAnsi="Times New Roman"/>
                <w:sz w:val="13"/>
                <w:szCs w:val="13"/>
                <w:color w:val="0000FF"/>
              </w:rPr>
              <w:t>(Loss) Earnings per Common Share</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95</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8"/>
              </w:rPr>
              <w:t>20.</w:t>
            </w:r>
          </w:p>
        </w:tc>
        <w:tc>
          <w:tcPr>
            <w:tcW w:w="184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0000FF"/>
              </w:rPr>
              <w:t>Subsequent Events</w:t>
            </w:r>
          </w:p>
        </w:tc>
        <w:tc>
          <w:tcPr>
            <w:tcW w:w="8720" w:type="dxa"/>
            <w:vAlign w:val="bottom"/>
            <w:gridSpan w:val="11"/>
          </w:tcPr>
          <w:p>
            <w:pPr>
              <w:spacing w:after="0"/>
              <w:rPr>
                <w:sz w:val="13"/>
                <w:szCs w:val="1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1"/>
              </w:rPr>
              <w:t>95</w:t>
            </w: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Priority Technology Holdings,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Priority Technology Holdings, Inc. (the Company) as of December 31, 2024 and 2023, the related consolidated statements of operations and comprehensive loss, changes in shareholders’ deficit and non-controlling interests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43"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6, 2025 expressed an adverse opinion thereon.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Accrued Residual Commissions and Residual Commission Expenses</w:t>
      </w:r>
    </w:p>
    <w:p>
      <w:pPr>
        <w:spacing w:after="0" w:line="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Accrued residual commissions recorded by the Company and included on the Consolidated Balance Sheet were $37.6 million at December 31, 2024, and residual commission expenses included within costs of services on the Consolidated Statement of Operations were $426.6 million for the year ended December 31, 2024. As discussed in Note 1 of the consolidated financial statements, the Company accrues and pays commission expense for certain customer services and other services provided by its independent sales organizations (ISOs). Commissions are based on a percentage of the net revenues generated from the Company’s merchant customers, and these percentages vary based on the program type and transaction volume of each merchant.</w:t>
      </w:r>
    </w:p>
    <w:p>
      <w:pPr>
        <w:spacing w:after="0" w:line="30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Auditing residual commissions was complex due to the non-standard nature of the pricing terms within the ISO contracts, the volume of contracts, the volume of transactions processed each month, and the degree of auditor judgment needed to design the nature and extent of audit procedures to obtain sufficient audit evidence.</w:t>
      </w:r>
    </w:p>
    <w:p>
      <w:pPr>
        <w:spacing w:after="0" w:line="2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To test accrued residual commissions and residual commission expenses, our audit procedures included, among others, testing the completeness and accuracy of the underlying data supporting the commission calculations and the accuracy of the calculations. We selected a sample of monthly ISO payments and, for each sample item, we compared the pricing terms included in the calculation to the respective ISO contract or other source documents, recalculated the related expense and accrual, and agreed the commission payment to evidence of cash disbursement. Additionally, for these monthly ISO payments, we selected a sample of merchant customers, then selected a transaction type, obtained their monthly processing statements, which were generated by the Company’s third-party processors, and agreed the monthly payment volumes to the commission calculations.</w:t>
      </w:r>
    </w:p>
    <w:p>
      <w:pPr>
        <w:spacing w:after="0" w:line="200" w:lineRule="exact"/>
        <w:rPr>
          <w:sz w:val="20"/>
          <w:szCs w:val="20"/>
          <w:color w:val="auto"/>
        </w:rPr>
      </w:pPr>
    </w:p>
    <w:p>
      <w:pPr>
        <w:sectPr>
          <w:pgSz w:w="11900" w:h="16838" w:orient="portrait"/>
          <w:cols w:equalWidth="0" w:num="2">
            <w:col w:w="2480" w:space="360"/>
            <w:col w:w="8380"/>
          </w:cols>
          <w:pgMar w:left="300" w:top="125" w:right="37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Priority Technology Holdings,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8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have audited Priority Technology Holdings, Inc.’s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Priority Technology Holdings, Inc. (the Company) has not maintained effective internal control over financial reporting as of December 31, 2024, based on the COSO criteria.</w:t>
      </w:r>
    </w:p>
    <w:p>
      <w:pPr>
        <w:spacing w:after="0" w:line="14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related to the design and operation of certain automated controls (including related information technology general controls) for certain tools or applications involved in the transformation and ingestion of third-party processors’ data in the Company’s control environment. The ingested data is a key input for determination of merchant revenue (and related accounts receivable) and residual expense (and related accounts payable). Consequently, automated controls and IT dependent manual business process controls that rely upon information from the affected financial applications and processes were also deemed ineffective.</w:t>
      </w:r>
    </w:p>
    <w:p>
      <w:pPr>
        <w:spacing w:after="0" w:line="14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changes in shareholders’ deficit and non-controlling interests and cash flows for each of the three years in the period ended December 31, 2024, and the related notes. This material weakness was considered in determining the nature, timing and extent of audit tests applied in our audit of the 2024 consolidated financial statements, and this report does not affect our report dated March 6, 2025 which expressed an unqualified opinion thereon.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1"/>
        </w:trPr>
        <w:tc>
          <w:tcPr>
            <w:tcW w:w="80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8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39,604</w:t>
            </w:r>
          </w:p>
        </w:tc>
      </w:tr>
      <w:tr>
        <w:trPr>
          <w:trHeight w:val="180"/>
        </w:trPr>
        <w:tc>
          <w:tcPr>
            <w:tcW w:w="8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w:t>
            </w: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allowances of $3,045 and $5,289, respectively</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58,551</w:t>
            </w:r>
          </w:p>
        </w:tc>
      </w:tr>
      <w:tr>
        <w:trPr>
          <w:trHeight w:val="180"/>
        </w:trPr>
        <w:tc>
          <w:tcPr>
            <w:tcW w:w="8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w:t>
            </w: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notes receivable, net of allowances of $0 and $0, respectively</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r>
      <w:tr>
        <w:trPr>
          <w:trHeight w:val="180"/>
        </w:trPr>
        <w:tc>
          <w:tcPr>
            <w:tcW w:w="80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Settlement assets and customer/subscriber account balances</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940,798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756,475</w:t>
            </w:r>
          </w:p>
        </w:tc>
      </w:tr>
      <w:tr>
        <w:trPr>
          <w:trHeight w:val="171"/>
        </w:trPr>
        <w:tc>
          <w:tcPr>
            <w:tcW w:w="80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881,294</w:t>
            </w:r>
          </w:p>
        </w:tc>
      </w:tr>
      <w:tr>
        <w:trPr>
          <w:trHeight w:val="18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Notes receivable, less current portion</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w:t>
            </w:r>
          </w:p>
        </w:tc>
      </w:tr>
      <w:tr>
        <w:trPr>
          <w:trHeight w:val="18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44,680</w:t>
            </w:r>
          </w:p>
        </w:tc>
      </w:tr>
      <w:tr>
        <w:trPr>
          <w:trHeight w:val="18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376,103</w:t>
            </w:r>
          </w:p>
        </w:tc>
      </w:tr>
      <w:tr>
        <w:trPr>
          <w:trHeight w:val="18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273,350</w:t>
            </w:r>
          </w:p>
        </w:tc>
      </w:tr>
      <w:tr>
        <w:trPr>
          <w:trHeight w:val="18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22,533</w:t>
            </w:r>
          </w:p>
        </w:tc>
      </w:tr>
      <w:tr>
        <w:trPr>
          <w:trHeight w:val="18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w:t>
            </w:r>
          </w:p>
        </w:tc>
      </w:tr>
      <w:tr>
        <w:trPr>
          <w:trHeight w:val="171"/>
        </w:trPr>
        <w:tc>
          <w:tcPr>
            <w:tcW w:w="80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1,826,860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1,615,337</w:t>
            </w: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42"/>
        </w:trPr>
        <w:tc>
          <w:tcPr>
            <w:tcW w:w="80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Redeemable Senior Preferred Stock and Shareholders' Deficit</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8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52,643</w:t>
            </w:r>
          </w:p>
        </w:tc>
      </w:tr>
      <w:tr>
        <w:trPr>
          <w:trHeight w:val="180"/>
        </w:trPr>
        <w:tc>
          <w:tcPr>
            <w:tcW w:w="8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Accrued residual commissions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33,025</w:t>
            </w: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deposits and advance payments</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r>
      <w:tr>
        <w:trPr>
          <w:trHeight w:val="180"/>
        </w:trPr>
        <w:tc>
          <w:tcPr>
            <w:tcW w:w="8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6,712</w:t>
            </w: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 and customer/subscriber account obligations</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940,213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755,754</w:t>
            </w:r>
          </w:p>
        </w:tc>
      </w:tr>
      <w:tr>
        <w:trPr>
          <w:trHeight w:val="171"/>
        </w:trPr>
        <w:tc>
          <w:tcPr>
            <w:tcW w:w="802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1,051,671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852,068</w:t>
            </w:r>
          </w:p>
        </w:tc>
      </w:tr>
      <w:tr>
        <w:trPr>
          <w:trHeight w:val="18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 discounts and debt issuance costs</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920,888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631,965</w:t>
            </w:r>
          </w:p>
        </w:tc>
      </w:tr>
      <w:tr>
        <w:trPr>
          <w:trHeight w:val="180"/>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18,763</w:t>
            </w:r>
          </w:p>
        </w:tc>
      </w:tr>
      <w:tr>
        <w:trPr>
          <w:trHeight w:val="171"/>
        </w:trPr>
        <w:tc>
          <w:tcPr>
            <w:tcW w:w="8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1,991,885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1,502,796</w:t>
            </w:r>
          </w:p>
        </w:tc>
      </w:tr>
      <w:tr>
        <w:trPr>
          <w:trHeight w:val="129"/>
        </w:trPr>
        <w:tc>
          <w:tcPr>
            <w:tcW w:w="80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Commitments and contingencies (</w:t>
            </w:r>
            <w:r>
              <w:rPr>
                <w:rFonts w:ascii="Times New Roman" w:cs="Times New Roman" w:eastAsia="Times New Roman" w:hAnsi="Times New Roman"/>
                <w:sz w:val="14"/>
                <w:szCs w:val="14"/>
                <w:color w:val="0000FF"/>
              </w:rPr>
              <w:t>Note 17</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6"/>
        </w:trPr>
        <w:tc>
          <w:tcPr>
            <w:tcW w:w="196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senior preferred stock, net of discounts and issuance costs: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38"/>
        </w:trPr>
        <w:tc>
          <w:tcPr>
            <w:tcW w:w="8020" w:type="dxa"/>
            <w:vAlign w:val="bottom"/>
            <w:gridSpan w:val="3"/>
          </w:tcPr>
          <w:p>
            <w:pPr>
              <w:ind w:left="100"/>
              <w:spacing w:after="0" w:line="138" w:lineRule="exact"/>
              <w:rPr>
                <w:sz w:val="20"/>
                <w:szCs w:val="20"/>
                <w:color w:val="auto"/>
              </w:rPr>
            </w:pPr>
            <w:r>
              <w:rPr>
                <w:rFonts w:ascii="Times New Roman" w:cs="Times New Roman" w:eastAsia="Times New Roman" w:hAnsi="Times New Roman"/>
                <w:sz w:val="14"/>
                <w:szCs w:val="14"/>
                <w:color w:val="auto"/>
              </w:rPr>
              <w:t>Redeemable senior preferred stock, $0.001 par value per share; 250,000 shares authorized; 225,000 issued at December 31, 2024 and</w:t>
            </w: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91"/>
        </w:trPr>
        <w:tc>
          <w:tcPr>
            <w:tcW w:w="8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December 31, 2023; 0 and 225,000 outstanding at December 31, 2024 and December 31, 2023</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258,605</w:t>
            </w:r>
          </w:p>
        </w:tc>
      </w:tr>
      <w:tr>
        <w:trPr>
          <w:trHeight w:val="181"/>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deficit:</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38"/>
        </w:trPr>
        <w:tc>
          <w:tcPr>
            <w:tcW w:w="802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4"/>
                <w:szCs w:val="14"/>
                <w:color w:val="auto"/>
              </w:rPr>
              <w:t>Preferred stock, $0.001 par value per share; 100,000,000 shares authorized; none issued or outstanding at December 31, 2024 and</w:t>
            </w: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91"/>
        </w:trPr>
        <w:tc>
          <w:tcPr>
            <w:tcW w:w="8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020" w:type="dxa"/>
            <w:vAlign w:val="bottom"/>
            <w:gridSpan w:val="3"/>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Common Stock,$0.001 par value per share; 1,000,000,000 shares authorized; 81,866,711 and 79,589,055 shares issued at December 31,</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44"/>
        </w:trPr>
        <w:tc>
          <w:tcPr>
            <w:tcW w:w="8020" w:type="dxa"/>
            <w:vAlign w:val="bottom"/>
            <w:gridSpan w:val="3"/>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2024 and December 31, 2023, respectively; and 77,479,908 and 76,956,889 shares outstanding at December 31, 2024 and December 31,</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84"/>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2023, respectively.</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8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Treasury stock at cost, 4,386,803 and 2,632,166 shares at December 31, 2024 and December 31, 2023, respectively</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(12,815)</w:t>
            </w: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8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(147,134)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(134,951)</w:t>
            </w:r>
          </w:p>
        </w:tc>
      </w:tr>
      <w:tr>
        <w:trPr>
          <w:trHeight w:val="171"/>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 shareholders' deficit attributable to shareholders of Priority</w:t>
            </w: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(147,718)</w:t>
            </w:r>
          </w:p>
        </w:tc>
      </w:tr>
      <w:tr>
        <w:trPr>
          <w:trHeight w:val="180"/>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171"/>
        </w:trPr>
        <w:tc>
          <w:tcPr>
            <w:tcW w:w="80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 shareholders' deficit</w:t>
            </w: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(165,025)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(146,064)</w:t>
            </w:r>
          </w:p>
        </w:tc>
      </w:tr>
      <w:tr>
        <w:trPr>
          <w:trHeight w:val="196"/>
        </w:trPr>
        <w:tc>
          <w:tcPr>
            <w:tcW w:w="80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redeemable senior preferred stock and shareholders'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1,826,860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1,615,337</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879,702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663,641</w:t>
            </w:r>
          </w:p>
        </w:tc>
        <w:tc>
          <w:tcPr>
            <w:tcW w:w="0" w:type="dxa"/>
            <w:vAlign w:val="bottom"/>
          </w:tcPr>
          <w:p>
            <w:pPr>
              <w:spacing w:after="0"/>
              <w:rPr>
                <w:sz w:val="1"/>
                <w:szCs w:val="1"/>
                <w:color w:val="auto"/>
              </w:rPr>
            </w:pPr>
          </w:p>
        </w:tc>
      </w:tr>
      <w:tr>
        <w:trPr>
          <w:trHeight w:val="16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Costs of services (excludes depreciation and amortization)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551,621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480,307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436,753</w:t>
            </w: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Salary and employee benefits</w:t>
            </w:r>
          </w:p>
        </w:tc>
        <w:tc>
          <w:tcPr>
            <w:tcW w:w="32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89,216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65,077</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58,041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70,681</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47,403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34,965</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746,281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674,088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607,476</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133,421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56,165</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(88,948)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(53,554)</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extinguishment and modification costs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3,177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(96,140)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(52,965)</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2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37,281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13,266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2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24,015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Dividends, accretion, and related excise tax attributable to redeemable senior preferred stockholders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(36,880)</w:t>
            </w:r>
          </w:p>
        </w:tc>
        <w:tc>
          <w:tcPr>
            <w:tcW w:w="0" w:type="dxa"/>
            <w:vAlign w:val="bottom"/>
          </w:tcPr>
          <w:p>
            <w:pPr>
              <w:spacing w:after="0"/>
              <w:rPr>
                <w:sz w:val="1"/>
                <w:szCs w:val="1"/>
                <w:color w:val="auto"/>
              </w:rPr>
            </w:pPr>
          </w:p>
        </w:tc>
      </w:tr>
      <w:tr>
        <w:trPr>
          <w:trHeight w:val="180"/>
        </w:trPr>
        <w:tc>
          <w:tcPr>
            <w:tcW w:w="6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Return on redeemable NCI in consolidated subsidiary</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shareholders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(39,030)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8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(24,107)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(49,084)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(39,030)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common share: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(0.31)</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70"/>
        </w:trPr>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77,993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Deficit and Non-Controlling Interests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760" w:type="dxa"/>
            <w:vAlign w:val="bottom"/>
          </w:tcPr>
          <w:p>
            <w:pPr>
              <w:spacing w:after="0"/>
              <w:rPr>
                <w:sz w:val="4"/>
                <w:szCs w:val="4"/>
                <w:color w:val="auto"/>
              </w:rPr>
            </w:pPr>
          </w:p>
        </w:tc>
        <w:tc>
          <w:tcPr>
            <w:tcW w:w="1240" w:type="dxa"/>
            <w:vAlign w:val="bottom"/>
            <w:gridSpan w:val="3"/>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20" w:type="dxa"/>
            <w:vAlign w:val="bottom"/>
            <w:gridSpan w:val="2"/>
            <w:vMerge w:val="restart"/>
          </w:tcPr>
          <w:p>
            <w:pPr>
              <w:jc w:val="center"/>
              <w:ind w:left="39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1240" w:type="dxa"/>
            <w:vAlign w:val="bottom"/>
            <w:tcBorders>
              <w:bottom w:val="single" w:sz="8" w:color="auto"/>
            </w:tcBorders>
            <w:gridSpan w:val="3"/>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jc w:val="right"/>
              <w:ind w:right="50"/>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Attributable to</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7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APIC</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AOCI</w:t>
            </w: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NCIs</w:t>
            </w: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76,740</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26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(4,091)</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(64,237)</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Vesting of stock-based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profit interests in wholly-owned subsidiaries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1,255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 repurchases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(33,594)</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(33,594)</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(33,594)</w:t>
            </w:r>
          </w:p>
        </w:tc>
        <w:tc>
          <w:tcPr>
            <w:tcW w:w="0" w:type="dxa"/>
            <w:vAlign w:val="bottom"/>
          </w:tcPr>
          <w:p>
            <w:pPr>
              <w:spacing w:after="0"/>
              <w:rPr>
                <w:sz w:val="1"/>
                <w:szCs w:val="1"/>
                <w:color w:val="auto"/>
              </w:rPr>
            </w:pPr>
          </w:p>
        </w:tc>
      </w:tr>
      <w:tr>
        <w:trPr>
          <w:trHeight w:val="138"/>
        </w:trPr>
        <w:tc>
          <w:tcPr>
            <w:tcW w:w="37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Accretion of unamortized issuance costs for redeemable senior</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0" w:type="dxa"/>
            <w:vAlign w:val="bottom"/>
          </w:tcPr>
          <w:p>
            <w:pPr>
              <w:spacing w:after="0"/>
              <w:rPr>
                <w:sz w:val="1"/>
                <w:szCs w:val="1"/>
                <w:color w:val="auto"/>
              </w:rPr>
            </w:pPr>
          </w:p>
        </w:tc>
      </w:tr>
      <w:tr>
        <w:trPr>
          <w:trHeight w:val="116"/>
        </w:trPr>
        <w:tc>
          <w:tcPr>
            <w:tcW w:w="37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w:t>
            </w:r>
          </w:p>
        </w:tc>
        <w:tc>
          <w:tcPr>
            <w:tcW w:w="58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760" w:type="dxa"/>
            <w:vAlign w:val="bottom"/>
            <w:vMerge w:val="continue"/>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76,044</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2,341</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(11,559)</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9,650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(102,208)</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(104,041)</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1,255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(102,786)</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ESPP compensation and vesting of stock-based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(44,404)</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(44,404)</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redeemable senior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NCI</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(403)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profit interests/common equity in subsidiaries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802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 of negative additional paid-in capital</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31,432</w:t>
            </w:r>
          </w:p>
        </w:tc>
        <w:tc>
          <w:tcPr>
            <w:tcW w:w="12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Deficit and Non-Controlling Interests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860" w:type="dxa"/>
            <w:vAlign w:val="bottom"/>
          </w:tcPr>
          <w:p>
            <w:pPr>
              <w:spacing w:after="0"/>
              <w:rPr>
                <w:sz w:val="4"/>
                <w:szCs w:val="4"/>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4"/>
                <w:szCs w:val="4"/>
                <w:color w:val="auto"/>
              </w:rPr>
            </w:pPr>
          </w:p>
        </w:tc>
        <w:tc>
          <w:tcPr>
            <w:tcW w:w="780" w:type="dxa"/>
            <w:vAlign w:val="bottom"/>
            <w:gridSpan w:val="2"/>
            <w:vMerge w:val="restart"/>
          </w:tcPr>
          <w:p>
            <w:pPr>
              <w:jc w:val="center"/>
              <w:ind w:left="39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06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jc w:val="right"/>
              <w:ind w:right="30"/>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Attributable to</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8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APIC</w:t>
            </w:r>
          </w:p>
        </w:tc>
        <w:tc>
          <w:tcPr>
            <w:tcW w:w="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AOCI</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NCIs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76,957</w:t>
            </w: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77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2,632</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(134,951)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$(147,718)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1,654</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(146,064)</w:t>
            </w:r>
          </w:p>
        </w:tc>
        <w:tc>
          <w:tcPr>
            <w:tcW w:w="0" w:type="dxa"/>
            <w:vAlign w:val="bottom"/>
          </w:tcPr>
          <w:p>
            <w:pPr>
              <w:spacing w:after="0"/>
              <w:rPr>
                <w:sz w:val="1"/>
                <w:szCs w:val="1"/>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5,957</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PHOT Share issuance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Exchange for PHOT redeemable NCI</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440" w:type="dxa"/>
            <w:vAlign w:val="bottom"/>
          </w:tcPr>
          <w:p>
            <w:pPr>
              <w:spacing w:after="0"/>
              <w:rPr>
                <w:sz w:val="15"/>
                <w:szCs w:val="15"/>
                <w:color w:val="auto"/>
              </w:rPr>
            </w:pPr>
          </w:p>
        </w:tc>
        <w:tc>
          <w:tcPr>
            <w:tcW w:w="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7"/>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w:t>
            </w:r>
          </w:p>
        </w:tc>
        <w:tc>
          <w:tcPr>
            <w:tcW w:w="1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Return of PHOT redeemable NCI</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(639)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Redemption of PHOT redeemable NCI, 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3,734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ESPP compensation and vesting of stock-based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440" w:type="dxa"/>
            <w:vAlign w:val="bottom"/>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1,848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0" w:type="dxa"/>
            <w:vAlign w:val="bottom"/>
          </w:tcPr>
          <w:p>
            <w:pPr>
              <w:spacing w:after="0"/>
              <w:rPr>
                <w:sz w:val="1"/>
                <w:szCs w:val="1"/>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(27,678)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(27,678)</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(27,678)</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redeemable senior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(16,920)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0" w:type="dxa"/>
            <w:vAlign w:val="bottom"/>
          </w:tcPr>
          <w:p>
            <w:pPr>
              <w:spacing w:after="0"/>
              <w:rPr>
                <w:sz w:val="1"/>
                <w:szCs w:val="1"/>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Excise tax on repurchase of redeemable senior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 to NCI</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0"/>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 of negative additional paid-in capital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33,460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24,015</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24,015</w:t>
            </w: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77,480</w:t>
            </w:r>
          </w:p>
        </w:tc>
        <w:tc>
          <w:tcPr>
            <w:tcW w:w="4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77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4,386</w:t>
            </w:r>
          </w:p>
        </w:tc>
        <w:tc>
          <w:tcPr>
            <w:tcW w:w="2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(19,607)</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(147,134)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(166,840)</w:t>
            </w: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1,815</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71"/>
        </w:trPr>
        <w:tc>
          <w:tcPr>
            <w:tcW w:w="7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24,015</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of assets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68,395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70,681</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ESPP, and incentive units compensation</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r>
      <w:tr>
        <w:trPr>
          <w:trHeight w:val="180"/>
        </w:trPr>
        <w:tc>
          <w:tcPr>
            <w:tcW w:w="7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r>
      <w:tr>
        <w:trPr>
          <w:trHeight w:val="18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extinguishment and modification costs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(8,183)</w:t>
            </w:r>
          </w:p>
        </w:tc>
      </w:tr>
      <w:tr>
        <w:trPr>
          <w:trHeight w:val="18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contingent consideration liability</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r>
      <w:tr>
        <w:trPr>
          <w:trHeight w:val="180"/>
        </w:trPr>
        <w:tc>
          <w:tcPr>
            <w:tcW w:w="7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non-cash items, net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(19,580)</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(receivable) payable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6,260</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receivable</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19,794</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deposits and advance payments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r>
      <w:tr>
        <w:trPr>
          <w:trHeight w:val="18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71"/>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85,609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81,256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70,518</w:t>
            </w:r>
          </w:p>
        </w:tc>
      </w:tr>
      <w:tr>
        <w:trPr>
          <w:trHeight w:val="16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 to property, equipment and software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(18,882)</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receivable, net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r>
      <w:tr>
        <w:trPr>
          <w:trHeight w:val="180"/>
        </w:trPr>
        <w:tc>
          <w:tcPr>
            <w:tcW w:w="7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Acquisition of assets and other investing activities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(7,983)</w:t>
            </w:r>
          </w:p>
        </w:tc>
      </w:tr>
      <w:tr>
        <w:trPr>
          <w:trHeight w:val="171"/>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(35,546)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(55,748)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(36,503)</w:t>
            </w:r>
          </w:p>
        </w:tc>
      </w:tr>
      <w:tr>
        <w:trPr>
          <w:trHeight w:val="16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issuance of long-term debt, net of issue discount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945,126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issuance and modification costs paid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(658,835)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w:t>
            </w: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 under revolving credit facility</w:t>
            </w:r>
          </w:p>
        </w:tc>
        <w:tc>
          <w:tcPr>
            <w:tcW w:w="3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29,500</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Repayments of borrowings under revolving credit facility</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w:t>
            </w: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Redemption of senior preferred stock</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Redemption of accumulated dividend on redeemable preferred stock</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Redemption of redeemable non-controlling interest in subsidiary</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Repurchases of Common Stock and shares withheld for taxes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paid to redeemable senior preferred stockholders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(11,459)</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Settlement and customer/subscriber accounts obligations, net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211,077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43,143</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 related to a business combination</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w:t>
            </w:r>
          </w:p>
        </w:tc>
      </w:tr>
      <w:tr>
        <w:trPr>
          <w:trHeight w:val="171"/>
        </w:trPr>
        <w:tc>
          <w:tcPr>
            <w:tcW w:w="7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147,578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210,105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8,502</w:t>
            </w:r>
          </w:p>
        </w:tc>
      </w:tr>
      <w:tr>
        <w:trPr>
          <w:trHeight w:val="16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 and restricted cash:</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42,517</w:t>
            </w:r>
          </w:p>
        </w:tc>
      </w:tr>
      <w:tr>
        <w:trPr>
          <w:trHeight w:val="180"/>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796,223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560,610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518,093</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71"/>
        </w:trPr>
        <w:tc>
          <w:tcPr>
            <w:tcW w:w="5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equivalents at end of period</w:t>
            </w: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993,864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796,223</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560,610</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5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1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18,454</w:t>
            </w:r>
          </w:p>
        </w:tc>
      </w:tr>
      <w:tr>
        <w:trPr>
          <w:trHeight w:val="180"/>
        </w:trPr>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10,582</w:t>
            </w:r>
          </w:p>
        </w:tc>
      </w:tr>
      <w:tr>
        <w:trPr>
          <w:trHeight w:val="189"/>
        </w:trPr>
        <w:tc>
          <w:tcPr>
            <w:tcW w:w="71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xml:space="preserve">Cash and cash equivalents included in settlement assets and customer/subscriber account balances (see </w:t>
            </w:r>
            <w:r>
              <w:rPr>
                <w:rFonts w:ascii="Times New Roman" w:cs="Times New Roman" w:eastAsia="Times New Roman" w:hAnsi="Times New Roman"/>
                <w:sz w:val="14"/>
                <w:szCs w:val="14"/>
                <w:color w:val="0000FF"/>
              </w:rPr>
              <w:t>Note 4</w:t>
            </w: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924,174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744,696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531,574</w:t>
            </w:r>
          </w:p>
        </w:tc>
      </w:tr>
      <w:tr>
        <w:trPr>
          <w:trHeight w:val="163"/>
        </w:trPr>
        <w:tc>
          <w:tcPr>
            <w:tcW w:w="58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 cash and cash equivalents, and restricted cash</w:t>
            </w:r>
          </w:p>
        </w:tc>
        <w:tc>
          <w:tcPr>
            <w:tcW w:w="380" w:type="dxa"/>
            <w:vAlign w:val="bottom"/>
            <w:tcBorders>
              <w:top w:val="single" w:sz="8" w:color="0000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993,864</w:t>
            </w: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796,223</w:t>
            </w: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560,610</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5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1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for interest</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75,859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46,907</w:t>
            </w:r>
          </w:p>
        </w:tc>
      </w:tr>
      <w:tr>
        <w:trPr>
          <w:trHeight w:val="180"/>
        </w:trPr>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12,917</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6,744</w:t>
            </w:r>
          </w:p>
        </w:tc>
      </w:tr>
      <w:tr>
        <w:trPr>
          <w:trHeight w:val="180"/>
        </w:trPr>
        <w:tc>
          <w:tcPr>
            <w:tcW w:w="7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Contingent consideration accrual</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6,079</w:t>
            </w:r>
          </w:p>
        </w:tc>
      </w:tr>
      <w:tr>
        <w:trPr>
          <w:trHeight w:val="180"/>
        </w:trPr>
        <w:tc>
          <w:tcPr>
            <w:tcW w:w="71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non-cash change in lease liability</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80"/>
        </w:trPr>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Measurement period adjustment to purchase price</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intangible asset</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4"/>
                <w:szCs w:val="14"/>
                <w:color w:val="auto"/>
              </w:rPr>
              <w:t>Cash portion of dividend payable and ticking fee for redeemable senior preferred stock</w:t>
            </w:r>
            <w:r>
              <w:rPr>
                <w:rFonts w:ascii="Times New Roman" w:cs="Times New Roman" w:eastAsia="Times New Roman" w:hAnsi="Times New Roman"/>
                <w:sz w:val="18"/>
                <w:szCs w:val="18"/>
                <w:color w:val="auto"/>
                <w:vertAlign w:val="superscript"/>
              </w:rPr>
              <w:t>(1)</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r>
      <w:tr>
        <w:trPr>
          <w:trHeight w:val="180"/>
        </w:trPr>
        <w:tc>
          <w:tcPr>
            <w:tcW w:w="71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NCI</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r>
      <w:tr>
        <w:trPr>
          <w:trHeight w:val="180"/>
        </w:trPr>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Adjustment to value of profit interest unit</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Forfeiture of liability-classified award</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6"/>
        </w:trPr>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Change in ESPP liability</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bl>
    <w:p>
      <w:pPr>
        <w:spacing w:after="0" w:line="225"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The dividend payable for year ended December 31, 2023, was paid on January 2, 2024. The dividend payable for year ended December 31, 2022, was paid on January 2, 2023.</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ind w:right="7740" w:firstLine="5"/>
        <w:spacing w:after="0" w:line="499" w:lineRule="auto"/>
        <w:tabs>
          <w:tab w:leader="none" w:pos="248"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Business and Significant Accounting Policies The Business</w:t>
      </w:r>
    </w:p>
    <w:p>
      <w:pPr>
        <w:spacing w:after="0" w:line="1"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14"/>
          <w:szCs w:val="14"/>
          <w:color w:val="auto"/>
        </w:rPr>
        <w:t>Priority is a payments and banking fintech that streamlines collecting, storing, lending and sending money through its innovative commerce engine (the “Priority Commerce Engine” or “PCE”) to unlock revenue opportunities and generate operational success for businesses. Our mission is to provide a personalized financial toolset to accelerate cashflow and optimize working capital for our customers by providing merchant services, payables and banking &amp; treasury solutions.</w:t>
      </w:r>
    </w:p>
    <w:p>
      <w:pPr>
        <w:spacing w:after="0" w:line="115"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4"/>
          <w:szCs w:val="14"/>
          <w:color w:val="auto"/>
        </w:rPr>
        <w:t>The Company operates from a purpose-built business platform that includes tailored customer service offerings and bespoke technology development, allowing the Company to provide end-to-end solutions for payment and payment-adjacent needs.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provides its services through the following reportable segments:</w:t>
      </w:r>
    </w:p>
    <w:p>
      <w:pPr>
        <w:spacing w:after="0" w:line="166" w:lineRule="exact"/>
        <w:rPr>
          <w:sz w:val="20"/>
          <w:szCs w:val="20"/>
          <w:color w:val="auto"/>
        </w:rPr>
      </w:pPr>
    </w:p>
    <w:p>
      <w:pPr>
        <w:ind w:left="520" w:right="60" w:hanging="260"/>
        <w:spacing w:after="0" w:line="27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SMB Payments</w:t>
      </w:r>
      <w:r>
        <w:rPr>
          <w:rFonts w:ascii="Times New Roman" w:cs="Times New Roman" w:eastAsia="Times New Roman" w:hAnsi="Times New Roman"/>
          <w:sz w:val="14"/>
          <w:szCs w:val="14"/>
          <w:color w:val="auto"/>
        </w:rPr>
        <w:t>: Provides full-service acquiring and payment-enabled solutions for B2C transactions, leveraging Priority's proprietary software platform, distributed through ISO, direct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vertically focused ISV channels.</w:t>
      </w:r>
    </w:p>
    <w:p>
      <w:pPr>
        <w:spacing w:after="0" w:line="109" w:lineRule="exact"/>
        <w:rPr>
          <w:rFonts w:ascii="Times New Roman" w:cs="Times New Roman" w:eastAsia="Times New Roman" w:hAnsi="Times New Roman"/>
          <w:sz w:val="14"/>
          <w:szCs w:val="14"/>
          <w:color w:val="auto"/>
        </w:rPr>
      </w:pPr>
    </w:p>
    <w:p>
      <w:pPr>
        <w:ind w:left="520" w:right="500" w:hanging="260"/>
        <w:spacing w:after="0" w:line="27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B2B Payments</w:t>
      </w:r>
      <w:r>
        <w:rPr>
          <w:rFonts w:ascii="Times New Roman" w:cs="Times New Roman" w:eastAsia="Times New Roman" w:hAnsi="Times New Roman"/>
          <w:sz w:val="14"/>
          <w:szCs w:val="14"/>
          <w:color w:val="auto"/>
        </w:rPr>
        <w:t>: Provides market-leading AP automation solutions to corporations, software partners and industry leading FIs (including Citibank, Visa and Mastercard) in addition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improving cash flows by providing instant access to working capital.</w:t>
      </w:r>
    </w:p>
    <w:p>
      <w:pPr>
        <w:spacing w:after="0" w:line="13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Enterprise Payments</w:t>
      </w:r>
      <w:r>
        <w:rPr>
          <w:rFonts w:ascii="Times New Roman" w:cs="Times New Roman" w:eastAsia="Times New Roman" w:hAnsi="Times New Roman"/>
          <w:sz w:val="14"/>
          <w:szCs w:val="14"/>
          <w:color w:val="auto"/>
        </w:rPr>
        <w:t>: Provides embedded finance and BaaS solutions to customers to modernize legacy platforms and accelerate software partners' strategies to monetize 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additional information about our reportable segments, see </w:t>
      </w:r>
      <w:r>
        <w:rPr>
          <w:rFonts w:ascii="Times New Roman" w:cs="Times New Roman" w:eastAsia="Times New Roman" w:hAnsi="Times New Roman"/>
          <w:sz w:val="14"/>
          <w:szCs w:val="14"/>
          <w:u w:val="single" w:color="auto"/>
          <w:color w:val="0000FF"/>
        </w:rPr>
        <w:t>Note 19. Segment Information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To provide many of its services, the Company enters into agreements with payment processors which in turn, have agreements with multiple card associations. These card associations comprise an alliance aligned with insured FIs ("member banks") that work in conjunction with various local, state, territory and federal government agencies to make the rules and guidelines regarding the use and acceptance of credit and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also offers money transmission services in forty six U.S. states, the District of Columbia and two U.S. territories.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Consolidation</w:t>
      </w:r>
    </w:p>
    <w:p>
      <w:pPr>
        <w:spacing w:after="0" w:line="18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majority-owned subsidiaries. The Company generally utilizes the equity method of accounting when it has an ownership interest of between 20% and 50% in an entity, provided the Company is able to exercise significant influence over the investee's operations. All material intercompany balances and transactions have been eliminated in consolidation.</w:t>
      </w:r>
    </w:p>
    <w:p>
      <w:pPr>
        <w:spacing w:after="0" w:line="13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NCI represents the equity interest not owned by the Company and are recorded for consolidated entities in which the Company owns less than 100% of the interests. Changes in the Company's ownership interest while the Company retains its controlling interest are accounted for as equity transactions, and upon loss of control, retained ownership interests are remeasured at fair value, with any gain or loss recognized in earnings. There was no income or loss attributable to NCI in accordance with the applicable operating agreements for any years presented.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and liabilities and the disclosure of contingent assets and liabilities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date of the Consolidated Financial Statements and the reported amounts of revenues and expenses during the reported period. Actual results could materially differ from those estimates.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The Company applies the five-step model to assess its contracts with customers. At contract inception, the Company assesses the services and goods promised in its contracts with customers and identifies the performance obligation for each promise to transfer a distinct good or service to the customer. The Company recognizes revenue when it satisfies a performance obligation by transferring a service or good to the customer in an amount to which the Company expects to be entitled (i.e., transaction price) allocated to the distinct services or goods.</w:t>
      </w:r>
    </w:p>
    <w:p>
      <w:pPr>
        <w:spacing w:after="0" w:line="1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has elected the permitted practical expedient that allows it to use the portfolio approach for many of its contracts since this approach's impact on the financial statements, when applied to a group of contracts (or performance obligations) with similar characteristics, is not materially different from the impact of applying the revenue standard on an individual contract basis. Under the portfolio practical expedient, collectability is still assessed at the individual contract level when determining if a contract exists. The Company has elected to exclude any contracts with an original duration of one year or less and any variable consideration that meets specified criteria from its disclosure of the aggregate amount of the transaction price allocated to unsatisfied performance.</w:t>
      </w:r>
    </w:p>
    <w:p>
      <w:pPr>
        <w:spacing w:after="0" w:line="14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In delivering payment services to the customer, the Company also provides a limited license agreement to the customer for the use of one or more of the Company's proprietary cloud-based software applications. The Company grants a right to use its software applications only when the customer has contracted with the Company to receive related payment services. When combined with the underlying payment services, the license and the payment services provided to the customer are a single stand-ready obligation and the Company's performance obligation is defined by each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increment, rather than by the underlying activities, (quantity and timing of which is not determinable), satisfied over time based on days elapsed.</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order to provide our payment services, we obtain authorization for the transaction and request funds settlement from the card issuing financial institution through the payment network. When third parties are involved in the transfer of services or goods to the customer, the Company considers the nature of each specific promised service or good and applies judgment to determine whether the Company controls the service or good before it is transferred to the customer or whether the Company is acting as an agent of the third party or principal to the customer. To determine whether the Company controls the service or good, it assesses indicators including: 1) which party is primarily responsible for fulfillment; 2) which party has discretion in determining pricing for the service or good; and 3) other considerations deemed to be applicable to the specific situation. Based on our assessment of these indicators, we have concluded that the promise to our customers to provide payment services is distinct from the services provided by the card issuing FIs and payment networks in connection with payment transactions. We do not have the ability to direct the use of and obtain substantially all of the benefits of the services provided by the card issuing FIs and payment networks before those services are transferred to our customer, and on that basis, we do not control those services prior to being transferred to our customer. As a result, we present our revenues net of the interchange fees retained by the card issuing FIs and the fees charged by the payment networks except for our Plastiq (B2B Payments) business where the Company is considered a merchant of record and therefore, revenue is presented on gross basis.</w:t>
      </w:r>
    </w:p>
    <w:p>
      <w:pPr>
        <w:spacing w:after="0" w:line="14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u w:val="single" w:color="auto"/>
          <w:color w:val="auto"/>
        </w:rPr>
        <w:t>SMB Payments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Company's SMB Payments segment enables the Company's customers to accept card, electronic and digital-based payments at the point of sale by providing a suite of services including authorization, settlement and funding, customer support and help-desk functions, chargeback resolution, payment security, consolidated billing and statements, and online reporting. Additionally, the Company enables customers to accept card, electronic and digital-based payments at the point of sale by providing a suite of services. The Company also earns revenue and commissions from resale of electronic POS equipment and certain subscription coupons.</w:t>
      </w:r>
    </w:p>
    <w:p>
      <w:pPr>
        <w:spacing w:after="0" w:line="14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Typically, revenues generated from these transactions are based on a variable percentage of the dollar amount of each transaction, and in some instances, additional fees (e.g., statement fees, annual fees and monthly minimum fees, fees for handling chargebacks, gateway fees and fees for other miscellaneous services) are charged for each transaction. The Company's sponsoring banks collect the gross merchant discount from the card holder's issuing bank, pay the interchange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assessments to the payment networks and credit card associations, retain their fees, and pay to the Company the net amount which represents the Company's revenue.</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u w:val="single" w:color="auto"/>
          <w:color w:val="auto"/>
        </w:rPr>
        <w:t>B2B Payments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Company's B2B Payments segment enables the Company's customers to automate their accounts payable and other commercial payments functions with the Company's payment services that utilize physical and virtual payment cards as well as ACH transactions. The Company also provides cost-plus-fee turn-key business process outsourcing and assists commercial customers with programs that are designed to increase acceptance of Electronic Payments. Revenues are generally earned on a per-transaction basis and are recognized by the Company over time, net of certain third-party costs for interchange fees, assessments to the payment networks, credit card associations fees, sponsor bank fees and rebates to customers.</w:t>
      </w:r>
    </w:p>
    <w:p>
      <w:pPr>
        <w:spacing w:after="0" w:line="14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Company's payables management software helps businesses improve cash flow with instant access to working capital, while automating and enabling control over all aspects of accounts receivable and payable. For these transactions, the Company acts as a merchant of record, therefore, considered as the principal and accordingly presents its revenue on a gross basis. The Company also offers volume rebates as an incentive to increase business and customer engagement. These rebates are presented as net of revenue.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Enterprise Payments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Company's Enterprise Payments segment uses payment-adjacent technologies to facilitate the acceptance of Electronic Payments from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from the Enterprise Payments segment consists of the following:</w:t>
      </w:r>
    </w:p>
    <w:p>
      <w:pPr>
        <w:spacing w:after="0" w:line="177" w:lineRule="exact"/>
        <w:rPr>
          <w:sz w:val="20"/>
          <w:szCs w:val="20"/>
          <w:color w:val="auto"/>
        </w:rPr>
      </w:pPr>
    </w:p>
    <w:p>
      <w:pPr>
        <w:ind w:left="520" w:right="2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Enrollment fees</w:t>
      </w:r>
      <w:r>
        <w:rPr>
          <w:rFonts w:ascii="Times New Roman" w:cs="Times New Roman" w:eastAsia="Times New Roman" w:hAnsi="Times New Roman"/>
          <w:sz w:val="14"/>
          <w:szCs w:val="14"/>
          <w:color w:val="auto"/>
        </w:rPr>
        <w:t>: The revenue associated with enrollment fees is recognized at a point in time upon the receipt of a fully executed enrollment application, completion of the customer account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setup, data verification and the constructive receipt of the applicable non-refundable fee.</w:t>
      </w:r>
    </w:p>
    <w:p>
      <w:pPr>
        <w:spacing w:after="0" w:line="120"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Subscription fees</w:t>
      </w:r>
      <w:r>
        <w:rPr>
          <w:rFonts w:ascii="Times New Roman" w:cs="Times New Roman" w:eastAsia="Times New Roman" w:hAnsi="Times New Roman"/>
          <w:sz w:val="14"/>
          <w:szCs w:val="14"/>
          <w:color w:val="auto"/>
        </w:rPr>
        <w:t>: The Company recognizes monthly subscription fees as recurring maintenance fees each month during the term of the client's enrollment. Revenue from transaction-based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fees is recognized over time upon constructive receipt of transaction fees for payments to creditors issued via ACH payments, paper checks or wire transfers. These fees are transferred to the Company from the customer account balances, which may be maintained by the Company in money transmission license trust accounts or by partner banks.</w:t>
      </w:r>
    </w:p>
    <w:p>
      <w:pPr>
        <w:spacing w:after="0" w:line="13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Interest revenue</w:t>
      </w:r>
      <w:r>
        <w:rPr>
          <w:rFonts w:ascii="Times New Roman" w:cs="Times New Roman" w:eastAsia="Times New Roman" w:hAnsi="Times New Roman"/>
          <w:sz w:val="14"/>
          <w:szCs w:val="14"/>
          <w:color w:val="auto"/>
        </w:rPr>
        <w:t>: Interest revenue is derived from certain customer balances maintained in interest bearing accounts with select partner banks.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CRM and consulting fees</w:t>
      </w:r>
      <w:r>
        <w:rPr>
          <w:rFonts w:ascii="Times New Roman" w:cs="Times New Roman" w:eastAsia="Times New Roman" w:hAnsi="Times New Roman"/>
          <w:sz w:val="14"/>
          <w:szCs w:val="14"/>
          <w:color w:val="auto"/>
        </w:rPr>
        <w:t>: CRM license fees are recognized on a monthly basis and consulting fees are recognized over time when services are performed.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substantial portion of this segment's revenues are earned as an agent of a third party, and therefore this earned revenue is reported as a net amount within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Interest income generated by the Company's ordinary activities (i.e. from reserves and customer deposits) are presented within outsourced services and other services revenue. See </w:t>
      </w:r>
      <w:r>
        <w:rPr>
          <w:rFonts w:ascii="Times New Roman" w:cs="Times New Roman" w:eastAsia="Times New Roman" w:hAnsi="Times New Roman"/>
          <w:sz w:val="14"/>
          <w:szCs w:val="14"/>
          <w:u w:val="single" w:color="auto"/>
          <w:color w:val="0000FF"/>
        </w:rPr>
        <w:t>Note 3. Revenues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Interest income from the Company's surplus cash balances, notes receivable and other investments are included within other income. Interest on notes receivable is recognized on a monthly basis and is included in other income, net.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Transaction Price Allocated to Future Performance Obligations</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18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Costs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 Costs of outsourced services and other revenue consist of salaries directly related to outsourced services revenue, the cost of equipment (point of sale terminals) sold, and third-party fees and commissions related to the Company's ACH processing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Plastiq (B2B Payments) business, the Company acts as merchant of record and therefore transaction processing costs, including interchange fees, are presented as costs of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Contracts with Customers and Contract Costs</w:t>
      </w:r>
    </w:p>
    <w:p>
      <w:pPr>
        <w:spacing w:after="0" w:line="18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accrues and pays commission expense based on variable merchant payment volumes and for certain customer service and other services provided by its ISOs. Since commission expenses are accrued and paid to ISOs on a monthly basis after the merchant enters into a new or renewed contract, these are not deemed to be a cost to acquire a new contract but they are reported within costs of services on our Consolidated Statements of Operations and Comprehensive Loss. The ISO is typically an independent contractor or agent of the Company.</w:t>
      </w:r>
    </w:p>
    <w:p>
      <w:pPr>
        <w:spacing w:after="0" w:line="1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may occasionally elect to buy out all or a portion of an ISO's rights to receive future commission payments related to certain merchants. Amounts paid to the ISO for these residual buyouts are capitalized and amortized over the useful life on a straight-line basis under the accounting guidance for intangible assets and included in intangible assets, net on our Consolidated Balance Sheets.</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 contract with a customer creates a legal right and obligation.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Acquisition Costs</w:t>
      </w:r>
    </w:p>
    <w:p>
      <w:pPr>
        <w:spacing w:after="0" w:line="181"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4"/>
          <w:szCs w:val="14"/>
          <w:color w:val="auto"/>
        </w:rPr>
        <w:t>The Company pays certain bonuses to its ISOs for boarding incremental merchants which the Company expects to obtain benefit from in future periods. These bonuses are recorded as contract acquisition costs and are amortized over three or five years. Net contract acquisition costs were $8.7 million and $6.6 million at December 31, 2024 and December 31, 2023, respectively. Amortization expense for contract acquisition costs for the years ended December 31, 2024 and 2023 was $2.0 million and $1.0 million, respectively. Amortization expense for the year ended December 31, 2022, was immaterial.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 and Restricted Cash</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includes highly liquid instruments with an original maturity of three months or less, and cash owned by the Company that is held in financial institutions. Restricted cash is held by the Company in financial institutions for the purpose of in-process customer settlements or reserves held per contact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Accounts receivable is stated net of allowance for current period credit losses for any uncollectible amounts and are amounts primarily due from the Company's sponsor banks for revenues earned, net of related interchange and processing fees, and do not bear interest. Other types of accounts receivable are from agents, merchants, card networks and other customers. Amounts due from sponsor banks are typically paid within 30 days following the end of each month.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Inventory</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Inventory consists primarily of POS terminals and certain subscription coupons which is carried at the lower of cost or net realizable value. Cost is equal to the purchase price and other expenses incurred with acquiring the inventory and is substantially valued using the weighted average cost method. The carrying amount is reduced when items are determined to be obsolete/expired. For the year ended December 31, 2024, the Company had a write-off for obsolete inventory for $3.5 million. The Company had no obsolete or expired inventory for the years ended December 31, 2023 and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2024, the Company had inventory in transit of $7.1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Receivable</w:t>
      </w:r>
    </w:p>
    <w:p>
      <w:pPr>
        <w:spacing w:after="0" w:line="18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Notes receivable are primarily comprised of notes receivable from ISOs under the terms of the agreements the Company preserves the right to hold back residual payments due to the ISOs and to apply such residuals against future payments due to the Company. Notes receivable are recorded at the unpaid principal balance.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Expected Losses</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 xml:space="preserve">The Company utilizes a combination of aging and loss-rate methodologies to develop an estimate of current expected credit losses based on the nature and risks associated with the underlying asset pool. A broad range of factors are considered during the estimation of the allowance including historical losses, adjustments for current conditions and future trends. The Company may also utilize a mix of qualitative and quantitative risk factors within its estimation. The allowance for expected loss from accounts receivable was $3.0 million and $5.3 million at December 31, 2024 and December 31, 2023, respectively. As of December 31, 2024 and December 31, 2023, there was no allowance for expected loss on notes receivable. See </w:t>
      </w:r>
      <w:r>
        <w:rPr>
          <w:rFonts w:ascii="Times New Roman" w:cs="Times New Roman" w:eastAsia="Times New Roman" w:hAnsi="Times New Roman"/>
          <w:sz w:val="14"/>
          <w:szCs w:val="14"/>
          <w:u w:val="single" w:color="auto"/>
          <w:color w:val="0000FF"/>
        </w:rPr>
        <w:t>Note 5. Notes Receivable</w:t>
      </w:r>
      <w:r>
        <w:rPr>
          <w:rFonts w:ascii="Times New Roman" w:cs="Times New Roman" w:eastAsia="Times New Roman" w:hAnsi="Times New Roman"/>
          <w:sz w:val="14"/>
          <w:szCs w:val="14"/>
          <w:color w:val="auto"/>
        </w:rPr>
        <w:t xml:space="preserve">. As of December 31, 2024 and December 31, 2023, the allowance for expected losses on settlement assets was $7.9 million and $6.6 million, respectively. See </w:t>
      </w:r>
      <w:r>
        <w:rPr>
          <w:rFonts w:ascii="Times New Roman" w:cs="Times New Roman" w:eastAsia="Times New Roman" w:hAnsi="Times New Roman"/>
          <w:sz w:val="14"/>
          <w:szCs w:val="14"/>
          <w:u w:val="single" w:color="auto"/>
          <w:color w:val="0000FF"/>
        </w:rPr>
        <w:t>Note 4. Settlement Assets and Customer/Subscriber Account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Balances and Related Obligations</w:t>
      </w:r>
      <w:r>
        <w:rPr>
          <w:rFonts w:ascii="Times New Roman" w:cs="Times New Roman" w:eastAsia="Times New Roman" w:hAnsi="Times New Roman"/>
          <w:sz w:val="14"/>
          <w:szCs w:val="14"/>
          <w:color w:val="000000"/>
        </w:rPr>
        <w:t>. A reconciliation of the beginning and ending amount of allowance for expected losses is as follows for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Trade Receivables</w:t>
            </w:r>
          </w:p>
        </w:tc>
        <w:tc>
          <w:tcPr>
            <w:tcW w:w="280" w:type="dxa"/>
            <w:vAlign w:val="bottom"/>
          </w:tcPr>
          <w:p>
            <w:pPr>
              <w:spacing w:after="0"/>
              <w:rPr>
                <w:sz w:val="16"/>
                <w:szCs w:val="16"/>
                <w:color w:val="auto"/>
              </w:rPr>
            </w:pPr>
          </w:p>
        </w:tc>
        <w:tc>
          <w:tcPr>
            <w:tcW w:w="17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Settlement assets</w:t>
            </w:r>
          </w:p>
        </w:tc>
      </w:tr>
      <w:tr>
        <w:trPr>
          <w:trHeight w:val="171"/>
        </w:trPr>
        <w:tc>
          <w:tcPr>
            <w:tcW w:w="7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shd w:val="clear" w:color="auto" w:fill="CCEEFF"/>
          </w:tcPr>
          <w:p>
            <w:pPr>
              <w:jc w:val="center"/>
              <w:ind w:left="1229"/>
              <w:spacing w:after="0"/>
              <w:rPr>
                <w:sz w:val="20"/>
                <w:szCs w:val="20"/>
                <w:color w:val="auto"/>
              </w:rPr>
            </w:pPr>
            <w:r>
              <w:rPr>
                <w:rFonts w:ascii="Times New Roman" w:cs="Times New Roman" w:eastAsia="Times New Roman" w:hAnsi="Times New Roman"/>
                <w:sz w:val="14"/>
                <w:szCs w:val="14"/>
                <w:color w:val="auto"/>
              </w:rPr>
              <w:t>(5,289)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(6,558)</w:t>
            </w: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Charge-offs (recoveries), net</w:t>
            </w:r>
          </w:p>
        </w:tc>
        <w:tc>
          <w:tcPr>
            <w:tcW w:w="280" w:type="dxa"/>
            <w:vAlign w:val="bottom"/>
          </w:tcPr>
          <w:p>
            <w:pPr>
              <w:spacing w:after="0"/>
              <w:rPr>
                <w:sz w:val="15"/>
                <w:szCs w:val="15"/>
                <w:color w:val="auto"/>
              </w:rPr>
            </w:pPr>
          </w:p>
        </w:tc>
        <w:tc>
          <w:tcPr>
            <w:tcW w:w="17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6,152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w:t>
            </w: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w:t>
            </w:r>
          </w:p>
        </w:tc>
        <w:tc>
          <w:tcPr>
            <w:tcW w:w="28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ind w:left="1229"/>
              <w:spacing w:after="0"/>
              <w:rPr>
                <w:sz w:val="20"/>
                <w:szCs w:val="20"/>
                <w:color w:val="auto"/>
              </w:rPr>
            </w:pPr>
            <w:r>
              <w:rPr>
                <w:rFonts w:ascii="Times New Roman" w:cs="Times New Roman" w:eastAsia="Times New Roman" w:hAnsi="Times New Roman"/>
                <w:sz w:val="14"/>
                <w:szCs w:val="14"/>
                <w:color w:val="auto"/>
              </w:rPr>
              <w:t>(3,908)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(13,085)</w:t>
            </w:r>
          </w:p>
        </w:tc>
      </w:tr>
      <w:tr>
        <w:trPr>
          <w:trHeight w:val="171"/>
        </w:trPr>
        <w:tc>
          <w:tcPr>
            <w:tcW w:w="7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tcBorders>
          </w:tcPr>
          <w:p>
            <w:pPr>
              <w:jc w:val="center"/>
              <w:ind w:left="1229"/>
              <w:spacing w:after="0"/>
              <w:rPr>
                <w:sz w:val="20"/>
                <w:szCs w:val="20"/>
                <w:color w:val="auto"/>
              </w:rPr>
            </w:pPr>
            <w:r>
              <w:rPr>
                <w:rFonts w:ascii="Times New Roman" w:cs="Times New Roman" w:eastAsia="Times New Roman" w:hAnsi="Times New Roman"/>
                <w:sz w:val="14"/>
                <w:szCs w:val="14"/>
                <w:b w:val="1"/>
                <w:bCs w:val="1"/>
                <w:color w:val="auto"/>
              </w:rPr>
              <w:t>(3,045)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(7,936)</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elected not to measure expected losses for accrued interest on notes receivable but instead recognize losses for accrued interest within the period losses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Deposits and Advance Payments</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and Comprehensive Loss when the Company satisfies the performance obligations required to retain and earn these deposits and advance payments.</w:t>
      </w:r>
    </w:p>
    <w:p>
      <w:pPr>
        <w:spacing w:after="0" w:line="14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 vendor may make an upfront payment to the Company to offset costs that the Company incurs to integrate the vendor into the Company's operations. These upfront payments are deferred by the Company and are subsequently amortized against expense in its Consolidated Statements of Operations and Comprehensive Loss as the related costs are incurred by the Company in accordance with the agreement with the vendor.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made an investment in an equity security, carried at the cost of $4.8 million within other noncurrent assets. The fair value of this security is not readily determinable.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Equipment</w:t>
      </w:r>
    </w:p>
    <w:p>
      <w:pPr>
        <w:spacing w:after="0" w:line="181"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Property and equipment are stated at cost, except for property and equipment acquired in a business combination, which is recorded at fair value at the time of the transaction. Depreciation is primarily calculated using the straight-line method over the estimated useful lives of the assets.</w:t>
      </w:r>
    </w:p>
    <w:p>
      <w:pPr>
        <w:spacing w:after="0" w:line="1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equipment and software</w:t>
            </w:r>
          </w:p>
        </w:tc>
        <w:tc>
          <w:tcPr>
            <w:tcW w:w="7020" w:type="dxa"/>
            <w:vAlign w:val="bottom"/>
            <w:tcBorders>
              <w:bottom w:val="single" w:sz="8" w:color="auto"/>
            </w:tcBorders>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2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5</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 years</w:t>
            </w: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226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3</w:t>
            </w: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 years</w:t>
            </w: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22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4"/>
                <w:szCs w:val="14"/>
                <w:color w:val="auto"/>
              </w:rPr>
              <w:t>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 years</w:t>
            </w:r>
          </w:p>
        </w:tc>
      </w:tr>
      <w:tr>
        <w:trPr>
          <w:trHeight w:val="184"/>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26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3</w:t>
            </w: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- 10 years</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 6. Property, Equipment and Software</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Incurred to Develop Software for Internal Use</w:t>
      </w:r>
    </w:p>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Costs incurred to develop or obtain internal-use software and implementation costs are accounted for in accordance with ASC 350-40, </w:t>
      </w:r>
      <w:r>
        <w:rPr>
          <w:rFonts w:ascii="Times New Roman" w:cs="Times New Roman" w:eastAsia="Times New Roman" w:hAnsi="Times New Roman"/>
          <w:sz w:val="14"/>
          <w:szCs w:val="14"/>
          <w:i w:val="1"/>
          <w:iCs w:val="1"/>
          <w:color w:val="auto"/>
        </w:rPr>
        <w:t>Internal-Use Software</w:t>
      </w:r>
      <w:r>
        <w:rPr>
          <w:rFonts w:ascii="Times New Roman" w:cs="Times New Roman" w:eastAsia="Times New Roman" w:hAnsi="Times New Roman"/>
          <w:sz w:val="14"/>
          <w:szCs w:val="14"/>
          <w:color w:val="auto"/>
        </w:rPr>
        <w:t>. The Company uses an agile development methodology in which feature-by-feature updates are made to its software. The costs incurred in the preliminary stages of development are expensed as incurred. Once an application has reached the development stage, internal and external costs incurred to develop internal-use software are capitalized and amortized using the straight-line method over the estimated useful life of the software, which generally range from two to five years. Maintenance costs including those in the post-implementation stages, are typically expensed as incurred, unless such costs relate to substantial upgrades and enhancements to the software that result in added functionality, in which case such costs are capitalized and amortized using the straight-line method over the estimated useful life of the software.</w:t>
      </w:r>
    </w:p>
    <w:p>
      <w:pPr>
        <w:spacing w:after="0" w:line="31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Software development costs may become impaired in situations where development efforts are abandoned due to the viability of the planned project becoming doubtful or due to technological obsolescence of the planned software product. There were no impairment charges associated with internal-use software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2024, 2023 and 2022, the Company capitalized software development costs of $26.1 million, $21.3 million and $16.8 million, respectively. As of December 31, 2024 and 2023, capitalized software development costs, net of accumulated amortization, totaled $48.1 million and $40.6 million, respectively, and are included in property, equipment and software, net on the Consolidated Balance Sheets.</w:t>
      </w:r>
    </w:p>
    <w:p>
      <w:pPr>
        <w:spacing w:after="0" w:line="13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Amortization expense for capitalized software development costs for the years ended December 31, 2024, 2023 and 2022 was $11.8 million, $9.4 million and $6.9 million, respectively, and are included in depreciation and amortization on the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Intangible assets are initially recorded at cost or fair value when acquired in connection with a business combination. The carrying value of an intangible asset acquired in an asset acquisition may subsequently be increased for contingent consideration when due to the seller and such amounts can be estimated. The portion of any unpaid purchase price that is contingent on future activities is not initially recorded by the Company on the date of acquisition. Rather, the Company recognizes contingent consideration when it becomes probable and estimable. All of the Company's intangible assets, except goodwill and money transmission licenses, have finite lives and are subject to amortization. Intangible assets consist of acquired merchant portfolios, customer relationships, ISO and referral partner relationships, residual buyouts, trade names, technology, non-compete agreements and money transmission licenses.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59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Nature</w:t>
            </w:r>
          </w:p>
        </w:tc>
        <w:tc>
          <w:tcPr>
            <w:tcW w:w="18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7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ISO and Referral Partner Relationships</w:t>
            </w:r>
          </w:p>
        </w:tc>
        <w:tc>
          <w:tcPr>
            <w:tcW w:w="59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Acquired relationships with ISOs and referral partners</w:t>
            </w:r>
          </w:p>
        </w:tc>
        <w:tc>
          <w:tcPr>
            <w:tcW w:w="18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8"/>
              </w:rPr>
              <w:t>11 – 25 years</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Residual Buyouts</w:t>
            </w:r>
          </w:p>
        </w:tc>
        <w:tc>
          <w:tcPr>
            <w:tcW w:w="59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Surrender of rights to receive commissions by ISOs</w:t>
            </w:r>
          </w:p>
        </w:tc>
        <w:tc>
          <w:tcPr>
            <w:tcW w:w="18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 – 9 years</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59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Acquired customer relationships</w:t>
            </w:r>
          </w:p>
        </w:tc>
        <w:tc>
          <w:tcPr>
            <w:tcW w:w="18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2 – 10 years</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Portfolios</w:t>
            </w:r>
          </w:p>
        </w:tc>
        <w:tc>
          <w:tcPr>
            <w:tcW w:w="59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Acquired rights to a portfolio of merchants</w:t>
            </w:r>
          </w:p>
        </w:tc>
        <w:tc>
          <w:tcPr>
            <w:tcW w:w="18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5 – 10 years</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59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Acquired proprietary software and website domains</w:t>
            </w:r>
          </w:p>
        </w:tc>
        <w:tc>
          <w:tcPr>
            <w:tcW w:w="18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6 – 10 years</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Names and Non-compete Agreements</w:t>
            </w:r>
          </w:p>
        </w:tc>
        <w:tc>
          <w:tcPr>
            <w:tcW w:w="59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Acquired trade names and non-compete agreements</w:t>
            </w:r>
          </w:p>
        </w:tc>
        <w:tc>
          <w:tcPr>
            <w:tcW w:w="188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 – 10 years</w:t>
            </w:r>
          </w:p>
        </w:tc>
        <w:tc>
          <w:tcPr>
            <w:tcW w:w="0" w:type="dxa"/>
            <w:vAlign w:val="bottom"/>
          </w:tcPr>
          <w:p>
            <w:pPr>
              <w:spacing w:after="0"/>
              <w:rPr>
                <w:sz w:val="1"/>
                <w:szCs w:val="1"/>
                <w:color w:val="auto"/>
              </w:rPr>
            </w:pPr>
          </w:p>
        </w:tc>
      </w:tr>
      <w:tr>
        <w:trPr>
          <w:trHeight w:val="138"/>
        </w:trPr>
        <w:tc>
          <w:tcPr>
            <w:tcW w:w="3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Transmission Licenses</w:t>
            </w:r>
          </w:p>
        </w:tc>
        <w:tc>
          <w:tcPr>
            <w:tcW w:w="5960" w:type="dxa"/>
            <w:vAlign w:val="bottom"/>
            <w:shd w:val="clear" w:color="auto" w:fill="CCEEFF"/>
          </w:tcPr>
          <w:p>
            <w:pPr>
              <w:ind w:left="920"/>
              <w:spacing w:after="0" w:line="138" w:lineRule="exact"/>
              <w:rPr>
                <w:sz w:val="20"/>
                <w:szCs w:val="20"/>
                <w:color w:val="auto"/>
              </w:rPr>
            </w:pPr>
            <w:r>
              <w:rPr>
                <w:rFonts w:ascii="Times New Roman" w:cs="Times New Roman" w:eastAsia="Times New Roman" w:hAnsi="Times New Roman"/>
                <w:sz w:val="14"/>
                <w:szCs w:val="14"/>
                <w:color w:val="auto"/>
              </w:rPr>
              <w:t>Acquired licenses to collect, store, lend and send money in forty six U.S. states, the</w:t>
            </w:r>
          </w:p>
        </w:tc>
        <w:tc>
          <w:tcPr>
            <w:tcW w:w="1880" w:type="dxa"/>
            <w:vAlign w:val="bottom"/>
            <w:vMerge w:val="restart"/>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116"/>
        </w:trPr>
        <w:tc>
          <w:tcPr>
            <w:tcW w:w="3440" w:type="dxa"/>
            <w:vAlign w:val="bottom"/>
            <w:vMerge w:val="continue"/>
            <w:shd w:val="clear" w:color="auto" w:fill="CCEEFF"/>
          </w:tcPr>
          <w:p>
            <w:pPr>
              <w:spacing w:after="0"/>
              <w:rPr>
                <w:sz w:val="10"/>
                <w:szCs w:val="10"/>
                <w:color w:val="auto"/>
              </w:rPr>
            </w:pPr>
          </w:p>
        </w:tc>
        <w:tc>
          <w:tcPr>
            <w:tcW w:w="596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District of Columbia and two U.S. territories.</w:t>
            </w:r>
          </w:p>
        </w:tc>
        <w:tc>
          <w:tcPr>
            <w:tcW w:w="1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440" w:type="dxa"/>
            <w:vAlign w:val="bottom"/>
            <w:shd w:val="clear" w:color="auto" w:fill="CCEEFF"/>
          </w:tcPr>
          <w:p>
            <w:pPr>
              <w:spacing w:after="0"/>
              <w:rPr>
                <w:sz w:val="6"/>
                <w:szCs w:val="6"/>
                <w:color w:val="auto"/>
              </w:rPr>
            </w:pPr>
          </w:p>
        </w:tc>
        <w:tc>
          <w:tcPr>
            <w:tcW w:w="5960" w:type="dxa"/>
            <w:vAlign w:val="bottom"/>
            <w:vMerge w:val="continue"/>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 xml:space="preserve">The Company reviews its long-lived assets for impairment whenever events or changes in circumstances indicate the carrying value of an asset may not be recoverable. For long-lived assets, except goodwill and indefinite-lived intangibles, an impairment loss is indicated when the undiscounted future cash flows estimated to be generated by the asset group are not sufficient to recover the carrying value of the asset group. If indicated, the loss is measured as the excess of carrying value over the asset groups' fair value, as determined based on discounted future cash flows. The Company concluded there were no indications of impairment for the years ended December 31, 2024, 2023 and 2022. See </w:t>
      </w:r>
      <w:r>
        <w:rPr>
          <w:rFonts w:ascii="Times New Roman" w:cs="Times New Roman" w:eastAsia="Times New Roman" w:hAnsi="Times New Roman"/>
          <w:sz w:val="14"/>
          <w:szCs w:val="14"/>
          <w:u w:val="single" w:color="auto"/>
          <w:color w:val="0000FF"/>
        </w:rPr>
        <w:t>Note 7. Goodwill and Other Intangible Assets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and Indefinite-lived Intangibles</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tests goodwill and indefinite-lived intangibles for impairment on an annual basis, or when events occur or circumstances indicate the fair value of a reporting unit is below its carrying value. The test for impairment may be a qualitative or a quantitative analysis depending on the facts and circumstances associated with the reporting unit. If the fair value of a reporting unit is less than its carrying value, an impairment loss is recorded to the extent that implied fair value of the indefinite-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lived intangibles or goodwill within the reporting unit is less than its carrying value. See </w:t>
      </w:r>
      <w:r>
        <w:rPr>
          <w:rFonts w:ascii="Times New Roman" w:cs="Times New Roman" w:eastAsia="Times New Roman" w:hAnsi="Times New Roman"/>
          <w:sz w:val="14"/>
          <w:szCs w:val="14"/>
          <w:u w:val="single" w:color="auto"/>
          <w:color w:val="0000FF"/>
        </w:rPr>
        <w:t>Note 7. Goodwill and Other Intangible Assets</w:t>
      </w:r>
      <w:r>
        <w:rPr>
          <w:rFonts w:ascii="Times New Roman" w:cs="Times New Roman" w:eastAsia="Times New Roman" w:hAnsi="Times New Roman"/>
          <w:sz w:val="14"/>
          <w:szCs w:val="14"/>
          <w:color w:val="auto"/>
        </w:rPr>
        <w:t xml:space="preserve"> for further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Company evaluates lease and service arrangements at lease inception to determine if the arrangement is a lease or contains a lease. Lease arrangements are evaluated at their commencement date to determine classification as operating or finance. Operating leases are reported as part of other noncurrent assets, accounts payable and accrued expenses and other noncurrent liabilities on the Company's Consolidated Balance Sheets. Finance leases, if applicable, are reported as part of property, equipment and software, net, and debt on the Company's Consolidated Balance Sheets. Leases with a term of twelve months or less ("short-term leases") are generally not included on the Company's Balance Sheets. The Company does not separate lease and non-lease components. Certain estimates and assumptions are made when determining the value of ROU Assets and the related liabilities, including when establishing the lease term and discount rates and variable lease payments (e.g., rent escalations tied to changes in the Producer Price Index). The lease term for all of the Company's leases includes the non-cancelable period of the lease adjusted for any renewal or termination options the Company is reasonably certain to exercise. The lease payment stream includes any rent escalation that is required under certain lease agreements. The Company's leases generally do not provide an implicit rate of interest, nor is it readily determinable by the Company, and as such the Company uses its incremental borrowing rate in determining the discounted value of the lease payments. Lease expense and depreciation expense, if applicable, are recognized on a straight-line basis over the term of the lease.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Settlement Assets and Customer/Subscriber Account Balances and Related Obligations</w:t>
      </w:r>
    </w:p>
    <w:p>
      <w:pPr>
        <w:spacing w:after="0" w:line="18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 xml:space="preserve">Settlement assets and customer/subscriber account balances and the related obligations recognized on the Company's Consolidated Balance Sheets represent intermediary balances arising in the Company's settlement process for merchants and other customers. See </w:t>
      </w:r>
      <w:r>
        <w:rPr>
          <w:rFonts w:ascii="Times New Roman" w:cs="Times New Roman" w:eastAsia="Times New Roman" w:hAnsi="Times New Roman"/>
          <w:sz w:val="14"/>
          <w:szCs w:val="14"/>
          <w:u w:val="single" w:color="auto"/>
          <w:color w:val="0000FF"/>
        </w:rPr>
        <w:t>Note 4. Settlement Assets and Customer/Subscriber Account Balances and Related Obligations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Issuance and Modification Costs</w:t>
      </w:r>
    </w:p>
    <w:p>
      <w:pPr>
        <w:spacing w:after="0" w:line="18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Costs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Company's Management approved a plan to restructure the business of its wholly owned subsidiary, PayRight. PayRight's business activity included advancing funds to customers, which did not generate the desired financial results due to changes in the economic environment, particularly the cost of capital. The restructuring plan included termination of the advancing business effective June 30, 2024. The Company included costs related to this restructuring within selling, general and administrative operating expenses and depreciation and amortization within its Consolidated Statement of Operations and Comprehensive Loss for the year ended December 31, 2023. The costs include allowance for certain advances whose recoverability was impacted by the restructuring of $3.5 million and $0.3 million for accelerated depreciation and amortization of assets of the restructured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Business Combinations and Asset Acquisitions</w:t>
      </w:r>
    </w:p>
    <w:p>
      <w:pPr>
        <w:spacing w:after="0" w:line="17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liabilities assumed. The measurement period ends once all information is obtained, but no later than one year from the acquisition date.</w:t>
      </w:r>
    </w:p>
    <w:p>
      <w:pPr>
        <w:spacing w:after="0" w:line="17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 accounts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costs are capitalized as part of the asset or assets acquired.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Contingent Consideration</w:t>
      </w:r>
    </w:p>
    <w:p>
      <w:pPr>
        <w:spacing w:after="0" w:line="17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Contingent consideration related to the Company's business combinations are estimated based on the present value of a weighted payout probability at the measurement date using a Monte Carlo simulation model. This valuation falls within Level 3 on the fair value hierarchy. A change in inputs in the valuation techniques used might result in a significantly higher or lower fair value measurement than what is reported. The current portion of contingent consideration is included in accounts payable and accrued expenses on the Company's Consolidated Balance Sheets and the noncurrent portion of contingent consideration is included in other noncurrent liabilities on the Company's Consolidated Balance Sheets.</w:t>
      </w:r>
    </w:p>
    <w:p>
      <w:pPr>
        <w:spacing w:after="0" w:line="140"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For asset acquisitions that do not meet the definition of a business, the portion of the unpaid purchase price that is contingent on future activities is not recorded by the Company on the date of acquisition, but when it becomes probable and can be estimated.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Non-controlling Interests</w:t>
      </w:r>
    </w:p>
    <w:p>
      <w:pPr>
        <w:spacing w:after="0" w:line="17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Occasionally, the Company issues common equity and non-voting incentive units within its subsidiaries. The Company is the majority owner of these subsidiaries and, therefore, the common equity and incentive units are deemed to be NCI. NCI is valued based on the events and methodologies including the acquisition-date fair value or the option pricing method.</w:t>
      </w:r>
    </w:p>
    <w:p>
      <w:pPr>
        <w:spacing w:after="0" w:line="1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To estimate the initial fair value of the incentive units, the Company utilizes future cash flow scenarios with focus on those cash flow scenarios which could result in future distributions to the NCIs. In subsequent periods, income or loss will be attributed to an NCI based on the hypothetical liquidation at book value method utilizing the terms of the operating agreement between the Company and the NCI.</w:t>
      </w:r>
    </w:p>
    <w:p>
      <w:pPr>
        <w:spacing w:after="0" w:line="13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As the majority owner, the Company has call rights on the incentive units issued to the NCIs. These call rights can only be executed under certain circumstances and execution is always optional at the Company's discretion. The call rights do not meet the definition of a free-standing financial instrument or derivative; thus no separate accounting is required for these call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Accrued Residual Commissions</w:t>
      </w:r>
    </w:p>
    <w:p>
      <w:pPr>
        <w:spacing w:after="0" w:line="1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Accrued residual commissions consist of amounts due to ISOs and independent sales agents based on a percentage of the net revenues generated from the Company's merchant customers referred by the respective ISO and independent sales agent. Percentages vary based on the program type and transaction volume of each merchant. Residual commission expenses were $426.6 million, $415.1 million and $396.2 million, respectively, for the years ended December 31, 2024, 2023 and 2022, and are included in costs of services in the accompanying Consolidated Statements of Operations and Comprehensive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ISO Deposit and Loss Reserve</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ISOs may partner with the Company in an exclusive partner program in which ISOs are given negotiated pricing in exchange for bearing the risk of loss. Through the arrangement, the Company accepts deposits on behalf of the ISO and a reserve account is established by the Company. All amounts maintained by the Company are included in the accompanying Consolidated Balance Sheets as other noncurrent liabilities, which are directly offset by restricted cash accounts owned by the Company of $5.2 million and $6.4 million as of December 31, 2024 and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8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recognizes the cost resulting from all stock-based payment transactions in the financial statements at grant date fair value. Stock-based compensation expense is recognized over the requisite service period and is reflected in salary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employee benefits expense on the Company's Consolidated Statements of Operations and Comprehensive Loss. Awards generally vest over three or four years and may not vest evenly over the vesting period. The effects of forfeitures are recognized as they occur. All shares issued from option exercises or vesting of PSU and RSU awards are original issuance shares and any shares withheld for taxes are repurchased by the Company.</w:t>
      </w:r>
    </w:p>
    <w:p>
      <w:pPr>
        <w:spacing w:after="0" w:line="1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measures a liability award under a stock-based compensation payment arrangement based on the award's fair value remeasured at each reporting date until the date of settlement. Compensation cost for each period until settlement is based on the change (or a portion of the change, depending on the percentage of the requisite service that has been rendered at the reporting date) in the fair value of the instrument for each reporting period. The Company had no liability classified awards for the year ended December 31, 2024, 2023, and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 Options</w:t>
      </w:r>
    </w:p>
    <w:p>
      <w:pPr>
        <w:spacing w:after="0" w:line="179"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Under the Company's 2018 Plan, the Company determines the fair value of stock options using the Black-Scholes option pricing model, which requires the use of the following subjective assumptions:</w:t>
      </w:r>
    </w:p>
    <w:p>
      <w:pPr>
        <w:spacing w:after="0" w:line="12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Expected volatility – </w:t>
      </w:r>
      <w:r>
        <w:rPr>
          <w:rFonts w:ascii="Times New Roman" w:cs="Times New Roman" w:eastAsia="Times New Roman" w:hAnsi="Times New Roman"/>
          <w:sz w:val="14"/>
          <w:szCs w:val="14"/>
          <w:color w:val="auto"/>
        </w:rPr>
        <w:t>Measure of the amount by which a stock price has fluctuated or is expected to fluctuate. In 2018, when the Company's outstanding stock options were granted, there was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relatively short amount of time that the Company's Common Stock (Nasdaq: PRTH) were traded on a public market, the Company utilized volatility data for the Common Stock of a peer group of comparable public companies. An increase in the expected volatility would increase the fair value of the stock option and related compensation expense.</w:t>
      </w:r>
    </w:p>
    <w:p>
      <w:pPr>
        <w:spacing w:after="0" w:line="13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 </w:t>
      </w:r>
      <w:r>
        <w:rPr>
          <w:rFonts w:ascii="Times New Roman" w:cs="Times New Roman" w:eastAsia="Times New Roman" w:hAnsi="Times New Roman"/>
          <w:sz w:val="14"/>
          <w:szCs w:val="14"/>
          <w:color w:val="auto"/>
        </w:rPr>
        <w:t>U.S. Treasury rate for a stripped-principal treasury note as of the grant date having a term equal to the expected term of the stock option. An increase in the risk-free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 will increase the fair value of the stock option and related compensation expense.</w:t>
      </w:r>
    </w:p>
    <w:p>
      <w:pPr>
        <w:spacing w:after="0" w:line="12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Expected term – </w:t>
      </w:r>
      <w:r>
        <w:rPr>
          <w:rFonts w:ascii="Times New Roman" w:cs="Times New Roman" w:eastAsia="Times New Roman" w:hAnsi="Times New Roman"/>
          <w:sz w:val="14"/>
          <w:szCs w:val="14"/>
          <w:color w:val="auto"/>
        </w:rPr>
        <w:t>Period of time over which the stock options granted are expected to remain outstanding. In 2018, when the Company's outstanding stock options were granted, the Company lacked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sufficient exercise information for its stock option plan since it was a newly public company. Accordingly, the Company used a method permitted by the SEC whereby the expected term was estimated to be the mid-point between the vesting dates and the expiration dates of the stock option grants. An increase in the expected term will increase the fair value of the stock option and the related compensation expense.</w:t>
      </w:r>
    </w:p>
    <w:p>
      <w:pPr>
        <w:spacing w:after="0" w:line="138"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Dividend yield – </w:t>
      </w:r>
      <w:r>
        <w:rPr>
          <w:rFonts w:ascii="Times New Roman" w:cs="Times New Roman" w:eastAsia="Times New Roman" w:hAnsi="Times New Roman"/>
          <w:sz w:val="14"/>
          <w:szCs w:val="14"/>
          <w:color w:val="auto"/>
        </w:rPr>
        <w:t>The Company uses an amount of zero as the Company has paid no cash or stock dividends and does not anticipate doing so in the foreseeable future. An increase in the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yield will decrease the fair value of the stock option and the related compensation expenses.</w:t>
      </w:r>
    </w:p>
    <w:p>
      <w:pPr>
        <w:spacing w:after="0" w:line="12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If a participant terminates employment with the Company, vested options may be exercised for a short period of time while unvested options are forfeited. However, in any event, a stock option will expire ten years from the date of the grant.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Service-based restricted stock awards</w:t>
      </w:r>
    </w:p>
    <w:p>
      <w:pPr>
        <w:spacing w:after="0" w:line="17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fair value of time-based restricted stock awards is determined based on the quoted closing price of the Company's Common Stock on the business day prior to the grant date and is recognized as compensation expense over the vesting term of the awards.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Performance-based restricted stock awards</w:t>
      </w:r>
    </w:p>
    <w:p>
      <w:pPr>
        <w:spacing w:after="0" w:line="17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accounts for its performance-based restricted stock awards based on the quoted closing price of the Company's Common Stock on the business day prior to the grant date, adjusted for any market-based vesting criteria, and records stock-based compensation expense over the vesting term of the awards based on the probability that the performance criteria will be achieved. The performance goals may be work-related goals for the individual recipient and/or based on certain corporate performance goals. The Company reassesses the probability of vesting at each reporting period and prospectively adjusts stock-based compensation expense based on its probability assessment. Additionally, if performance goals are set or reset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annual basis, compensation cost is recognized in any reporting period only for performance-based restricted stock awards in which the performance goals have been established and communicated to the award recipient.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Non-voting Incentive Units</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 xml:space="preserve">The Company issued non-voting incentive units to certain employees and partners in seven subsidiaries. These non-voting incentive units were determined to be equity and are accounted for under ASC 718 </w:t>
      </w:r>
      <w:r>
        <w:rPr>
          <w:rFonts w:ascii="Times New Roman" w:cs="Times New Roman" w:eastAsia="Times New Roman" w:hAnsi="Times New Roman"/>
          <w:sz w:val="14"/>
          <w:szCs w:val="14"/>
          <w:i w:val="1"/>
          <w:iCs w:val="1"/>
          <w:color w:val="auto"/>
        </w:rPr>
        <w:t>Stock Compensation.</w:t>
      </w:r>
      <w:r>
        <w:rPr>
          <w:rFonts w:ascii="Times New Roman" w:cs="Times New Roman" w:eastAsia="Times New Roman" w:hAnsi="Times New Roman"/>
          <w:sz w:val="14"/>
          <w:szCs w:val="14"/>
          <w:color w:val="auto"/>
        </w:rPr>
        <w:t xml:space="preserve">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Stock Purchase Program</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The 2021 Employee Stock Purchase plan authorizes the issuance of shares of the Company’s Common Stock pursuant to purchase rights granted to employees. The fair value of purchase rights issued under the Employee Stock purchase Plan is estimated using the Black-Scholes option pricing model. The model requires management to make a number of assumptions, including the fair value of the Company’s Common Stock, expected volatility, expected term, risk-free interest rate, and expected dividends. The Company records the resulting compensation expense in the Consolidated Statements of Operations and Comprehensive Loss over each three-month offering period. See </w:t>
      </w:r>
      <w:r>
        <w:rPr>
          <w:rFonts w:ascii="Times New Roman" w:cs="Times New Roman" w:eastAsia="Times New Roman" w:hAnsi="Times New Roman"/>
          <w:sz w:val="14"/>
          <w:szCs w:val="14"/>
          <w:u w:val="single" w:color="auto"/>
          <w:color w:val="0000FF"/>
        </w:rPr>
        <w:t>Note 14. Stock-based Compensation</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2529"/>
        </w:rPr>
        <w:t>Repurchased Stock</w:t>
      </w:r>
    </w:p>
    <w:p>
      <w:pPr>
        <w:spacing w:after="0" w:line="17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 xml:space="preserve">Pursuant to the provisions of ASC 505-30, </w:t>
      </w:r>
      <w:r>
        <w:rPr>
          <w:rFonts w:ascii="Times New Roman" w:cs="Times New Roman" w:eastAsia="Times New Roman" w:hAnsi="Times New Roman"/>
          <w:sz w:val="14"/>
          <w:szCs w:val="14"/>
          <w:i w:val="1"/>
          <w:iCs w:val="1"/>
          <w:color w:val="auto"/>
        </w:rPr>
        <w:t>Treasury Stock</w:t>
      </w:r>
      <w:r>
        <w:rPr>
          <w:rFonts w:ascii="Times New Roman" w:cs="Times New Roman" w:eastAsia="Times New Roman" w:hAnsi="Times New Roman"/>
          <w:sz w:val="14"/>
          <w:szCs w:val="14"/>
          <w:color w:val="auto"/>
        </w:rPr>
        <w:t xml:space="preserve">, the Company has elected to apply the cost method when accounting for treasury stock resulting from the repurchase of its Common Stock. Under the cost method, the gross cost of the shares reacquired is charged to a contra equity account, treasury stock. The equity accounts that were originally credited for the original share issuance, Common Stock and additional paid-in capital, remain intact. See </w:t>
      </w:r>
      <w:r>
        <w:rPr>
          <w:rFonts w:ascii="Times New Roman" w:cs="Times New Roman" w:eastAsia="Times New Roman" w:hAnsi="Times New Roman"/>
          <w:sz w:val="14"/>
          <w:szCs w:val="14"/>
          <w:u w:val="single" w:color="auto"/>
          <w:color w:val="0000FF"/>
        </w:rPr>
        <w:t>Note 13. Shareholders' Deficit</w:t>
      </w:r>
      <w:r>
        <w:rPr>
          <w:rFonts w:ascii="Times New Roman" w:cs="Times New Roman" w:eastAsia="Times New Roman" w:hAnsi="Times New Roman"/>
          <w:sz w:val="14"/>
          <w:szCs w:val="14"/>
          <w:color w:val="212529"/>
        </w:rPr>
        <w:t>.</w:t>
      </w:r>
    </w:p>
    <w:p>
      <w:pPr>
        <w:spacing w:after="0" w:line="136"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4"/>
          <w:szCs w:val="14"/>
          <w:color w:val="auto"/>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Earnings (Loss) per Share</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Basic EPS is computed by dividing net income (loss) available to Common Shareholders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the more dilutive of the two-class method or if-converted method. Diluted EPS excludes potential shares of Common Stock if their effect is anti-dilutive. If there is a net loss in any period, basic and diluted EPS are computed in the same manner. </w:t>
      </w:r>
      <w:r>
        <w:rPr>
          <w:rFonts w:ascii="Times New Roman" w:cs="Times New Roman" w:eastAsia="Times New Roman" w:hAnsi="Times New Roman"/>
          <w:sz w:val="14"/>
          <w:szCs w:val="14"/>
          <w:color w:val="212529"/>
        </w:rPr>
        <w:t>See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Note 13. Shareholders' Deficit</w:t>
      </w:r>
      <w:r>
        <w:rPr>
          <w:rFonts w:ascii="Times New Roman" w:cs="Times New Roman" w:eastAsia="Times New Roman" w:hAnsi="Times New Roman"/>
          <w:sz w:val="14"/>
          <w:szCs w:val="14"/>
          <w:color w:val="212529"/>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8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4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Financial Accounting Standards Board, or FASB, Staff has provided additional guidance to address the accounting for the effects of the provisions related to the taxation of Global Intangible Low-Tax Income noting that companies should make an accounting policy election to recognize deferred taxes for temporary basis differences expected to reverse in future years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 the tax expense in the year it is incurred. The Company has made a policy election to recognize such taxes as current period expenses when incurred.</w:t>
      </w:r>
    </w:p>
    <w:p>
      <w:pPr>
        <w:spacing w:after="0" w:line="17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 xml:space="preserve">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The Company recognized interest and penalties associated with uncertain tax positions as a component of income tax expense. See </w:t>
      </w:r>
      <w:r>
        <w:rPr>
          <w:rFonts w:ascii="Times New Roman" w:cs="Times New Roman" w:eastAsia="Times New Roman" w:hAnsi="Times New Roman"/>
          <w:sz w:val="14"/>
          <w:szCs w:val="14"/>
          <w:u w:val="single" w:color="auto"/>
          <w:color w:val="0000FF"/>
        </w:rPr>
        <w:t>Note 12. Income 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Quoted market prices in active markets for identical assets or liabilities as of the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2 – Observable market-based inputs or unobservable inputs that are corroborated by market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 Unobservable inputs that are not corroborated by market data.</w:t>
      </w:r>
    </w:p>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fair values of the Company's merchant portfolios, assets and liabilities acquired in mergers and business combinations, and contingent consideration are primarily based on Level 3 inputs and are generally estimated based upon valuation techniques that include discounted cash flow analysis based on cash flow projections or Monte Carlo simulations and, for years beyond the projection period, estimates based on assumed growth rates. Assumptions are also made regarding appropriate discount rates, perpetual growth rates, and capital expenditures, among others. In certain circumstances, the discounted cash flow analysis or Monte Carlo simulation is corroborated by a market-based approach that utilizes comparable company public trading values and, where available, values observed in public market transactions.</w:t>
      </w:r>
    </w:p>
    <w:p>
      <w:pPr>
        <w:spacing w:after="0" w:line="143"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 xml:space="preserve">The carrying values of accounts and notes receivable, accounts payable and accrued expenses, long-term debt, restricted cash and cash and cash equivalents, including settlement assets and the associated deposit liabilities, approximate their fair values due to either the short-term nature of such instruments or the fact that the interest rate of the debt is based upon current market rates. See </w:t>
      </w:r>
      <w:r>
        <w:rPr>
          <w:rFonts w:ascii="Times New Roman" w:cs="Times New Roman" w:eastAsia="Times New Roman" w:hAnsi="Times New Roman"/>
          <w:sz w:val="14"/>
          <w:szCs w:val="14"/>
          <w:u w:val="single" w:color="auto"/>
          <w:color w:val="0000FF"/>
        </w:rPr>
        <w:t>Note 18. Fair Value.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w:t>
      </w:r>
    </w:p>
    <w:p>
      <w:pPr>
        <w:spacing w:after="0" w:line="18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Company's reporting currency is the U.S. dollar. The functional currency of the Indian subsidiary of the Company is Indian Rupee (i.e. local currency of Republic of India). The functional currency of the Canadian subsidiary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Risk</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 substantial portion of the Company's revenues and receivables are attributable to merchants. For the years ended December 31, 2024, 2023 and 2022, no individual merchant customer accounted for 10% or more of the Company's consolidated revenues. Most of the Company's merchant customers were referred to the Company by an ISO or other reseller partners. If the Company's agreement with an ISO allows the ISO to have merchant portability rights, the ISO can move the underlying merchant relationships to another merchant acquirer upon notice to the Company and completion of a "wind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period. For the years ended December 31, 2024, 2023 and 2022, merchants referred by one ISO organization with merchant portability rights generated revenue within the Company's SMB Payments reportable segment that represented approximately 6%, 15% and 21%, respectively, of the Company's consolidated revenues.</w:t>
      </w:r>
    </w:p>
    <w:p>
      <w:pPr>
        <w:spacing w:after="0" w:line="12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2024, the Company's settlement assets and customer /subscriber account balances of $940.8 million includes cash and cash equivalents of $924.2 million related to customer account balances which are maintained in FDIC insured accounts with certain FIs. See </w:t>
      </w:r>
      <w:r>
        <w:rPr>
          <w:rFonts w:ascii="Times New Roman" w:cs="Times New Roman" w:eastAsia="Times New Roman" w:hAnsi="Times New Roman"/>
          <w:sz w:val="14"/>
          <w:szCs w:val="14"/>
          <w:u w:val="single" w:color="auto"/>
          <w:color w:val="0000FF"/>
        </w:rPr>
        <w:t>Note 4. Settlement Assets and Customer/Subscriber Account Balances and Related Obligations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4"/>
          <w:szCs w:val="14"/>
          <w:color w:val="auto"/>
        </w:rPr>
        <w:t>A majority of the Company's cash and restricted cash (including subscriber account balances) is held in certain FIs, substantially all of which is in excess of FDIC limits. On at least an annual basis, the Company reviews qualitative and quantitative factors including earnings (with emphasis on return on equity and net interest margin), capitalization (with emphasis on Tier 1 and Capital ratios), asset quality (emphasis on Net charge-offs ratios), and liquidity, evaluating the performance of these FIs with their peers. The Company may shift funds as a response to risks noted and to optimize returns and costs</w:t>
      </w:r>
      <w:r>
        <w:rPr>
          <w:rFonts w:ascii="Calibri" w:cs="Calibri" w:eastAsia="Calibri" w:hAnsi="Calibri"/>
          <w:sz w:val="15"/>
          <w:szCs w:val="15"/>
          <w:color w:val="auto"/>
        </w:rPr>
        <w:t>.</w:t>
      </w:r>
      <w:r>
        <w:rPr>
          <w:rFonts w:ascii="Times New Roman" w:cs="Times New Roman" w:eastAsia="Times New Roman" w:hAnsi="Times New Roman"/>
          <w:sz w:val="14"/>
          <w:szCs w:val="14"/>
          <w:color w:val="auto"/>
        </w:rPr>
        <w:t xml:space="preserve"> The Company does not believe it is exposed to any significant credit risk from these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17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which requires incremental reportable segment disclosures, primarily about significant segment expenses. The amendments also require entities with a single reportable segment to provide all disclosures required by these amendments, and all existing segment disclosures. This guidance is effective for fiscal years beginning after December 15, 2023, and interim periods after December 15, 2024. The Company has adopted this guidance for the year ended December 31, 2024. This guidance only impacts the disclosures with no impact on the results of operations, financial position or 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Standards Pending Adoption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ASU 2023-09</w:t>
      </w:r>
    </w:p>
    <w:p>
      <w:pPr>
        <w:spacing w:after="0" w:line="17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 to Income Tax Disclosures,</w:t>
      </w:r>
      <w:r>
        <w:rPr>
          <w:rFonts w:ascii="Times New Roman" w:cs="Times New Roman" w:eastAsia="Times New Roman" w:hAnsi="Times New Roman"/>
          <w:sz w:val="14"/>
          <w:szCs w:val="14"/>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Profit Interest ASU 2024-01</w:t>
      </w:r>
    </w:p>
    <w:p>
      <w:pPr>
        <w:spacing w:after="0" w:line="17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In March 2024, the FASB issued ASU 2024-01, </w:t>
      </w:r>
      <w:r>
        <w:rPr>
          <w:rFonts w:ascii="Times New Roman" w:cs="Times New Roman" w:eastAsia="Times New Roman" w:hAnsi="Times New Roman"/>
          <w:sz w:val="14"/>
          <w:szCs w:val="14"/>
          <w:i w:val="1"/>
          <w:iCs w:val="1"/>
          <w:color w:val="auto"/>
        </w:rPr>
        <w:t>Profit Interest and Similar Awards</w:t>
      </w:r>
      <w:r>
        <w:rPr>
          <w:rFonts w:ascii="Times New Roman" w:cs="Times New Roman" w:eastAsia="Times New Roman" w:hAnsi="Times New Roman"/>
          <w:sz w:val="14"/>
          <w:szCs w:val="14"/>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 Compensation. This guidance is effective for annual periods beginning after December 15, 2024, with early adoption permitted. The Company is in the process of evaluating the potential effects this guidance will have.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Income Statement Expenses ASU 2024-03</w:t>
      </w:r>
    </w:p>
    <w:p>
      <w:pPr>
        <w:spacing w:after="0" w:line="17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("ASU 2024-03") requiring additional disaggregated disclosures in the notes to financial statements for certain categories of expenses that are included on the face of the income statement. The ASU is effective for fiscal years beginning after December 15, 2026 and interim periods beginning after December 15, 2027. Early adoption is permitted. The Company will adopt this guidance for the year ended December 31, 2026. This guidance is expected to only impact the disclosures with no impact on the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2.</w:t>
        <w:tab/>
        <w:t>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 occurred in prior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Plastiq Acquisition</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May 23, 2023, Plastiq, Powered by Priority, LLC (the "Acquiring Entity"), a subsidiary of Priority, entered into a stalking horse equity and asset purchase agreement with Plastiq, Inc. and certain of its affiliates ("Plastiq") to acquire substantially all of the assets of Plastiq, including the equity interest in Plastiq Canada, Inc. Plastiq is a buyer funded B2B payments platform offering bill pay and instant access to working capital to its customers and will complement the Company's existing supplier-funded B2B Payments business. On May 24, 2023, Plastiq filed voluntary petitions for relief under Chapter 11 of Title 11 of the United States Code in the United States Bankruptcy Court for the District of Delaware.</w:t>
      </w:r>
    </w:p>
    <w:p>
      <w:pPr>
        <w:spacing w:after="0" w:line="140"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purchase was completed on July 31, 2023 for a total purchase consideration of approximately $37.0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13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acquisition was accounted for as a business combination using the acquisition method of accounting, under which the acquired assets and assumed liabilities were recognized at their fair values as of July 31, 2023, with the excess of the fair value of consideration transferred over the fair value of the net assets acquired recognized as goodwill. The fair values of the acquired assets and assumed liabilities as of July 31, 2023 were estimated by management using the discounted cash flow method and other factors specific to certain assets and liabilities. The final purchase price allocation is set forth in the table below:</w:t>
      </w:r>
    </w:p>
    <w:p>
      <w:pPr>
        <w:sectPr>
          <w:pgSz w:w="11900" w:h="16838" w:orient="portrait"/>
          <w:cols w:equalWidth="0" w:num="1">
            <w:col w:w="11260"/>
          </w:cols>
          <w:pgMar w:left="300" w:top="125" w:right="339" w:bottom="1440" w:gutter="0" w:footer="0" w:header="0"/>
        </w:sectPr>
      </w:pP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Contingent consideration payments </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14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Common equity of the Acquiring Entity</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purchase consideration,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07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Recognized amounts of assets acquired and liabilities assumed: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Settlement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Equipment, net</w:t>
      </w:r>
    </w:p>
    <w:p>
      <w:pPr>
        <w:ind w:left="20"/>
        <w:spacing w:after="0" w:line="235" w:lineRule="auto"/>
        <w:rPr>
          <w:sz w:val="20"/>
          <w:szCs w:val="20"/>
          <w:color w:val="auto"/>
        </w:rPr>
      </w:pPr>
      <w:r>
        <w:rPr>
          <w:rFonts w:ascii="Times New Roman" w:cs="Times New Roman" w:eastAsia="Times New Roman" w:hAnsi="Times New Roman"/>
          <w:sz w:val="14"/>
          <w:szCs w:val="14"/>
          <w:color w:val="auto"/>
        </w:rPr>
        <w:t>Goodwill</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61530" cy="11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line="220" w:lineRule="auto"/>
        <w:rPr>
          <w:sz w:val="20"/>
          <w:szCs w:val="20"/>
          <w:color w:val="auto"/>
        </w:rPr>
      </w:pPr>
      <w:r>
        <w:rPr>
          <w:rFonts w:ascii="Times New Roman" w:cs="Times New Roman" w:eastAsia="Times New Roman" w:hAnsi="Times New Roman"/>
          <w:sz w:val="14"/>
          <w:szCs w:val="14"/>
          <w:color w:val="auto"/>
        </w:rPr>
        <w:t>Intangible assets</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14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Customer deposits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Settlement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28,500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8,419</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330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12700</wp:posOffset>
            </wp:positionV>
            <wp:extent cx="13944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4"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36,971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13944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84"/>
        </w:trPr>
        <w:tc>
          <w:tcPr>
            <w:tcW w:w="10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r>
    </w:tbl>
    <w:p>
      <w:pPr>
        <w:jc w:val="right"/>
        <w:ind w:right="40"/>
        <w:spacing w:after="0"/>
        <w:rPr>
          <w:sz w:val="20"/>
          <w:szCs w:val="20"/>
          <w:color w:val="auto"/>
        </w:rPr>
      </w:pPr>
      <w:r>
        <w:rPr>
          <w:rFonts w:ascii="Times New Roman" w:cs="Times New Roman" w:eastAsia="Times New Roman" w:hAnsi="Times New Roman"/>
          <w:sz w:val="14"/>
          <w:szCs w:val="14"/>
          <w:color w:val="auto"/>
        </w:rPr>
        <w:t>8,277</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47</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7,240</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30,460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(1,881)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12700</wp:posOffset>
            </wp:positionV>
            <wp:extent cx="13944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4"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36,971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139446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39446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36195</wp:posOffset>
            </wp:positionV>
            <wp:extent cx="139446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380" w:space="720"/>
            <w:col w:w="2160"/>
          </w:cols>
          <w:pgMar w:left="300" w:top="125" w:right="339" w:bottom="1440" w:gutter="0" w:footer="0" w:header="0"/>
          <w:type w:val="continuous"/>
        </w:sectPr>
      </w:pPr>
    </w:p>
    <w:p>
      <w:pPr>
        <w:spacing w:after="0" w:line="76" w:lineRule="exact"/>
        <w:rPr>
          <w:sz w:val="20"/>
          <w:szCs w:val="20"/>
          <w:color w:val="auto"/>
        </w:rPr>
      </w:pPr>
    </w:p>
    <w:p>
      <w:pPr>
        <w:jc w:val="both"/>
        <w:ind w:left="520" w:hanging="260"/>
        <w:spacing w:after="0" w:line="237" w:lineRule="auto"/>
        <w:tabs>
          <w:tab w:leader="none" w:pos="51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fair value of the contingent consideration payments issued was determined utilizing a Monte Carlo simulation. The contingent consideration payments were calculated based on the path for the simulated metrics and the contractual terms of the contingent consideration payments and were discounted to present value at a rate reflecting the risk associated with the payoffs. The fair value was estimated to be the average present value of the contingent consideration payments over all iterations of the simulation.</w:t>
      </w:r>
    </w:p>
    <w:p>
      <w:pPr>
        <w:spacing w:after="0" w:line="1" w:lineRule="exact"/>
        <w:rPr>
          <w:rFonts w:ascii="Times New Roman" w:cs="Times New Roman" w:eastAsia="Times New Roman" w:hAnsi="Times New Roman"/>
          <w:sz w:val="18"/>
          <w:szCs w:val="18"/>
          <w:color w:val="auto"/>
          <w:vertAlign w:val="superscript"/>
        </w:rPr>
      </w:pPr>
    </w:p>
    <w:p>
      <w:pPr>
        <w:ind w:left="500" w:hanging="240"/>
        <w:spacing w:after="0" w:line="196" w:lineRule="auto"/>
        <w:tabs>
          <w:tab w:leader="none" w:pos="50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intangible assets acquired consist of $13.0 million for customer relationships, $7.0 million for referral partner relationships, $6.5 million for technology and $3.9 million for trade name.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hanging="260"/>
        <w:spacing w:after="0" w:line="230" w:lineRule="auto"/>
        <w:tabs>
          <w:tab w:leader="none" w:pos="510" w:val="left"/>
        </w:tabs>
        <w:numPr>
          <w:ilvl w:val="1"/>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first and second quarters of 2024, the Company recorded immaterial measurement period adjustments due to a pre-acquisition tax accrual and security deposit which resulted in an adjustment to goodwill, accounts payable and accrued expenses, and prepaid expenses</w:t>
      </w:r>
    </w:p>
    <w:p>
      <w:pPr>
        <w:spacing w:after="0" w:line="200" w:lineRule="exact"/>
        <w:rPr>
          <w:rFonts w:ascii="Times New Roman" w:cs="Times New Roman" w:eastAsia="Times New Roman" w:hAnsi="Times New Roman"/>
          <w:sz w:val="18"/>
          <w:szCs w:val="18"/>
          <w:color w:val="auto"/>
          <w:vertAlign w:val="superscript"/>
        </w:rPr>
      </w:pPr>
    </w:p>
    <w:p>
      <w:pPr>
        <w:spacing w:after="0" w:line="336" w:lineRule="exact"/>
        <w:rPr>
          <w:rFonts w:ascii="Times New Roman" w:cs="Times New Roman" w:eastAsia="Times New Roman" w:hAnsi="Times New Roman"/>
          <w:sz w:val="18"/>
          <w:szCs w:val="18"/>
          <w:color w:val="auto"/>
          <w:vertAlign w:val="superscript"/>
        </w:rPr>
      </w:pPr>
    </w:p>
    <w:p>
      <w:pPr>
        <w:ind w:left="260" w:hanging="255"/>
        <w:spacing w:after="0"/>
        <w:tabs>
          <w:tab w:leader="none" w:pos="26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disaggregation of our consolidated revenues by type: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171"/>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5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80"/>
        </w:trPr>
        <w:tc>
          <w:tcPr>
            <w:tcW w:w="4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Merchant card fees</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670,411</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595,205</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553,037</w:t>
            </w:r>
          </w:p>
        </w:tc>
      </w:tr>
      <w:tr>
        <w:trPr>
          <w:trHeight w:val="18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transmission services</w:t>
            </w:r>
          </w:p>
        </w:tc>
        <w:tc>
          <w:tcPr>
            <w:tcW w:w="5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71,536</w:t>
            </w:r>
          </w:p>
        </w:tc>
      </w:tr>
      <w:tr>
        <w:trPr>
          <w:trHeight w:val="180"/>
        </w:trPr>
        <w:tc>
          <w:tcPr>
            <w:tcW w:w="4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Outsourced services and other services</w:t>
            </w: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29,627</w:t>
            </w:r>
          </w:p>
        </w:tc>
      </w:tr>
      <w:tr>
        <w:trPr>
          <w:trHeight w:val="18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5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w:t>
            </w:r>
          </w:p>
        </w:tc>
      </w:tr>
      <w:tr>
        <w:trPr>
          <w:trHeight w:val="171"/>
        </w:trPr>
        <w:tc>
          <w:tcPr>
            <w:tcW w:w="452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Total revenues</w:t>
            </w:r>
            <w:r>
              <w:rPr>
                <w:rFonts w:ascii="Times New Roman" w:cs="Times New Roman" w:eastAsia="Times New Roman" w:hAnsi="Times New Roman"/>
                <w:sz w:val="18"/>
                <w:szCs w:val="18"/>
                <w:color w:val="auto"/>
                <w:vertAlign w:val="superscript"/>
              </w:rPr>
              <w:t>(1)(2)</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879,702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755,612</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663,641</w:t>
            </w:r>
          </w:p>
        </w:tc>
      </w:tr>
      <w:tr>
        <w:trPr>
          <w:trHeight w:val="20"/>
        </w:trPr>
        <w:tc>
          <w:tcPr>
            <w:tcW w:w="4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right="120" w:hanging="260"/>
        <w:spacing w:after="0" w:line="230" w:lineRule="auto"/>
        <w:tabs>
          <w:tab w:leader="none" w:pos="51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Times New Roman" w:cs="Times New Roman" w:eastAsia="Times New Roman" w:hAnsi="Times New Roman"/>
          <w:sz w:val="18"/>
          <w:szCs w:val="18"/>
          <w:color w:val="auto"/>
          <w:vertAlign w:val="superscript"/>
        </w:rPr>
      </w:pPr>
    </w:p>
    <w:p>
      <w:pPr>
        <w:ind w:left="520" w:right="100" w:hanging="260"/>
        <w:spacing w:after="0" w:line="221" w:lineRule="auto"/>
        <w:tabs>
          <w:tab w:leader="none" w:pos="51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$52.3 million, $33.4 million and $7.5 million, of interest income for the years ended December 31, 2024, 2023 and 2022, respectively, is included in outsourced services and other services revenue in the table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w:t>
      </w:r>
      <w:r>
        <w:rPr>
          <w:rFonts w:ascii="Times New Roman" w:cs="Times New Roman" w:eastAsia="Times New Roman" w:hAnsi="Times New Roman"/>
          <w:sz w:val="14"/>
          <w:szCs w:val="14"/>
          <w:color w:val="212529"/>
        </w:rPr>
        <w:t>table presents a disaggregation of our consolidated revenues by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Merchant Card Fees</w:t>
            </w:r>
          </w:p>
        </w:tc>
        <w:tc>
          <w:tcPr>
            <w:tcW w:w="160" w:type="dxa"/>
            <w:vAlign w:val="bottom"/>
          </w:tcPr>
          <w:p>
            <w:pPr>
              <w:spacing w:after="0"/>
              <w:rPr>
                <w:sz w:val="11"/>
                <w:szCs w:val="11"/>
                <w:color w:val="auto"/>
              </w:rPr>
            </w:pPr>
          </w:p>
        </w:tc>
        <w:tc>
          <w:tcPr>
            <w:tcW w:w="1600" w:type="dxa"/>
            <w:vAlign w:val="bottom"/>
          </w:tcPr>
          <w:p>
            <w:pPr>
              <w:jc w:val="right"/>
              <w:ind w:right="189"/>
              <w:spacing w:after="0" w:line="129" w:lineRule="exact"/>
              <w:rPr>
                <w:sz w:val="20"/>
                <w:szCs w:val="20"/>
                <w:color w:val="auto"/>
              </w:rPr>
            </w:pPr>
            <w:r>
              <w:rPr>
                <w:rFonts w:ascii="Times New Roman" w:cs="Times New Roman" w:eastAsia="Times New Roman" w:hAnsi="Times New Roman"/>
                <w:sz w:val="14"/>
                <w:szCs w:val="14"/>
                <w:b w:val="1"/>
                <w:bCs w:val="1"/>
                <w:color w:val="auto"/>
              </w:rPr>
              <w:t>Money Transmission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Outsourced and Other</w:t>
            </w:r>
          </w:p>
        </w:tc>
        <w:tc>
          <w:tcPr>
            <w:tcW w:w="300" w:type="dxa"/>
            <w:vAlign w:val="bottom"/>
          </w:tcPr>
          <w:p>
            <w:pPr>
              <w:spacing w:after="0"/>
              <w:rPr>
                <w:sz w:val="11"/>
                <w:szCs w:val="11"/>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00" w:type="dxa"/>
            <w:vAlign w:val="bottom"/>
          </w:tcPr>
          <w:p>
            <w:pPr>
              <w:spacing w:after="0"/>
              <w:rPr>
                <w:sz w:val="11"/>
                <w:szCs w:val="11"/>
                <w:color w:val="auto"/>
              </w:rPr>
            </w:pPr>
          </w:p>
        </w:tc>
        <w:tc>
          <w:tcPr>
            <w:tcW w:w="136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SMB</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595,104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12,150</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613,547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B2B</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89,103</w:t>
            </w: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180,448</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Eliminations</w:t>
            </w:r>
          </w:p>
        </w:tc>
        <w:tc>
          <w:tcPr>
            <w:tcW w:w="1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670,411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130,123</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67,018</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12,150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879,702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Merchant Card Fees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Money Transmission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Outsourced and Other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00" w:type="dxa"/>
            <w:vAlign w:val="bottom"/>
          </w:tcPr>
          <w:p>
            <w:pPr>
              <w:spacing w:after="0"/>
              <w:rPr>
                <w:sz w:val="11"/>
                <w:szCs w:val="11"/>
                <w:color w:val="auto"/>
              </w:rPr>
            </w:pPr>
          </w:p>
        </w:tc>
        <w:tc>
          <w:tcPr>
            <w:tcW w:w="136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SMB</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564,356</w:t>
            </w:r>
          </w:p>
        </w:tc>
        <w:tc>
          <w:tcPr>
            <w:tcW w:w="4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12,670</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583,251</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B2B</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41,156</w:t>
            </w: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98,142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132,186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Eliminations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595,205</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98,137</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49,600</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12,670</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755,612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Merchant Card Fees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Money Transmission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Outsourced and Other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00" w:type="dxa"/>
            <w:vAlign w:val="bottom"/>
          </w:tcPr>
          <w:p>
            <w:pPr>
              <w:spacing w:after="0"/>
              <w:rPr>
                <w:sz w:val="11"/>
                <w:szCs w:val="11"/>
                <w:color w:val="auto"/>
              </w:rPr>
            </w:pPr>
          </w:p>
        </w:tc>
        <w:tc>
          <w:tcPr>
            <w:tcW w:w="136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SMB</w:t>
            </w:r>
          </w:p>
        </w:tc>
        <w:tc>
          <w:tcPr>
            <w:tcW w:w="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549,646</w:t>
            </w:r>
          </w:p>
        </w:tc>
        <w:tc>
          <w:tcPr>
            <w:tcW w:w="40" w:type="dxa"/>
            <w:vAlign w:val="bottom"/>
          </w:tcPr>
          <w:p>
            <w:pPr>
              <w:spacing w:after="0"/>
              <w:rPr>
                <w:sz w:val="15"/>
                <w:szCs w:val="15"/>
                <w:color w:val="auto"/>
              </w:rPr>
            </w:pPr>
          </w:p>
        </w:tc>
        <w:tc>
          <w:tcPr>
            <w:tcW w:w="2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562,237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B2B</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18,890</w:t>
            </w: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82,514</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Eliminations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8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553,037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71,536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9,441</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663,641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revenues were not material for the years ended December 31, 2024, 2023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Contract Liabilities</w:t>
      </w:r>
    </w:p>
    <w:p>
      <w:pPr>
        <w:spacing w:after="0" w:line="18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2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Contract liabilities were $0.2 million, $0.6 million and $0.2 million as of December 31, 2024, 2023, and 2022, respectively. Substantially all of these balances are recognized as revenue within 12 months.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assets were not material for any period presented.</w:t>
      </w:r>
    </w:p>
    <w:p>
      <w:pPr>
        <w:spacing w:after="0" w:line="17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Impairment losses recognized on receivables or contract assets arising from the Company's contracts with customers were $6.2 million and $0.5 million for the years ended December 31, 2024 and 2023, respectively. Impairment losses recognized on receivables or contract assets arising from the Company's contracts with customers were immaterial for the year ended December 31, 2022.</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Settlement Assets and Customer/Subscriber Account Balances and Related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SMB Payments Segment</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 Member banks held merchant funds of $106.2 million and $98.0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Exception items that become the liability of the Company are recorded as merchant losses, a component of costs of services in the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Consolidated Balance Sheets, with an offsetting reserve for those amounts the Company estimates it will not be able to recover. Expenses for merchant losses for the years ended December 31, 2024, 2023 and 2022 were $11.0 million, $5.2 million and $4.1 million,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B2B Payments Segment</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the Company's B2B Payments segment, the Company earns revenues from certain of its services by processing transactions for FIs and other business customers. Customers transfer funds to the Company, which are held in either Company-owned bank accounts controlled by the Company or bank-owned FBO accounts controlled by the banks, until such time as the transactions are settled with the customer payees. Amounts due to customer payees that are held by the Company in Company-owned bank accounts are included in restricted cash. Amounts due to customer payees that are held in bank-owned FBO accounts are not assets of the Company. As such, the associated obligations related to these funds are not liabilities of the Company; therefore, neither is recognized in the Company's Consolidated Balance Sheets. Bank-owned FBO accounts held funds of $64.8 million and $69.0 million at December 31, 2024 and 2023, respectively. Company-owned bank accounts held $1.6 million and $1.2 million at December 31, 2024 and 2023, respectively, which are included in restricted cash and settlement obligations in the Company's Consolidated Balance Sheets.</w:t>
      </w:r>
    </w:p>
    <w:p>
      <w:pPr>
        <w:spacing w:after="0" w:line="14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Exception items that the Company is still attempting to collect from the customers through the funds settlement process are recognized as settlement assets and customer/subscriber account balances in the Company's Consolidated Balance Sheets, with an offsetting reserve for those amounts the Company estimates it will not be able to recover. Expenses for these merchant losses for the years ended December 31, 2024, 2023 and 2022 were $0.6 million, $1.0 million, and $0.3 million, respectively.</w:t>
      </w:r>
    </w:p>
    <w:p>
      <w:pPr>
        <w:spacing w:after="0" w:line="13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also accepts card payments from its B2B Payments segment customers and processes disbursements to their vendors within the Plastiq business. The time lag between authorization and settlement of card transactions creates certain receivables (from card networks) and payables (to the vendors of customers). These receivables and payables arise from the settlement activities that the Company performs on the behalf of its customers and therefore, are presented as settlement assets and related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Enterprise Payments Segment</w:t>
      </w:r>
    </w:p>
    <w:p>
      <w:pPr>
        <w:spacing w:after="0" w:line="18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Consolidated Balance Sheets.</w:t>
      </w:r>
    </w:p>
    <w:p>
      <w:pPr>
        <w:spacing w:after="0" w:line="14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Exception items that become the liability of the Company are recorded as merchant losses, a component of cost of revenue in the Company's Consolidated Statements of Operations and Comprehensive Income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year ended December 31, 2024 was $0.4 million. Expenses for merchant losses for the years ended December 31, 2023 and 2022 were not material.</w:t>
      </w:r>
    </w:p>
    <w:p>
      <w:pPr>
        <w:spacing w:after="0" w:line="1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certain states, the Company accepts deposits under agency arrangement with member banks wherein accepted deposits remain under the control of the member banks. Therefore, the Company does not record assets for the deposits accepted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for the associated obligation. Agency owned accounts held $22.6 million and $19.6 million and at December 31, 2024 and 2023, respectively.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Company's consolidated settlement assets and customer/subscriber account balances and settlement and customer/subscriber account obligations were as follows:</w:t>
            </w:r>
          </w:p>
        </w:tc>
        <w:tc>
          <w:tcPr>
            <w:tcW w:w="1720" w:type="dxa"/>
            <w:vAlign w:val="bottom"/>
          </w:tcPr>
          <w:p>
            <w:pPr>
              <w:spacing w:after="0"/>
              <w:rPr>
                <w:sz w:val="16"/>
                <w:szCs w:val="16"/>
                <w:color w:val="auto"/>
              </w:rPr>
            </w:pPr>
          </w:p>
        </w:tc>
      </w:tr>
      <w:tr>
        <w:trPr>
          <w:trHeight w:val="37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1"/>
        </w:trPr>
        <w:tc>
          <w:tcPr>
            <w:tcW w:w="72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Settlement Assets, net of estimated losses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180"/>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Card settlements due from merchants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w:t>
            </w:r>
          </w:p>
        </w:tc>
      </w:tr>
      <w:tr>
        <w:trPr>
          <w:trHeight w:val="18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settlements due from networks</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w:t>
            </w: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settlement assets</w:t>
            </w: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Customer/Subscriber Account Balances:</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0"/>
        </w:trPr>
        <w:tc>
          <w:tcPr>
            <w:tcW w:w="7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924,174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744,696</w:t>
            </w:r>
          </w:p>
        </w:tc>
      </w:tr>
      <w:tr>
        <w:trPr>
          <w:trHeight w:val="19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settlement assets and customer/subscriber account balances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940,798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756,475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and Customer/Subscriber Account Obligations:</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0"/>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account obligations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897,497</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710,775</w:t>
            </w:r>
          </w:p>
        </w:tc>
      </w:tr>
      <w:tr>
        <w:trPr>
          <w:trHeight w:val="18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Subscriber account obligations</w:t>
            </w: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33,921</w:t>
            </w:r>
          </w:p>
        </w:tc>
      </w:tr>
      <w:tr>
        <w:trPr>
          <w:trHeight w:val="171"/>
        </w:trPr>
        <w:tc>
          <w:tcPr>
            <w:tcW w:w="7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customer/subscriber account obligations</w:t>
            </w: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924,174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744,696</w:t>
            </w:r>
          </w:p>
        </w:tc>
      </w:tr>
      <w:tr>
        <w:trPr>
          <w:trHeight w:val="180"/>
        </w:trPr>
        <w:tc>
          <w:tcPr>
            <w:tcW w:w="7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Due to customer payees</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11,058</w:t>
            </w: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settlement and customer/subscriber account obligations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940,213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755,754</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240"/>
        <w:spacing w:after="0"/>
        <w:tabs>
          <w:tab w:leader="none" w:pos="500" w:val="left"/>
        </w:tabs>
        <w:numPr>
          <w:ilvl w:val="1"/>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Allowance for estimated losses was $7.9 million and $6.6 million as of December 31, 2024 and 2023, respectively.</w:t>
      </w:r>
    </w:p>
    <w:p>
      <w:pPr>
        <w:spacing w:after="0" w:line="1" w:lineRule="exact"/>
        <w:rPr>
          <w:rFonts w:ascii="Times New Roman" w:cs="Times New Roman" w:eastAsia="Times New Roman" w:hAnsi="Times New Roman"/>
          <w:sz w:val="18"/>
          <w:szCs w:val="18"/>
          <w:color w:val="auto"/>
          <w:vertAlign w:val="superscript"/>
        </w:rPr>
      </w:pPr>
    </w:p>
    <w:p>
      <w:pPr>
        <w:ind w:left="520" w:right="160" w:hanging="260"/>
        <w:spacing w:after="0" w:line="220" w:lineRule="auto"/>
        <w:tabs>
          <w:tab w:leader="none" w:pos="510" w:val="left"/>
        </w:tabs>
        <w:numPr>
          <w:ilvl w:val="1"/>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Card settlements due from networks includes $12.3 million and $8.2 million as of December 31, 2024 and 2023, respectively, of related assets and remainder are included in restricted cash on our Consolidated Balance Sheets.</w:t>
      </w:r>
    </w:p>
    <w:p>
      <w:pPr>
        <w:spacing w:after="0" w:line="153" w:lineRule="exact"/>
        <w:rPr>
          <w:rFonts w:ascii="Times New Roman" w:cs="Times New Roman" w:eastAsia="Times New Roman" w:hAnsi="Times New Roman"/>
          <w:sz w:val="18"/>
          <w:szCs w:val="18"/>
          <w:color w:val="auto"/>
          <w:vertAlign w:val="superscript"/>
        </w:rPr>
      </w:pPr>
    </w:p>
    <w:p>
      <w:pPr>
        <w:ind w:left="280" w:hanging="275"/>
        <w:spacing w:after="0"/>
        <w:tabs>
          <w:tab w:leader="none" w:pos="28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 Receivable</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has notes receivable of $8.6 million and $5.2 million as of December 31, 2024 and 2023, respectively, which are reported as current portion of notes receivable and notes receivable less current portion on the Company's Consolidated Balance Sheets. The notes bear a weighted-average interest rate of 16.9% and 18.6% as of December 31, 2024 and 2023, respectively. The notes receivable are comprised of notes receivable from ISOs, and under the terms of the agreements the Company preserves the right to hold back residual payments due to the ISOs and to apply such residuals against future payments due to the Company. As of December 31, 2024 and 2023, the Company had no allowance for doubtful notes receivable.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principal payments for the Company's notes receivables are due as follows: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60" w:type="dxa"/>
            <w:vAlign w:val="bottom"/>
            <w:tcBorders>
              <w:top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8,557</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Property, Equipment and Software</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40"/>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property, equipment and software, net was as follows: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2"/>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78,492</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91,846</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(56,442)</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work in-progress</w:t>
            </w:r>
          </w:p>
        </w:tc>
        <w:tc>
          <w:tcPr>
            <w:tcW w:w="8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w:t>
            </w: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equipment and software, net</w:t>
            </w:r>
          </w:p>
        </w:tc>
        <w:tc>
          <w:tcPr>
            <w:tcW w:w="8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52,477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44,680</w:t>
            </w:r>
          </w:p>
        </w:tc>
      </w:tr>
      <w:tr>
        <w:trPr>
          <w:trHeight w:val="20"/>
        </w:trPr>
        <w:tc>
          <w:tcPr>
            <w:tcW w:w="6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8"/>
        </w:trPr>
        <w:tc>
          <w:tcPr>
            <w:tcW w:w="6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1"/>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11,494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Computer software represents purchased software and internally developed software that is used to provide the Company's services to its customers.</w:t>
      </w:r>
    </w:p>
    <w:p>
      <w:pPr>
        <w:spacing w:after="0" w:line="17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Fully depreciated assets are retained in property, equipment and software, net, until removed from service. During the year ended December 31, 2024 and 2023, certain fully depreciated assets were removed from service.</w:t>
      </w:r>
    </w:p>
    <w:p>
      <w:pPr>
        <w:spacing w:after="0" w:line="200" w:lineRule="exact"/>
        <w:rPr>
          <w:sz w:val="20"/>
          <w:szCs w:val="20"/>
          <w:color w:val="auto"/>
        </w:rPr>
      </w:pPr>
    </w:p>
    <w:p>
      <w:pPr>
        <w:spacing w:after="0" w:line="283" w:lineRule="exact"/>
        <w:rPr>
          <w:sz w:val="20"/>
          <w:szCs w:val="20"/>
          <w:color w:val="auto"/>
        </w:rPr>
      </w:pPr>
    </w:p>
    <w:p>
      <w:pPr>
        <w:ind w:right="8740" w:firstLine="5"/>
        <w:spacing w:after="0" w:line="507" w:lineRule="auto"/>
        <w:tabs>
          <w:tab w:leader="none" w:pos="248"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 and Other Intangible Assets Goodwill</w:t>
      </w:r>
    </w:p>
    <w:p>
      <w:pPr>
        <w:spacing w:after="0" w:line="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records goodwill upon acquisition of a business when the purchase price is greater than the fair value assigned to the underlying separately identifiable tangible and intangible assets acquired and the liabilities assumed. The Company's goodwill relates to the following reporting units: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SMB Payments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124,139</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124,139</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Enterprise Payments</w:t>
            </w: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244,712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244,712</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Plastiq (B2B Payments)</w:t>
            </w: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7,252</w:t>
            </w:r>
          </w:p>
        </w:tc>
        <w:tc>
          <w:tcPr>
            <w:tcW w:w="0" w:type="dxa"/>
            <w:vAlign w:val="bottom"/>
          </w:tcPr>
          <w:p>
            <w:pPr>
              <w:spacing w:after="0"/>
              <w:rPr>
                <w:sz w:val="1"/>
                <w:szCs w:val="1"/>
                <w:color w:val="auto"/>
              </w:rPr>
            </w:pPr>
          </w:p>
        </w:tc>
      </w:tr>
      <w:tr>
        <w:trPr>
          <w:trHeight w:val="171"/>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376,091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376,103</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changes in the carrying value of goodwill:</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376,103</w:t>
            </w: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Plastiq adjustment</w:t>
            </w:r>
          </w:p>
        </w:tc>
        <w:tc>
          <w:tcPr>
            <w:tcW w:w="26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376,091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evaluates goodwill for impairment annually on October 1 or whenever circumstances or events make it more likely than not impairment may have occurred. The Company may test for goodwill impairment using an optional qualitative analysis or proceed directly with a quantitative analysis. If the optional qualitative analysis is performed, the Company assesses whether it is more likely than not the fair value is less than its carrying amount. For the purpose of the goodwill impairment analysis, the Company determined its reporting units were Enterprise Payments, SMB Payments, and Plastiq, a component of the B2B Payments operating segment, as allowed by ASC 350. Electing to perform the optional qualitative analysis as of October 1, 2024, no indicators of impairment were identified.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is not aware of any triggering events that have occurred since October 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impairment losses for the years ended December 31, 2024, 2023 or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and 2023, other intangible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weighted-average data)</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0"/>
                <w:szCs w:val="10"/>
                <w:color w:val="auto"/>
              </w:rPr>
            </w:pPr>
          </w:p>
        </w:tc>
        <w:tc>
          <w:tcPr>
            <w:tcW w:w="15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ISO and referral partner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182,339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132,838</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14.6</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Residual buyouts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39,096</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6.2</w:t>
            </w: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13,697</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1"/>
              </w:rPr>
              <w:t>8.4</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Merchant portfolios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18,065</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6.5</w:t>
            </w: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Technology</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31,166</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1"/>
              </w:rPr>
              <w:t>8.7</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Non-compete agreements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0.0</w:t>
            </w: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Trade names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10.6</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Money transmission licenses</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Total gross carrying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589,801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(348,927)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240,874</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1"/>
              </w:rPr>
              <w:t>9.5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These assets have an indefinite useful life.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weighted-average data)</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0"/>
                <w:szCs w:val="10"/>
                <w:color w:val="auto"/>
              </w:rPr>
            </w:pPr>
          </w:p>
        </w:tc>
        <w:tc>
          <w:tcPr>
            <w:tcW w:w="15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ISO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182,339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145,833</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14.7</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Residual buyouts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42,465</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6.3</w:t>
            </w: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16,236</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1"/>
              </w:rPr>
              <w:t>8.4</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Merchant portfolios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27,211</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6.5</w:t>
            </w: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Technology</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34,927</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1"/>
              </w:rPr>
              <w:t>9.0</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Non-compete agreements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0.0</w:t>
            </w:r>
          </w:p>
        </w:tc>
        <w:tc>
          <w:tcPr>
            <w:tcW w:w="0" w:type="dxa"/>
            <w:vAlign w:val="bottom"/>
          </w:tcPr>
          <w:p>
            <w:pPr>
              <w:spacing w:after="0"/>
              <w:rPr>
                <w:sz w:val="1"/>
                <w:szCs w:val="1"/>
                <w:color w:val="auto"/>
              </w:rPr>
            </w:pPr>
          </w:p>
        </w:tc>
      </w:tr>
      <w:tr>
        <w:trPr>
          <w:trHeight w:val="180"/>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Trade names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11.7</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4"/>
                <w:szCs w:val="14"/>
                <w:color w:val="auto"/>
              </w:rPr>
              <w:t>Money transmission licenses</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Total gross carrying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580,103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(306,753)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273,350</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1"/>
              </w:rPr>
              <w:t>9.7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00" w:hanging="240"/>
        <w:spacing w:after="0"/>
        <w:tabs>
          <w:tab w:leader="none" w:pos="5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These assets have an indefinite useful life.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2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Amortization expense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right="140" w:hanging="260"/>
        <w:spacing w:after="0" w:line="230" w:lineRule="auto"/>
        <w:tabs>
          <w:tab w:leader="none" w:pos="51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amortization expense is $2.0 million, $1.0 million and $0.2 million related to the amortization of certain contract acquisition costs for the years ended December 31, 2024, 2023 or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estimated amortization expense of intangible assets as of December 31, 2024, for the next five years and thereafter is:</w:t>
            </w: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2"/>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Estimated Amortization Expense</w:t>
            </w:r>
          </w:p>
        </w:tc>
      </w:tr>
      <w:tr>
        <w:trPr>
          <w:trHeight w:val="171"/>
        </w:trPr>
        <w:tc>
          <w:tcPr>
            <w:tcW w:w="8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37,097</w:t>
            </w:r>
          </w:p>
        </w:tc>
      </w:tr>
      <w:tr>
        <w:trPr>
          <w:trHeight w:val="180"/>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36,309</w:t>
            </w:r>
          </w:p>
        </w:tc>
      </w:tr>
      <w:tr>
        <w:trPr>
          <w:trHeight w:val="18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34,044</w:t>
            </w:r>
          </w:p>
        </w:tc>
      </w:tr>
      <w:tr>
        <w:trPr>
          <w:trHeight w:val="180"/>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25,710</w:t>
            </w:r>
          </w:p>
        </w:tc>
      </w:tr>
      <w:tr>
        <w:trPr>
          <w:trHeight w:val="18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21,937</w:t>
            </w:r>
          </w:p>
        </w:tc>
      </w:tr>
      <w:tr>
        <w:trPr>
          <w:trHeight w:val="180"/>
        </w:trPr>
        <w:tc>
          <w:tcPr>
            <w:tcW w:w="8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83,677</w:t>
            </w:r>
          </w:p>
        </w:tc>
      </w:tr>
      <w:tr>
        <w:trPr>
          <w:trHeight w:val="196"/>
        </w:trPr>
        <w:tc>
          <w:tcPr>
            <w:tcW w:w="8900" w:type="dxa"/>
            <w:vAlign w:val="bottom"/>
            <w:tcBorders>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238,774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240"/>
        <w:spacing w:after="0"/>
        <w:tabs>
          <w:tab w:leader="none" w:pos="50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will not agree to the intangible asset net book value due to intangible assets with indefinite useful life.</w:t>
      </w:r>
    </w:p>
    <w:p>
      <w:pPr>
        <w:spacing w:after="0" w:line="15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Actual amortization expense to be reported in future periods could differ from these estimates as a result of new intangible asset acquisitions, changes in useful lives and other relevant events or circumstances.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tests intangible assets for impairment when events occur or circumstances indicate that the fair value of an intangible asset or group of intangible assets may be impaired. There were no impairment losses for the years ended December 31, 2024, 2023 or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also considered the market conditions and other factors and concluded that there were no additional impairment indicators present at December 31, 2024.</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Leases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leases consist primarily of real estate leases for office space, which are classified as operating leases. Lease expense for the Company's operating leases is recognized on a straight-line basis over the term of the lease. The Company did not have any finance leases at December 31,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The ROU Assets and lease liabilities consisted of the following:</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2"/>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weighted-average data)</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14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1"/>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 ROU Assets:</w:t>
            </w:r>
          </w:p>
        </w:tc>
        <w:tc>
          <w:tcPr>
            <w:tcW w:w="3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80"/>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7,305</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5,427</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42"/>
        </w:trPr>
        <w:tc>
          <w:tcPr>
            <w:tcW w:w="43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Lease Obligations:</w:t>
            </w:r>
          </w:p>
        </w:tc>
        <w:tc>
          <w:tcPr>
            <w:tcW w:w="3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80"/>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obligations - current</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1,582</w:t>
            </w:r>
          </w:p>
        </w:tc>
      </w:tr>
      <w:tr>
        <w:trPr>
          <w:trHeight w:val="180"/>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obligations - noncurrent</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6,707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4,592</w:t>
            </w:r>
          </w:p>
        </w:tc>
      </w:tr>
      <w:tr>
        <w:trPr>
          <w:trHeight w:val="171"/>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lease obligations</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7,779</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6,174</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3"/>
        </w:trPr>
        <w:tc>
          <w:tcPr>
            <w:tcW w:w="432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1"/>
        </w:trPr>
        <w:tc>
          <w:tcPr>
            <w:tcW w:w="3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Borders>
              <w:bottom w:val="single" w:sz="8" w:color="auto"/>
            </w:tcBorders>
          </w:tcPr>
          <w:p>
            <w:pPr>
              <w:spacing w:after="0"/>
              <w:rPr>
                <w:sz w:val="24"/>
                <w:szCs w:val="24"/>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376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Operating lease expense </w:t>
            </w:r>
            <w:r>
              <w:rPr>
                <w:rFonts w:ascii="Times New Roman" w:cs="Times New Roman" w:eastAsia="Times New Roman" w:hAnsi="Times New Roman"/>
                <w:sz w:val="18"/>
                <w:szCs w:val="18"/>
                <w:color w:val="auto"/>
                <w:vertAlign w:val="superscript"/>
              </w:rPr>
              <w:t>(1)</w:t>
            </w:r>
          </w:p>
        </w:tc>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r>
    </w:tbl>
    <w:p>
      <w:pPr>
        <w:spacing w:after="0" w:line="206" w:lineRule="exact"/>
        <w:rPr>
          <w:sz w:val="20"/>
          <w:szCs w:val="20"/>
          <w:color w:val="auto"/>
        </w:rPr>
      </w:pPr>
    </w:p>
    <w:p>
      <w:pPr>
        <w:ind w:left="500" w:hanging="240"/>
        <w:spacing w:after="0"/>
        <w:tabs>
          <w:tab w:leader="none" w:pos="50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expenses related to short-term leases, which was immaterial for the years ended December 31, 2024, 2023 or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0"/>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8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gridSpan w:val="2"/>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403"/>
        </w:trPr>
        <w:tc>
          <w:tcPr>
            <w:tcW w:w="3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Lease Commitments</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Future minimum lease payments for the Company's real estate operating leases at December 31, 2024 were as follows: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Amount Due</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0" w:type="dxa"/>
            <w:vAlign w:val="bottom"/>
          </w:tcPr>
          <w:p>
            <w:pPr>
              <w:spacing w:after="0"/>
              <w:rPr>
                <w:sz w:val="1"/>
                <w:szCs w:val="1"/>
                <w:color w:val="auto"/>
              </w:rPr>
            </w:pP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future minimum lease payments</w:t>
            </w:r>
          </w:p>
        </w:tc>
        <w:tc>
          <w:tcPr>
            <w:tcW w:w="3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10,955</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 representing imputed interest</w:t>
            </w:r>
          </w:p>
        </w:tc>
        <w:tc>
          <w:tcPr>
            <w:tcW w:w="3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future minimum lease payments, net of interest</w:t>
            </w:r>
          </w:p>
        </w:tc>
        <w:tc>
          <w:tcPr>
            <w:tcW w:w="3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7,779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9.  Accounts Payable and Accrued Expenses</w:t>
            </w: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60" w:type="dxa"/>
            <w:vAlign w:val="bottom"/>
            <w:vMerge w:val="continue"/>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components of accounts payable and accrued expenses consisted of the following:</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37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3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26,787</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12,621</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card network fees</w:t>
            </w: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14,320</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compensation</w:t>
            </w:r>
          </w:p>
        </w:tc>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8,748</w:t>
            </w:r>
          </w:p>
        </w:tc>
        <w:tc>
          <w:tcPr>
            <w:tcW w:w="0" w:type="dxa"/>
            <w:vAlign w:val="bottom"/>
          </w:tcPr>
          <w:p>
            <w:pPr>
              <w:spacing w:after="0"/>
              <w:rPr>
                <w:sz w:val="1"/>
                <w:szCs w:val="1"/>
                <w:color w:val="auto"/>
              </w:rPr>
            </w:pPr>
          </w:p>
        </w:tc>
      </w:tr>
      <w:tr>
        <w:trPr>
          <w:trHeight w:val="180"/>
        </w:trPr>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Contingent consideration, current portion</w:t>
            </w: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14,590</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0" w:type="dxa"/>
            <w:vAlign w:val="bottom"/>
          </w:tcPr>
          <w:p>
            <w:pPr>
              <w:spacing w:after="0"/>
              <w:rPr>
                <w:sz w:val="1"/>
                <w:szCs w:val="1"/>
                <w:color w:val="auto"/>
              </w:rPr>
            </w:pPr>
          </w:p>
        </w:tc>
      </w:tr>
      <w:tr>
        <w:trPr>
          <w:trHeight w:val="171"/>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accounts payable and accrued expenses</w:t>
            </w: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62,149</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52,643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  Debt Obligations</w:t>
            </w: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40"/>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debt obligations consisted of the following:</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2"/>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4"/>
                <w:szCs w:val="2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1"/>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 Credit Agreement</w:t>
            </w:r>
          </w:p>
        </w:tc>
        <w:tc>
          <w:tcPr>
            <w:tcW w:w="2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facility - matures May 16, 2031, interest rate of 9.11% at December 31, 2024</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945,537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 $70.0 million line matures May 16, 2029, interest rate of 8.61% at December 31, 2024</w:t>
            </w:r>
          </w:p>
        </w:tc>
        <w:tc>
          <w:tcPr>
            <w:tcW w:w="2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2021 Credit Agreement - </w:t>
            </w:r>
            <w:r>
              <w:rPr>
                <w:rFonts w:ascii="Times New Roman" w:cs="Times New Roman" w:eastAsia="Times New Roman" w:hAnsi="Times New Roman"/>
                <w:sz w:val="14"/>
                <w:szCs w:val="14"/>
                <w:i w:val="1"/>
                <w:iCs w:val="1"/>
                <w:color w:val="auto"/>
              </w:rPr>
              <w:t>refinanced on May 16, 2024</w:t>
            </w: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facility - original maturity April 27, 2027, interest rate of 11.21% at December 31, 2023</w:t>
            </w:r>
          </w:p>
        </w:tc>
        <w:tc>
          <w:tcPr>
            <w:tcW w:w="24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654,373</w:t>
            </w:r>
          </w:p>
        </w:tc>
      </w:tr>
      <w:tr>
        <w:trPr>
          <w:trHeight w:val="18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Revolving credit facility - $65.0 million line, original Maturity April 27, 2026, interest rate of 10.20% at December 31, 2023</w:t>
            </w: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debt obligations</w:t>
            </w: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945,537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654,373</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(6,712)</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discounts and deferred financing costs</w:t>
            </w:r>
          </w:p>
        </w:tc>
        <w:tc>
          <w:tcPr>
            <w:tcW w:w="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(15,696)</w:t>
            </w:r>
          </w:p>
        </w:tc>
      </w:tr>
      <w:tr>
        <w:trPr>
          <w:trHeight w:val="171"/>
        </w:trPr>
        <w:tc>
          <w:tcPr>
            <w:tcW w:w="7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Long-term debt, net</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920,888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631,965</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Maturities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terms and conditions existing at December 31, 2024, future minimum principal payments for long-term debt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02"/>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7"/>
                <w:szCs w:val="17"/>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Term Facility</w:t>
            </w:r>
          </w:p>
        </w:tc>
        <w:tc>
          <w:tcPr>
            <w:tcW w:w="220" w:type="dxa"/>
            <w:vAlign w:val="bottom"/>
          </w:tcPr>
          <w:p>
            <w:pPr>
              <w:spacing w:after="0"/>
              <w:rPr>
                <w:sz w:val="17"/>
                <w:szCs w:val="17"/>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320" w:type="dxa"/>
            <w:vAlign w:val="bottom"/>
          </w:tcPr>
          <w:p>
            <w:pPr>
              <w:spacing w:after="0"/>
              <w:rPr>
                <w:sz w:val="17"/>
                <w:szCs w:val="17"/>
                <w:color w:val="auto"/>
              </w:rPr>
            </w:pPr>
          </w:p>
        </w:tc>
        <w:tc>
          <w:tcPr>
            <w:tcW w:w="19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 Principal Due</w:t>
            </w:r>
          </w:p>
        </w:tc>
      </w:tr>
      <w:tr>
        <w:trPr>
          <w:trHeight w:val="171"/>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898,022</w:t>
            </w:r>
          </w:p>
        </w:tc>
      </w:tr>
      <w:tr>
        <w:trPr>
          <w:trHeight w:val="196"/>
        </w:trPr>
        <w:tc>
          <w:tcPr>
            <w:tcW w:w="44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945,537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945,537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the Company may be obligated to make certain additional mandatory prepayments after the end of each year based on excess cash flow, as defined in the 2024 Credit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Credit Agreement</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 xml:space="preserve">On May 16, 2024, the Company entered into a Credit Agreement ("2024 Credit Agreement") which provides 1) a $835.0 million senior secured first lien term loan facility ; and 2) a $70.0 million senior secured revolving facility ("Credit facilities"). Proceeds from these Credit facilities were used to repay the outstanding balances under the 2021 Credit Agreement and redeem a portion of the Company's redeemable senior preferred stock (see </w:t>
      </w:r>
      <w:r>
        <w:rPr>
          <w:rFonts w:ascii="Times New Roman" w:cs="Times New Roman" w:eastAsia="Times New Roman" w:hAnsi="Times New Roman"/>
          <w:sz w:val="14"/>
          <w:szCs w:val="14"/>
          <w:u w:val="single" w:color="auto"/>
          <w:color w:val="0000FF"/>
        </w:rPr>
        <w:t>Note 11. Redeemable Securities</w:t>
      </w:r>
      <w:r>
        <w:rPr>
          <w:rFonts w:ascii="Times New Roman" w:cs="Times New Roman" w:eastAsia="Times New Roman" w:hAnsi="Times New Roman"/>
          <w:sz w:val="14"/>
          <w:szCs w:val="14"/>
          <w:color w:val="auto"/>
        </w:rPr>
        <w:t>). In accordance with ASC 470, the Company determined on a creditor-by-creditor basis that the 2024 Credit Agreement was both a debt modification and extinguishment of the 2021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expensed $3.9 million of previously unamortized fees and $4.8 million of debt issuance costs related to the refinancing which is reported in debt extinguishment and modification in the Company's Consolidated Statements of Operations and Comprehensive Income (Loss).</w:t>
      </w:r>
    </w:p>
    <w:p>
      <w:pPr>
        <w:spacing w:after="0" w:line="12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Outstanding borrowings under the Credit agreement accrue interest using a base rate or a SOFR rate plus an applicable margin per year, subject to a SOFR rate floor of 0.50% per year.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3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 All of the assets of the company are pledged as collateral for the credit facilities under the 2024 Credit Agreement.</w:t>
      </w:r>
    </w:p>
    <w:p>
      <w:pPr>
        <w:spacing w:after="0" w:line="14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December 31, 2024, the Company was in compliance with the covenants in the 2024 Credit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First Amendment to the 2024 Credit Agreement</w:t>
      </w:r>
    </w:p>
    <w:p>
      <w:pPr>
        <w:spacing w:after="0" w:line="18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 xml:space="preserve">On November 21, 2024, the Company modified its existing Term Facility. The agreement increased the principal balance by $115.0 million to $950.0 million and increased the quarterly principal amortization payment from $2.1 million to $2.4 million. There were no other significant modifications to the Credit Agreement. There were no other significant modifications to the Credit Agreement. Proceeds from this amendment were used to redeem the remaining balance of the Company's redeemable senior preferred stock (see </w:t>
      </w:r>
      <w:r>
        <w:rPr>
          <w:rFonts w:ascii="Times New Roman" w:cs="Times New Roman" w:eastAsia="Times New Roman" w:hAnsi="Times New Roman"/>
          <w:sz w:val="14"/>
          <w:szCs w:val="14"/>
          <w:u w:val="single" w:color="auto"/>
          <w:color w:val="0000FF"/>
        </w:rPr>
        <w:t>Note 11. Redeemable Securities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The Company determined on a creditor-by-creditor basis that the 2024 Credit Agreement was a debt modification. The Company expensed $1.0 million of previously unamortized fees and $0.7 million of debt issuance costs related to the refinancing which is reported in debt extinguishment and modification in the Company's Consolidated Statements of Operations and Comprehensive Income (Loss).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Credit Agreement</w:t>
      </w:r>
    </w:p>
    <w:p>
      <w:pPr>
        <w:spacing w:after="0" w:line="1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On April 27, 2021, the Company entered into the 2021 Credit Agreement with Truist which provides for: 1) a $300.0 million Initial Term Loan; 2) a $290.0 million Delayed Draw Term Loan (together, the "Term Facility"); and 3) a $40.0 million senior secured revolving credit facility. The First Amendment to the Credit Agreement on May 20, 2021, clarified and provided further detail on the Credit Agreement's terms. The Second Amendment to the Credit Agreement on September 17, 2021, increased the amount of the Delayed Draw Term Loan facility by $30.0 million to</w:t>
      </w:r>
    </w:p>
    <w:p>
      <w:pPr>
        <w:ind w:right="80"/>
        <w:spacing w:after="0" w:line="257" w:lineRule="auto"/>
        <w:rPr>
          <w:sz w:val="20"/>
          <w:szCs w:val="20"/>
          <w:color w:val="auto"/>
        </w:rPr>
      </w:pPr>
      <w:r>
        <w:rPr>
          <w:rFonts w:ascii="Times New Roman" w:cs="Times New Roman" w:eastAsia="Times New Roman" w:hAnsi="Times New Roman"/>
          <w:sz w:val="14"/>
          <w:szCs w:val="14"/>
          <w:color w:val="auto"/>
        </w:rPr>
        <w:t>$320.0 million. The additional Delayed Draw Term Loan is part of the same class of term loans made pursuant to the original commitments under the Credit Agreement. The third amendment amended the reference rate from LIBOR to SOFR and increased the revolving facility from $40.0 million to $65.0 million effecting June 30, 2023. The fourth amendment increased the principal balance by $50.0 million and increased the quarterly principal amortization payment from $1.6 million to $1.7 million. Outstanding borrowings from the 2021 Credit Agreement were repaid on May 16, 2024 as part of the refinancing and the Company was released from any related commitments, guarantees and security interests.</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Outstanding borrowings under the 2021 Credit Agreement accrued interest using either a base rate or a SOFR rate plus an applicable margin per year, subject to a SOFR rate floor of 1.00% per year. Accrued interest is payable on each interest payment date (as defined in the 2021 Credit Agreement). The revolving credit facility incurs an unused commitment fee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Proceeds from the Initial Term Loan were used to partially fund the refinancing of the Company's existing credit facilities as of April 27, 2021. Proceeds from the Delayed Draw Term Loan were used to fund the Company's acquisition of Finxera. Proceeds from the Fourth Amendment were used to repay the balance of the revolving credit facility (used to acquire the Plastiq business) and added additional cash for general corporate purposes.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and Amortization of Deferred Loan Costs and Discounts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financing costs and debt discounts are amortized using the effective interest method over the remaining term of the respective debt and are recorded as a component of interest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Unamortized deferred financing costs and debt discount are included in long-term debt on the Company's Consolidated Balance Sheets.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7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406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4"/>
                <w:szCs w:val="14"/>
                <w:color w:val="auto"/>
              </w:rPr>
              <w:t>Interest expense</w:t>
            </w:r>
            <w:r>
              <w:rPr>
                <w:rFonts w:ascii="Times New Roman" w:cs="Times New Roman" w:eastAsia="Times New Roman" w:hAnsi="Times New Roman"/>
                <w:sz w:val="18"/>
                <w:szCs w:val="18"/>
                <w:color w:val="auto"/>
                <w:vertAlign w:val="superscript"/>
              </w:rPr>
              <w:t>(1)(2)</w:t>
            </w:r>
          </w:p>
        </w:tc>
        <w:tc>
          <w:tcPr>
            <w:tcW w:w="146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76,108</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53,554</w:t>
            </w:r>
          </w:p>
        </w:tc>
      </w:tr>
    </w:tbl>
    <w:p>
      <w:pPr>
        <w:spacing w:after="0" w:line="229" w:lineRule="exact"/>
        <w:rPr>
          <w:sz w:val="20"/>
          <w:szCs w:val="20"/>
          <w:color w:val="auto"/>
        </w:rPr>
      </w:pPr>
    </w:p>
    <w:p>
      <w:pPr>
        <w:ind w:left="520" w:right="60" w:hanging="260"/>
        <w:spacing w:after="0" w:line="230" w:lineRule="auto"/>
        <w:tabs>
          <w:tab w:leader="none" w:pos="510" w:val="left"/>
        </w:tabs>
        <w:numPr>
          <w:ilvl w:val="1"/>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this amount is $4.3 million, $1.7 million and $0.9 million of interest expense related to the accretion of contingent considerations from acquisitions for December 31, 2024, 2023 and 2022.</w:t>
      </w:r>
    </w:p>
    <w:p>
      <w:pPr>
        <w:spacing w:after="0" w:line="156" w:lineRule="exact"/>
        <w:rPr>
          <w:rFonts w:ascii="Times New Roman" w:cs="Times New Roman" w:eastAsia="Times New Roman" w:hAnsi="Times New Roman"/>
          <w:sz w:val="18"/>
          <w:szCs w:val="18"/>
          <w:color w:val="auto"/>
          <w:vertAlign w:val="superscript"/>
        </w:rPr>
      </w:pPr>
    </w:p>
    <w:p>
      <w:pPr>
        <w:ind w:left="520" w:right="140" w:hanging="260"/>
        <w:spacing w:after="0" w:line="230" w:lineRule="auto"/>
        <w:tabs>
          <w:tab w:leader="none" w:pos="510" w:val="left"/>
        </w:tabs>
        <w:numPr>
          <w:ilvl w:val="1"/>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expense included amortization of deferred financing costs and debt discounts of $2.7 million, $3.8 million and $3.5 million for the years ended December 31, 2024, 2023 and 2022, respectively.</w:t>
      </w:r>
    </w:p>
    <w:p>
      <w:pPr>
        <w:spacing w:after="0" w:line="200" w:lineRule="exact"/>
        <w:rPr>
          <w:rFonts w:ascii="Times New Roman" w:cs="Times New Roman" w:eastAsia="Times New Roman" w:hAnsi="Times New Roman"/>
          <w:sz w:val="18"/>
          <w:szCs w:val="18"/>
          <w:color w:val="auto"/>
          <w:vertAlign w:val="superscript"/>
        </w:rPr>
      </w:pPr>
    </w:p>
    <w:p>
      <w:pPr>
        <w:spacing w:after="0" w:line="315" w:lineRule="exact"/>
        <w:rPr>
          <w:rFonts w:ascii="Times New Roman" w:cs="Times New Roman" w:eastAsia="Times New Roman" w:hAnsi="Times New Roman"/>
          <w:sz w:val="18"/>
          <w:szCs w:val="18"/>
          <w:color w:val="auto"/>
          <w:vertAlign w:val="superscript"/>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Redeemable Senior Preferred Stock and Warrants</w:t>
      </w:r>
    </w:p>
    <w:p>
      <w:pPr>
        <w:spacing w:after="0" w:line="18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On April 27, 2021, the Company entered into an agreement pursuant to which it issued 150,000 shares of redeemable senior preferred stock, par value $0.001 per share, and a detachable warrant to purchase 1,803,841 shares of the Company's Common Stock, for gross proceeds of $150.0 million, less a $5.0 million discount and $5.5 million of issuance costs.</w:t>
      </w:r>
    </w:p>
    <w:p>
      <w:pPr>
        <w:spacing w:after="0" w:line="12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agreement also provided the Company the option to issue an additional 50,000 shares of redeemable senior preferred stock upon the closing of the Finxera acquisition for $50.0 million, less a $0.6 million discount and within 18 months after the issuance of those additional shares, subject to the satisfaction of certain customary closing conditions. The Company was also provided with the option to issue an additional delayed 50,000 shares at a purchase price of $50.0 million, less a $0.6 million discount, subject to the satisfaction of certain customary closing conditions.</w:t>
      </w:r>
    </w:p>
    <w:p>
      <w:pPr>
        <w:spacing w:after="0" w:line="136"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Of the total net proceeds of $139.5 million, $131.4 million was allocated to the redeemable senior preferred stock, $11.4 million was allocated to additional paid-in capital for the warrants and $3.3 million was allocated to noncurrent assets for the committed financing put right.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17, 2021, the Company issued an additional 75,000 shares of redeemable senior preferred stock for $75.0 million, less a $0.9 million discount, $0.7 million of ticking fees and</w:t>
      </w:r>
    </w:p>
    <w:p>
      <w:pPr>
        <w:spacing w:after="0" w:line="2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color w:val="auto"/>
        </w:rPr>
        <w:t>$1.9 million of issuance costs. Upon issuance of these additional shares, the $3.3 million that was previously allocated to noncurrent assets for the committed financing put right was reclassified to the redeemable senior preferred stock.</w:t>
      </w:r>
    </w:p>
    <w:p>
      <w:pPr>
        <w:spacing w:after="0" w:line="13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 xml:space="preserve">On May 16, 2024, the Company used proceeds totaling $170.0 million from the refinancing (see </w:t>
      </w:r>
      <w:r>
        <w:rPr>
          <w:rFonts w:ascii="Times New Roman" w:cs="Times New Roman" w:eastAsia="Times New Roman" w:hAnsi="Times New Roman"/>
          <w:sz w:val="14"/>
          <w:szCs w:val="14"/>
          <w:u w:val="single" w:color="auto"/>
          <w:color w:val="0000FF"/>
        </w:rPr>
        <w:t>Note 10. Debt Obligations</w:t>
      </w:r>
      <w:r>
        <w:rPr>
          <w:rFonts w:ascii="Times New Roman" w:cs="Times New Roman" w:eastAsia="Times New Roman" w:hAnsi="Times New Roman"/>
          <w:sz w:val="14"/>
          <w:szCs w:val="14"/>
          <w:color w:val="auto"/>
        </w:rPr>
        <w:t>) to redeem a portion of the redeemable senior preferred stock. The redemption consisted of $136.9 million of redeemable senior preferred stock, $29.4 million for accumulated unpaid dividend, and $2.2 million of cash dividend and $1.5 million of accumulated unpaid dividend as of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14"/>
          <w:szCs w:val="14"/>
          <w:color w:val="auto"/>
        </w:rPr>
        <w:t xml:space="preserve">On November 21, 2024, the Company used $113.3 million of the $115.0 million from Amendment 1 to the 2024 Credit agreement (see </w:t>
      </w:r>
      <w:r>
        <w:rPr>
          <w:rFonts w:ascii="Times New Roman" w:cs="Times New Roman" w:eastAsia="Times New Roman" w:hAnsi="Times New Roman"/>
          <w:sz w:val="14"/>
          <w:szCs w:val="14"/>
          <w:u w:val="single" w:color="auto"/>
          <w:color w:val="0000FF"/>
        </w:rPr>
        <w:t>Note 10. Debt Obligations</w:t>
      </w:r>
      <w:r>
        <w:rPr>
          <w:rFonts w:ascii="Times New Roman" w:cs="Times New Roman" w:eastAsia="Times New Roman" w:hAnsi="Times New Roman"/>
          <w:sz w:val="14"/>
          <w:szCs w:val="14"/>
          <w:color w:val="auto"/>
        </w:rPr>
        <w:t xml:space="preserve"> ) to redeem the remaining balance of the outstanding redeemable preferred stock. The redemption consisted of $88.1 million of redeemable senior preferred stock, $22.6 million for accumulated unpaid dividend, and $1.5 million of cash dividend and $1.1 million of accumulated unpaid divided for the period of October 1, 2024 through November 21, 2024.</w:t>
      </w:r>
    </w:p>
    <w:p>
      <w:pPr>
        <w:spacing w:after="0" w:line="16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redeemable senior preferred stock ranked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3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 xml:space="preserve">The redeemable senior preferred stock did not meet the definition of a liability pursuant to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as it is redeemable upon the occurrence of events that are not solely within the Company's control. Therefore, the Company classified the redeemable senior preferred stock as temporary equity and was accreting the carrying amount to its full redemption amount from the date of issuance to the earliest redemption date using the effective interest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the redemption value of the redeemable senior preferred stock for the periods presented:</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7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senior preferred stock</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unpaid dividend</w:t>
            </w:r>
          </w:p>
        </w:tc>
        <w:tc>
          <w:tcPr>
            <w:tcW w:w="260" w:type="dxa"/>
            <w:vAlign w:val="bottom"/>
          </w:tcPr>
          <w:p>
            <w:pPr>
              <w:spacing w:after="0"/>
              <w:rPr>
                <w:sz w:val="15"/>
                <w:szCs w:val="15"/>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43,498</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payable</w:t>
            </w: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r>
      <w:tr>
        <w:trPr>
          <w:trHeight w:val="171"/>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Redemption value</w:t>
            </w:r>
          </w:p>
        </w:tc>
        <w:tc>
          <w:tcPr>
            <w:tcW w:w="2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275,525</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discounts and issuance costs</w:t>
            </w: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senior preferred stock, net of discounts and issuance costs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2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258,605</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carrying amounts of the redeemable senior preferred stock for the periods presented:</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2"/>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24"/>
                <w:szCs w:val="24"/>
                <w:color w:val="auto"/>
              </w:rPr>
            </w:pP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8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2023</w:t>
            </w:r>
          </w:p>
        </w:tc>
        <w:tc>
          <w:tcPr>
            <w:tcW w:w="3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235,579</w:t>
            </w:r>
          </w:p>
        </w:tc>
      </w:tr>
      <w:tr>
        <w:trPr>
          <w:trHeight w:val="180"/>
        </w:trPr>
        <w:tc>
          <w:tcPr>
            <w:tcW w:w="9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Unpaid dividend on redeemable senior preferred stock</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80"/>
        </w:trPr>
        <w:tc>
          <w:tcPr>
            <w:tcW w:w="9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discounts and issuance cost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w:t>
            </w:r>
          </w:p>
        </w:tc>
      </w:tr>
      <w:tr>
        <w:trPr>
          <w:trHeight w:val="180"/>
        </w:trPr>
        <w:tc>
          <w:tcPr>
            <w:tcW w:w="9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Cash portion of dividend and ticking fee outstanding at the end of the year</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w:t>
            </w:r>
          </w:p>
        </w:tc>
      </w:tr>
      <w:tr>
        <w:trPr>
          <w:trHeight w:val="180"/>
        </w:trPr>
        <w:tc>
          <w:tcPr>
            <w:tcW w:w="9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cash portion of dividend and ticking fee outstanding at December 31, 2022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r>
      <w:tr>
        <w:trPr>
          <w:trHeight w:val="171"/>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258,605</w:t>
            </w:r>
          </w:p>
        </w:tc>
      </w:tr>
      <w:tr>
        <w:trPr>
          <w:trHeight w:val="180"/>
        </w:trPr>
        <w:tc>
          <w:tcPr>
            <w:tcW w:w="9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cash portion of dividend and ticking fee outstanding at December 31, 2023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r>
      <w:tr>
        <w:trPr>
          <w:trHeight w:val="180"/>
        </w:trPr>
        <w:tc>
          <w:tcPr>
            <w:tcW w:w="9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Accretion of discounts and issuance cost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16,920</w:t>
            </w:r>
          </w:p>
        </w:tc>
      </w:tr>
      <w:tr>
        <w:trPr>
          <w:trHeight w:val="180"/>
        </w:trPr>
        <w:tc>
          <w:tcPr>
            <w:tcW w:w="9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Redemption of senior preferred stock and accumulated dividend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(268,498)</w:t>
            </w:r>
          </w:p>
        </w:tc>
      </w:tr>
      <w:tr>
        <w:trPr>
          <w:trHeight w:val="171"/>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On June 30, 2023, the Company amended the Certificate of Designation of its redeemable senior preferred stock to transition the reference rate used for the calculation of dividends from LIBOR to SOFR. Under the Amended Certificate of Designation, the dividend rate (capped at 22.50%) will be equal to the three-month term SOFR (minimum of 1.00%), plus the three-month term SOFR spread adjustment of 0.26% plus the applicable margin of 12.00%. All other terms in the agreement were unchanged. For the year ended December 31, 2024, SOFR is the reference rate for calculation of the dividend. The dividend rate is subject to future increases if the Company doesn't comply with the minimum cash payment requirements outlined in the agreement, which includes required payments of dividends, required payments related to redemption or required prepayments. The dividend rate may also increase if the Company fails to obtain the required shareholder approval for a forced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transaction triggered by investors or if an event of default as outlined in the agreement occurs. The dividend rate as of December 31, 2023, was 17.7%.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the dividends for the period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 w:type="dxa"/>
            <w:vAlign w:val="bottom"/>
          </w:tcPr>
          <w:p>
            <w:pPr>
              <w:spacing w:after="0"/>
              <w:rPr>
                <w:sz w:val="16"/>
                <w:szCs w:val="16"/>
                <w:color w:val="auto"/>
              </w:rPr>
            </w:pPr>
          </w:p>
        </w:tc>
        <w:tc>
          <w:tcPr>
            <w:tcW w:w="20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r>
      <w:tr>
        <w:trPr>
          <w:trHeight w:val="171"/>
        </w:trPr>
        <w:tc>
          <w:tcPr>
            <w:tcW w:w="696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Dividends paid in cash</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26,404</w:t>
            </w:r>
          </w:p>
        </w:tc>
      </w:tr>
      <w:tr>
        <w:trPr>
          <w:trHeight w:val="18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dividends accrued as part of the carrying value of redeemable senior preferred stock</w:t>
            </w: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27,678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44,404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20" w:firstLine="260"/>
        <w:spacing w:after="0" w:line="462" w:lineRule="auto"/>
        <w:tabs>
          <w:tab w:leader="none" w:pos="50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this amount is $0.0 million and $7.0 million of dividends outstanding as of December 31, 2024 and 2023 respectively. The following table presents cumulative dividends in arrears in aggregate and per-share: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00" w:type="dxa"/>
            <w:vAlign w:val="bottom"/>
          </w:tcPr>
          <w:p>
            <w:pPr>
              <w:spacing w:after="0"/>
              <w:rPr>
                <w:sz w:val="16"/>
                <w:szCs w:val="16"/>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 w:type="dxa"/>
            <w:vAlign w:val="bottom"/>
          </w:tcPr>
          <w:p>
            <w:pPr>
              <w:spacing w:after="0"/>
              <w:rPr>
                <w:sz w:val="16"/>
                <w:szCs w:val="16"/>
                <w:color w:val="auto"/>
              </w:rPr>
            </w:pPr>
          </w:p>
        </w:tc>
        <w:tc>
          <w:tcPr>
            <w:tcW w:w="20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r>
      <w:tr>
        <w:trPr>
          <w:trHeight w:val="171"/>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preferred dividends in arrears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43,498</w:t>
            </w: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senior preferred stock, outstanding</w:t>
            </w:r>
          </w:p>
        </w:tc>
        <w:tc>
          <w:tcPr>
            <w:tcW w:w="100" w:type="dxa"/>
            <w:vAlign w:val="bottom"/>
          </w:tcPr>
          <w:p>
            <w:pPr>
              <w:spacing w:after="0"/>
              <w:rPr>
                <w:sz w:val="15"/>
                <w:szCs w:val="15"/>
                <w:color w:val="auto"/>
              </w:rPr>
            </w:pPr>
          </w:p>
        </w:tc>
        <w:tc>
          <w:tcPr>
            <w:tcW w:w="21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preferred dividends in arrears,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On April 27, 2021 the Company issued warrants to purchase up to 1,803,841 shares of the Company's Common Stock, par value $0.001 per share, at an exercise price of $0.001. The exercise price and the number of shares issuable upon exercise of the warrants are subject to certain adjustments from time to time on the terms outlined in the warrants. These warrants were exercisable upon issuance. In connection with the issuance of the warrants, the Company entered into an agreement pursuant to which it agreed to provide certain registration rights with respect to the common shares issuable upon exercise of the warrants. Under this agreement, the holders of the related shares of Common Stock were granted piggyback rights to be included in certain underwritten offerings of Common Stock and the right to demand a shelf registration of the shares of Common Stock issued upon exercise of the warrants. As of December 31, 2024, none of the warrants have been exercised. The warrants are considered to be equity contracts indexed in the Company's own shares and therefore were recorded at their inception date relative fair value and are included in additional paid-in capital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  Income Taxes</w:t>
            </w: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consolidated income tax expense were as follows:</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2"/>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Borders>
              <w:bottom w:val="single" w:sz="8" w:color="auto"/>
            </w:tcBorders>
          </w:tcPr>
          <w:p>
            <w:pPr>
              <w:spacing w:after="0"/>
              <w:rPr>
                <w:sz w:val="24"/>
                <w:szCs w:val="24"/>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current income tax expense</w:t>
            </w:r>
          </w:p>
        </w:tc>
        <w:tc>
          <w:tcPr>
            <w:tcW w:w="1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5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12,094</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10,624</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10,411</w:t>
            </w:r>
          </w:p>
        </w:tc>
      </w:tr>
      <w:tr>
        <w:trPr>
          <w:trHeight w:val="18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 and local</w:t>
            </w:r>
          </w:p>
        </w:tc>
        <w:tc>
          <w:tcPr>
            <w:tcW w:w="1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w:t>
            </w:r>
          </w:p>
        </w:tc>
      </w:tr>
      <w:tr>
        <w:trPr>
          <w:trHeight w:val="180"/>
        </w:trPr>
        <w:tc>
          <w:tcPr>
            <w:tcW w:w="5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71"/>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13,306</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deferred income tax (benefit) expense</w:t>
            </w: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w:t>
            </w:r>
          </w:p>
        </w:tc>
      </w:tr>
      <w:tr>
        <w:trPr>
          <w:trHeight w:val="180"/>
        </w:trPr>
        <w:tc>
          <w:tcPr>
            <w:tcW w:w="5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 and local</w:t>
            </w:r>
          </w:p>
        </w:tc>
        <w:tc>
          <w:tcPr>
            <w:tcW w:w="1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8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5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deferred income tax (benefit) expense</w:t>
            </w: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(7,956)</w:t>
            </w:r>
          </w:p>
        </w:tc>
      </w:tr>
      <w:tr>
        <w:trPr>
          <w:trHeight w:val="196"/>
        </w:trPr>
        <w:tc>
          <w:tcPr>
            <w:tcW w:w="5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income tax expense</w:t>
            </w: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8,463</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 xml:space="preserve">The Company's consolidated effective income tax rate was 35.6% for the year ended December 31, 2024, compared to a consolidated effective income tax rate of 118.3% for the year ended 2023. For the year ended December 31, 2022, the Company's consolidated effective income tax benefit rate was 167.2%. The effective rate for December 31, 2024 differed from the statutory rate of 21% primarily due to </w:t>
      </w:r>
      <w:r>
        <w:rPr>
          <w:rFonts w:ascii="Times New Roman" w:cs="Times New Roman" w:eastAsia="Times New Roman" w:hAnsi="Times New Roman"/>
          <w:sz w:val="14"/>
          <w:szCs w:val="14"/>
          <w:color w:val="222222"/>
        </w:rPr>
        <w:t>an increase in the valuation allowance against certain business interest carryover deferred tax assets.</w:t>
      </w:r>
      <w:r>
        <w:rPr>
          <w:rFonts w:ascii="Times New Roman" w:cs="Times New Roman" w:eastAsia="Times New Roman" w:hAnsi="Times New Roman"/>
          <w:sz w:val="14"/>
          <w:szCs w:val="14"/>
          <w:color w:val="auto"/>
        </w:rPr>
        <w:t xml:space="preserve"> The effective rate for December 31, 2023 differed from the statutory federal rate of 21% primarily due to </w:t>
      </w:r>
      <w:r>
        <w:rPr>
          <w:rFonts w:ascii="Times New Roman" w:cs="Times New Roman" w:eastAsia="Times New Roman" w:hAnsi="Times New Roman"/>
          <w:sz w:val="14"/>
          <w:szCs w:val="14"/>
          <w:color w:val="222222"/>
        </w:rPr>
        <w:t>an increase in the valuation allowance against certain business interest carryover deferred tax assets.</w:t>
      </w:r>
      <w:r>
        <w:rPr>
          <w:rFonts w:ascii="Times New Roman" w:cs="Times New Roman" w:eastAsia="Times New Roman" w:hAnsi="Times New Roman"/>
          <w:sz w:val="14"/>
          <w:szCs w:val="14"/>
          <w:color w:val="auto"/>
        </w:rPr>
        <w:t xml:space="preserve"> The effective rate for December 31, 2022, differed from the statutory federal rate of 21% primarily due to an increase in the valuation allowance against certain business interest carryover deferred tax assets and the finalization of prior estimates of certain intangible deferred tax liabilities resulting from the Finxera acquisition.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consolidated income tax expense at the statutory U.S. federal tax rate to actual consolidated 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540" w:type="dxa"/>
            <w:vAlign w:val="bottom"/>
            <w:tcBorders>
              <w:bottom w:val="single" w:sz="8" w:color="auto"/>
            </w:tcBorders>
          </w:tcPr>
          <w:p>
            <w:pPr>
              <w:spacing w:after="0"/>
              <w:rPr>
                <w:sz w:val="16"/>
                <w:szCs w:val="16"/>
                <w:color w:val="auto"/>
              </w:rPr>
            </w:pPr>
          </w:p>
        </w:tc>
      </w:tr>
      <w:tr>
        <w:trPr>
          <w:trHeight w:val="171"/>
        </w:trPr>
        <w:tc>
          <w:tcPr>
            <w:tcW w:w="52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expense</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 income taxes, net</w:t>
            </w: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Excess tax expense pursuant to ASU 2016-09</w:t>
            </w: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changes</w:t>
            </w: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items</w:t>
            </w: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7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13,266</w:t>
            </w:r>
          </w:p>
        </w:tc>
        <w:tc>
          <w:tcPr>
            <w:tcW w:w="54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5,350</w:t>
            </w:r>
          </w:p>
        </w:tc>
      </w:tr>
      <w:tr>
        <w:trPr>
          <w:trHeight w:val="20"/>
        </w:trPr>
        <w:tc>
          <w:tcPr>
            <w:tcW w:w="5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consolidated deferred income taxes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40" w:type="dxa"/>
            <w:vAlign w:val="bottom"/>
            <w:tcBorders>
              <w:bottom w:val="single" w:sz="8" w:color="auto"/>
            </w:tcBorders>
          </w:tcPr>
          <w:p>
            <w:pPr>
              <w:spacing w:after="0"/>
              <w:rPr>
                <w:sz w:val="16"/>
                <w:szCs w:val="16"/>
                <w:color w:val="auto"/>
              </w:rPr>
            </w:pPr>
          </w:p>
        </w:tc>
      </w:tr>
      <w:tr>
        <w:trPr>
          <w:trHeight w:val="171"/>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Accruals and reserves</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r>
      <w:tr>
        <w:trPr>
          <w:trHeight w:val="18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 in partnership</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180"/>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25,682</w:t>
            </w:r>
          </w:p>
        </w:tc>
      </w:tr>
      <w:tr>
        <w:trPr>
          <w:trHeight w:val="18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180"/>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limitation carryforwards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18,917</w:t>
            </w:r>
          </w:p>
        </w:tc>
      </w:tr>
      <w:tr>
        <w:trPr>
          <w:trHeight w:val="18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w:t>
            </w:r>
          </w:p>
        </w:tc>
      </w:tr>
      <w:tr>
        <w:trPr>
          <w:trHeight w:val="171"/>
        </w:trPr>
        <w:tc>
          <w:tcPr>
            <w:tcW w:w="7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51,596</w:t>
            </w: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Valuation allowance</w:t>
            </w: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(21,625)</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(19,421)</w:t>
            </w:r>
          </w:p>
        </w:tc>
      </w:tr>
      <w:tr>
        <w:trPr>
          <w:trHeight w:val="171"/>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36,333</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32,175</w:t>
            </w:r>
          </w:p>
        </w:tc>
      </w:tr>
      <w:tr>
        <w:trPr>
          <w:trHeight w:val="16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assets</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8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and equipment</w:t>
            </w: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w:t>
            </w:r>
          </w:p>
        </w:tc>
      </w:tr>
      <w:tr>
        <w:trPr>
          <w:trHeight w:val="171"/>
        </w:trPr>
        <w:tc>
          <w:tcPr>
            <w:tcW w:w="7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(11,636)</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w:t>
            </w:r>
          </w:p>
        </w:tc>
      </w:tr>
      <w:tr>
        <w:trPr>
          <w:trHeight w:val="19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assets</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24,697</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22,533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4"/>
          <w:szCs w:val="14"/>
          <w:color w:val="auto"/>
        </w:rPr>
        <w:t xml:space="preserve">In accordance with the provisions of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Company provides a valuation allowance against deferred tax assets when it is more likely than not that some portion or all of the deferred tax assets will not be realized. The assessment considers all available positive and negative evidence and is measured quarterly. As of December 31, 2024 and 2023, the Company had a consolidated valuation allowance of approximately $21.6 million and $19.4 million, respectively, against certain deferred income tax assets related to business interest deduction carryovers and business combination costs that the Company believes are not more likely than not to be realized.</w:t>
      </w:r>
    </w:p>
    <w:p>
      <w:pPr>
        <w:spacing w:after="0" w:line="1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 reconciliation of the beginning and ending amount of unrecognized tax benefits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1"/>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year</w:t>
            </w:r>
          </w:p>
        </w:tc>
        <w:tc>
          <w:tcPr>
            <w:tcW w:w="10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based on positions of prior years</w:t>
            </w:r>
          </w:p>
        </w:tc>
        <w:tc>
          <w:tcPr>
            <w:tcW w:w="10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for tax positions of prior years</w:t>
            </w:r>
          </w:p>
        </w:tc>
        <w:tc>
          <w:tcPr>
            <w:tcW w:w="10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related to lapse of the applicable statutes of limitations</w:t>
            </w:r>
          </w:p>
        </w:tc>
        <w:tc>
          <w:tcPr>
            <w:tcW w:w="10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1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As of December 31, 2024 and 2023, the balance of unrecognized tax benefits that, if recognized, affect our effective tax rate was immaterial. The Company continually evaluates the uncertain tax benefit associated with its uncertain tax positions. It is reasonably possible that the liability for uncertain tax benefits could decrease during the next 12 months by up to $0.1 million due to the expiration of statutes of limitations.</w:t>
      </w:r>
    </w:p>
    <w:p>
      <w:pPr>
        <w:spacing w:after="0" w:line="13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is subject to U.S. federal income tax and income tax in multiple state jurisdictions. Tax periods for December 31, 2021 and all years thereafter remain open to examination by the federal and state taxing jurisdictions and tax periods for December 31, 2020 and all years thereafter remain open for certain state taxing jurisdictions to which the Company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At December 31, 2024 and December 31, 2023, the Company had state NOL carryforwards of approximately $19.9 million and $17.9 million, respectively, with expirations dates ranging from 2024 to 2044.</w:t>
      </w:r>
    </w:p>
    <w:p>
      <w:pPr>
        <w:spacing w:after="0" w:line="1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has historically been impacted by the new interest deductibility rule under the Tax Act. This rule disallows interest expense to the extent it exceeds 30% of ATI, as defined. In March 2020, the CARES Act was enacted, which among other provisions, provides for the increase of the 163(j) ATI limitation from 30% to 50% for tax years 2019 and 2020. As of December 31, 2024, the Company had interest deduction limitation carryforwards of $87.6 million.</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Shareholders' Deficit</w:t>
      </w:r>
    </w:p>
    <w:p>
      <w:pPr>
        <w:spacing w:after="0" w:line="18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shareholder action and will at all times vote together as one class on all matters submitted to a vote of the Company's shareholders. Holders of the Company's Common Stock are entitled to one vote per share on matters to be voted on by shareholders. Holders of the Company's Common Stock will be entitled to receive such dividends and other distributions, if any, as may be declared from time to time by the Company's Board of Directors in its discretion. Historically, the Company has neither declared nor paid dividends. The holders of the Company's Common Stock have no conversion, preemptive or other subscription rights and there is no sinking fund or redemption provisions applicable to the Common Stock.</w:t>
      </w:r>
    </w:p>
    <w:p>
      <w:pPr>
        <w:spacing w:after="0" w:line="14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100,000,000 shares of preferred stock with such designations, voting and other rights and preferences as may be determined from time to time by the Board of Directors. As of December 31, 2024, the Company has not issued any shares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 Program</w:t>
      </w:r>
    </w:p>
    <w:p>
      <w:pPr>
        <w:spacing w:after="0" w:line="181"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During the second quarter of 2022, Priority's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There have been no shares repurchased under this plan since December 2022. As of December 31, 2024, the Company has purchased 1,309,374 shares for $5.8 million under this plan.</w:t>
      </w:r>
    </w:p>
    <w:p>
      <w:pPr>
        <w:spacing w:after="0" w:line="138" w:lineRule="exact"/>
        <w:rPr>
          <w:sz w:val="20"/>
          <w:szCs w:val="20"/>
          <w:color w:val="auto"/>
        </w:rPr>
      </w:pPr>
    </w:p>
    <w:p>
      <w:pPr>
        <w:ind w:left="320" w:hanging="315"/>
        <w:spacing w:after="0"/>
        <w:tabs>
          <w:tab w:leader="none" w:pos="3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w:t>
      </w:r>
    </w:p>
    <w:p>
      <w:pPr>
        <w:spacing w:after="0" w:line="178"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2018 Equity Incentive Plan</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2018 Plan was approved by the Company's Board of Directors and shareholders in July 2018. The 2018 Plan provided for the issuance of up to 6,685,696 of the Company's Common Stock, and these shares were registered on a Form S-8 during 2018. Under the 2018 Plan, the Company's compensation committee may grant awards of non-qualified stock options, incentive stock options, SARs, restricted stock awards, RSUs, other stock-based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 surrendered or tendered to pay the exercise price of an award or to satisfy withholding taxes owed, such shares will again be available for grants under the 2018 Plan.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 These additional shares were registered on Form S-8 in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was as follows: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1"/>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71"/>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2018 Equity Incentive Plan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 units compensation expense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r>
      <w:tr>
        <w:trPr>
          <w:trHeight w:val="18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options compensation expense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under the 2018 Equity Incentive Plan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6,189</w:t>
            </w:r>
          </w:p>
        </w:tc>
      </w:t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 compensation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Incentive units compensation expense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and 2023, the Company's income tax expense for stock-based compensation was immaterial. For the year ended December 31, 2022, the Company recognized an income tax benefit of approximately and $0.7 million for stock-based compensation expense. No stock-based compensation has been capitalized.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the activity in stock units for the 2018 Plan is as follows:</w:t>
            </w:r>
          </w:p>
        </w:tc>
        <w:tc>
          <w:tcPr>
            <w:tcW w:w="1520" w:type="dxa"/>
            <w:vAlign w:val="bottom"/>
          </w:tcPr>
          <w:p>
            <w:pPr>
              <w:spacing w:after="0"/>
              <w:rPr>
                <w:sz w:val="16"/>
                <w:szCs w:val="16"/>
                <w:color w:val="auto"/>
              </w:rPr>
            </w:pPr>
          </w:p>
        </w:tc>
      </w:tr>
      <w:tr>
        <w:trPr>
          <w:trHeight w:val="191"/>
        </w:trPr>
        <w:tc>
          <w:tcPr>
            <w:tcW w:w="97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available for issuance at January 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3,363,040</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New shares authorized for issuance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w:t>
            </w:r>
          </w:p>
        </w:tc>
      </w:tr>
      <w:tr>
        <w:trPr>
          <w:trHeight w:val="18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221,733</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(2,878,949)</w:t>
            </w:r>
          </w:p>
        </w:tc>
      </w:tr>
      <w:tr>
        <w:trPr>
          <w:trHeight w:val="180"/>
        </w:trPr>
        <w:tc>
          <w:tcPr>
            <w:tcW w:w="97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PSUs granted</w:t>
            </w:r>
            <w:r>
              <w:rPr>
                <w:rFonts w:ascii="Times New Roman" w:cs="Times New Roman" w:eastAsia="Times New Roman" w:hAnsi="Times New Roman"/>
                <w:sz w:val="18"/>
                <w:szCs w:val="18"/>
                <w:color w:val="auto"/>
                <w:vertAlign w:val="superscript"/>
              </w:rPr>
              <w:t>(2)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(345,000)</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353,196</w:t>
            </w:r>
          </w:p>
        </w:tc>
      </w:tr>
      <w:tr>
        <w:trPr>
          <w:trHeight w:val="18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76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Shares withheld for taxes</w:t>
            </w:r>
            <w:r>
              <w:rPr>
                <w:rFonts w:ascii="Times New Roman" w:cs="Times New Roman" w:eastAsia="Times New Roman" w:hAnsi="Times New Roman"/>
                <w:sz w:val="18"/>
                <w:szCs w:val="18"/>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291,266</w:t>
            </w:r>
          </w:p>
        </w:tc>
      </w:tr>
      <w:tr>
        <w:trPr>
          <w:trHeight w:val="17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available for issuance at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3,505,286</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129,380</w:t>
            </w:r>
          </w:p>
        </w:tc>
      </w:tr>
      <w:tr>
        <w:trPr>
          <w:trHeight w:val="18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RSUs 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(641,578)</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226,100</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PSUs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r>
      <w:tr>
        <w:trPr>
          <w:trHeight w:val="180"/>
        </w:trPr>
        <w:tc>
          <w:tcPr>
            <w:tcW w:w="97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Shares withheld for taxes</w:t>
            </w:r>
            <w:r>
              <w:rPr>
                <w:rFonts w:ascii="Times New Roman" w:cs="Times New Roman" w:eastAsia="Times New Roman" w:hAnsi="Times New Roman"/>
                <w:sz w:val="18"/>
                <w:szCs w:val="18"/>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291,110</w:t>
            </w:r>
          </w:p>
        </w:tc>
      </w:tr>
      <w:tr>
        <w:trPr>
          <w:trHeight w:val="171"/>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available for issuance at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3,547,798</w:t>
            </w:r>
          </w:p>
        </w:tc>
      </w:tr>
      <w:tr>
        <w:trPr>
          <w:trHeight w:val="18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14,302</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(1,132,450)</w:t>
            </w:r>
          </w:p>
        </w:tc>
      </w:tr>
      <w:tr>
        <w:trPr>
          <w:trHeight w:val="18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PSUs 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(10,753)</w:t>
            </w:r>
          </w:p>
        </w:tc>
      </w:tr>
      <w:tr>
        <w:trPr>
          <w:trHeight w:val="180"/>
        </w:trPr>
        <w:tc>
          <w:tcPr>
            <w:tcW w:w="9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403,750</w:t>
            </w:r>
          </w:p>
        </w:tc>
      </w:tr>
      <w:tr>
        <w:trPr>
          <w:trHeight w:val="18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r>
      <w:tr>
        <w:trPr>
          <w:trHeight w:val="180"/>
        </w:trPr>
        <w:tc>
          <w:tcPr>
            <w:tcW w:w="976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Shares withheld for taxes</w:t>
            </w:r>
            <w:r>
              <w:rPr>
                <w:rFonts w:ascii="Times New Roman" w:cs="Times New Roman" w:eastAsia="Times New Roman" w:hAnsi="Times New Roman"/>
                <w:sz w:val="18"/>
                <w:szCs w:val="18"/>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326,282</w:t>
            </w:r>
          </w:p>
        </w:tc>
      </w:tr>
      <w:tr>
        <w:trPr>
          <w:trHeight w:val="19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available for issuance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3,150,595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00" w:hanging="240"/>
        <w:spacing w:after="0"/>
        <w:tabs>
          <w:tab w:leader="none" w:pos="50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number of shares surrendered to satisfy withholding taxes owed are subsequently added back to the shares available for grant under the 2018 Plan.</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76"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right="120" w:hanging="260"/>
        <w:spacing w:after="0" w:line="230" w:lineRule="auto"/>
        <w:tabs>
          <w:tab w:leader="none" w:pos="510" w:val="left"/>
        </w:tabs>
        <w:numPr>
          <w:ilvl w:val="0"/>
          <w:numId w:val="36"/>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4"/>
          <w:szCs w:val="14"/>
          <w:color w:val="auto"/>
        </w:rPr>
        <w:t>The shares were deemed granted to calculate remaining available shares when the participants were made aware of the award in 2022 to properly account for the number of shares available for issuance. However, they were not granted for accounting purposes until 2023 once the respective performance criteria were met.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about the time-based equity-classified stock options granted under the plan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Aggregate Intrinsic Value</w:t>
            </w:r>
          </w:p>
        </w:tc>
        <w:tc>
          <w:tcPr>
            <w:tcW w:w="0" w:type="dxa"/>
            <w:vAlign w:val="bottom"/>
          </w:tcPr>
          <w:p>
            <w:pPr>
              <w:spacing w:after="0"/>
              <w:rPr>
                <w:sz w:val="1"/>
                <w:szCs w:val="1"/>
                <w:color w:val="auto"/>
              </w:rPr>
            </w:pPr>
          </w:p>
        </w:tc>
      </w:tr>
      <w:tr>
        <w:trPr>
          <w:trHeight w:val="127"/>
        </w:trPr>
        <w:tc>
          <w:tcPr>
            <w:tcW w:w="5040" w:type="dxa"/>
            <w:vAlign w:val="bottom"/>
          </w:tcPr>
          <w:p>
            <w:pPr>
              <w:spacing w:after="0"/>
              <w:rPr>
                <w:sz w:val="11"/>
                <w:szCs w:val="11"/>
                <w:color w:val="auto"/>
              </w:rPr>
            </w:pPr>
          </w:p>
        </w:tc>
        <w:tc>
          <w:tcPr>
            <w:tcW w:w="1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8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Remaining Contractual</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240" w:type="dxa"/>
            <w:vAlign w:val="bottom"/>
          </w:tcPr>
          <w:p>
            <w:pPr>
              <w:spacing w:after="0"/>
              <w:rPr>
                <w:sz w:val="14"/>
                <w:szCs w:val="14"/>
                <w:color w:val="auto"/>
              </w:rPr>
            </w:pPr>
          </w:p>
        </w:tc>
        <w:tc>
          <w:tcPr>
            <w:tcW w:w="1260" w:type="dxa"/>
            <w:vAlign w:val="bottom"/>
          </w:tcPr>
          <w:p>
            <w:pPr>
              <w:jc w:val="right"/>
              <w:ind w:right="311"/>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7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December 31,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876,512</w:t>
            </w:r>
          </w:p>
        </w:tc>
        <w:tc>
          <w:tcPr>
            <w:tcW w:w="2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years</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5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(267,384)</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8"/>
                <w:szCs w:val="18"/>
                <w:color w:val="auto"/>
                <w:vertAlign w:val="superscript"/>
              </w:rPr>
              <w:t>(1)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(14,302)</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594,826</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6.84</w:t>
            </w:r>
          </w:p>
        </w:tc>
        <w:tc>
          <w:tcPr>
            <w:tcW w:w="80" w:type="dxa"/>
            <w:vAlign w:val="bottom"/>
          </w:tcPr>
          <w:p>
            <w:pPr>
              <w:spacing w:after="0"/>
              <w:rPr>
                <w:sz w:val="14"/>
                <w:szCs w:val="14"/>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3.9 years</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594,826</w:t>
            </w:r>
          </w:p>
        </w:tc>
        <w:tc>
          <w:tcPr>
            <w:tcW w:w="2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6.84</w:t>
            </w:r>
          </w:p>
        </w:tc>
        <w:tc>
          <w:tcPr>
            <w:tcW w:w="8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3.9 years</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Forfeited includes awards for which the participant has been terminated but has 90 days from the date of termination to exercise the award based on the agreement.</w:t>
      </w:r>
    </w:p>
    <w:p>
      <w:pPr>
        <w:spacing w:after="0" w:line="15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There were no options granted in 2024, 2023, or 2022. The intrinsic value of options exercised in 2024 was $0.8 million. There were no options exercised in 2023 or 2022. As of December 31, 2024, there were no unrecognized compensation costs related to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Equity-classified Restricted Stock Units</w:t>
            </w: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40"/>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Below is a summary of the Company's equity-classified RSUs and PSUs for the periods presented:</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2"/>
        </w:trPr>
        <w:tc>
          <w:tcPr>
            <w:tcW w:w="666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Underlying Common Shares</w:t>
            </w:r>
          </w:p>
        </w:tc>
        <w:tc>
          <w:tcPr>
            <w:tcW w:w="80" w:type="dxa"/>
            <w:vAlign w:val="bottom"/>
            <w:tcBorders>
              <w:bottom w:val="single" w:sz="8" w:color="CCEEFF"/>
            </w:tcBorders>
          </w:tcPr>
          <w:p>
            <w:pPr>
              <w:spacing w:after="0"/>
              <w:rPr>
                <w:sz w:val="24"/>
                <w:szCs w:val="24"/>
                <w:color w:val="auto"/>
              </w:rPr>
            </w:pPr>
          </w:p>
        </w:tc>
        <w:tc>
          <w:tcPr>
            <w:tcW w:w="2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 Date Fair Value</w:t>
            </w:r>
          </w:p>
        </w:tc>
      </w:tr>
      <w:tr>
        <w:trPr>
          <w:trHeight w:val="16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vesting:</w:t>
            </w:r>
          </w:p>
        </w:tc>
        <w:tc>
          <w:tcPr>
            <w:tcW w:w="1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January 1, 2022</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879,250</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80"/>
        </w:trPr>
        <w:tc>
          <w:tcPr>
            <w:tcW w:w="66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2,878,948</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80"/>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(353,196)</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8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(822,602)</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December 31, 2022</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2,582,400</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80"/>
        </w:trPr>
        <w:tc>
          <w:tcPr>
            <w:tcW w:w="66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641,578</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80"/>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(226,100)</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18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(1,028,782)</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1,969,096</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r>
      <w:tr>
        <w:trPr>
          <w:trHeight w:val="180"/>
        </w:trPr>
        <w:tc>
          <w:tcPr>
            <w:tcW w:w="66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1,132,450</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80"/>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(403,750)</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18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(1,037,012)</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Unvested at December 31, 2024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1,660,784</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vesting:</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2"/>
        </w:trPr>
        <w:tc>
          <w:tcPr>
            <w:tcW w:w="6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January 1, 2022</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99,453</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180"/>
        </w:trPr>
        <w:tc>
          <w:tcPr>
            <w:tcW w:w="66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1260" w:type="dxa"/>
            <w:vAlign w:val="bottom"/>
            <w:tcBorders>
              <w:bottom w:val="single" w:sz="8" w:color="CCEEFF"/>
            </w:tcBorders>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r>
      <w:tr>
        <w:trPr>
          <w:trHeight w:val="17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99,453</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80"/>
        </w:trPr>
        <w:tc>
          <w:tcPr>
            <w:tcW w:w="66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8"/>
                <w:szCs w:val="18"/>
                <w:color w:val="auto"/>
                <w:vertAlign w:val="superscript"/>
              </w:rPr>
              <w:t>(2)</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345,000</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8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80"/>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(116,958)</w:t>
            </w:r>
          </w:p>
        </w:tc>
        <w:tc>
          <w:tcPr>
            <w:tcW w:w="1260" w:type="dxa"/>
            <w:vAlign w:val="bottom"/>
            <w:tcBorders>
              <w:bottom w:val="single" w:sz="8" w:color="CCEEFF"/>
            </w:tcBorders>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7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289,995</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80"/>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10,753</w:t>
            </w:r>
          </w:p>
        </w:tc>
        <w:tc>
          <w:tcPr>
            <w:tcW w:w="1260" w:type="dxa"/>
            <w:vAlign w:val="bottom"/>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r>
      <w:tr>
        <w:trPr>
          <w:trHeight w:val="18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1260" w:type="dxa"/>
            <w:vAlign w:val="bottom"/>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80"/>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(101,674)</w:t>
            </w:r>
          </w:p>
        </w:tc>
        <w:tc>
          <w:tcPr>
            <w:tcW w:w="1260" w:type="dxa"/>
            <w:vAlign w:val="bottom"/>
            <w:tcBorders>
              <w:bottom w:val="single" w:sz="8" w:color="CCEEFF"/>
            </w:tcBorders>
            <w:gridSpan w:val="2"/>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Unvested at December 31, 2024</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197,408</w:t>
            </w:r>
          </w:p>
        </w:tc>
        <w:tc>
          <w:tcPr>
            <w:tcW w:w="1260" w:type="dxa"/>
            <w:vAlign w:val="bottom"/>
            <w:tcBorders>
              <w:bottom w:val="single" w:sz="8" w:color="CCEEFF"/>
            </w:tcBorders>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520" w:right="640" w:hanging="260"/>
        <w:spacing w:after="0" w:line="230" w:lineRule="auto"/>
        <w:tabs>
          <w:tab w:leader="none" w:pos="51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175,720 shares with an estimated fair value of $0.6 million, 143,605 shares with an estimated fair value of $0.5 million and 228,347 shares with an estimated fair value of $1.1 million issued to non-employees in December 31, 2024, 2023 and 2022, respectively.</w:t>
      </w:r>
    </w:p>
    <w:p>
      <w:pPr>
        <w:spacing w:after="0" w:line="1" w:lineRule="exact"/>
        <w:rPr>
          <w:rFonts w:ascii="Times New Roman" w:cs="Times New Roman" w:eastAsia="Times New Roman" w:hAnsi="Times New Roman"/>
          <w:sz w:val="18"/>
          <w:szCs w:val="18"/>
          <w:color w:val="auto"/>
          <w:vertAlign w:val="superscript"/>
        </w:rPr>
      </w:pPr>
    </w:p>
    <w:p>
      <w:pPr>
        <w:ind w:left="520" w:right="220" w:hanging="260"/>
        <w:spacing w:after="0" w:line="221" w:lineRule="auto"/>
        <w:tabs>
          <w:tab w:leader="none" w:pos="51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only the portions of grants for which the performance goals have been determined and communicated to the grant recipient. Any grants for which the required performance goals have not been determined and communicated to the grant recipient are not considered to have been granted for accounting purposes.</w:t>
      </w:r>
    </w:p>
    <w:p>
      <w:pPr>
        <w:spacing w:after="0" w:line="17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$5.5 million and $0.5 million of unrecognized compensation costs for equity-classified service-based RSUs and performance-based RSUs, respectively, which are expected to be recognized over a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weighted-average period of 1.9 years and 1.0 year, respectively. The total fair value of RSUs and PSUs that vested in 2024, 2023, and 2022 was $5.8 million, $1.3 million and $0.9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On April 16, 2021, the 2021 Stock Purchase Plan was authorized by the Company's Board of Directors. The maximum number of shares available for purchase under the 2021 Stock Purchase Plan is 200,000 shares. The shares issued under the 2021 Stock Purchase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3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during the first quarter of 2022. The 2021 Stock Purchase Plan provides eligible employees the opportunity to purchase shares of the Company's Common Stock on a quarterly basis through payroll deductions at a price equal to 95% of the lesser of the fair value on the first and last trading day of each quarter.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had 45,018 shares available under the 2021 Stock Purchase Plan.</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Employee Benefit Plans</w:t>
      </w:r>
    </w:p>
    <w:p>
      <w:pPr>
        <w:spacing w:after="0" w:line="18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The Company's contributions to the plan were $2.4 million, $2.0 million and $1.7 million for the years ended December 31, 2024, 2023 and 2022, respectively.</w:t>
      </w:r>
    </w:p>
    <w:p>
      <w:pPr>
        <w:spacing w:after="0" w:line="13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offers a comprehensive medical benefit plan to eligible employees. All obligations under the plan are fully insured through third-party insurance companies. Employees participating in the medical plan pay a portion of the costs for the insurance benefits.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Related Party Transactions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In February 2019, PHOT, a subsidiary of the Company, received a contribution of substantially all of the operating assets of eTab and Cumulus under asset contribution agreements. PHOT is a part of the Company's SMB reportable segment. These contributed assets were primarily composed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debt refinancing.</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Chief Operating Officer (“COO”) received 413,081 shares of common stock of the Company in exchange for her 24.1%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October 31, 2023, a lawsuit was filed alleging that the Board breached its fiduciary duties by approving the above mentioned exchange transaction. The Company denied any wrongdoing. The lawsuit was settled on January 30, 2024, wherein the Company agreed to unwind the exchange transaction and received previously issued shares of common stock of the Company and promissory notes for the amount of cash paid from the CEO, COO and others in exchange of the reissuance of PHOT redeemable preferred units. The returned shares of common stock of the Company are recorded as treasury stock at their closing market price as of the settlement date of January 30, 2024. The reissued PHOT redeemable preferred units are recorded as redeemable NCI at their estimated fair value as of the settlement date on the Company’s Consolidated Balance Sheets.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 of May 30, 2024, the Company approved redemption of PHOT redeemable preferred units for cash, common stock of the Company or a combination of both, at the sole discretion of the Company. The redeemable preferred units were accreted to their redemption value of $5.9 million as of May 30, 2024, through net loss available to common shareholders in the Company’s Statements of Operations and Comprehensive Income (Loss). The exchange value of the Company's common stock was established based on the 30-day volume weighted average close price adjusted for market illiquidity. During the quarter ended June 30, 2024, the PHOT redeemable preferred units held by the CEO were redeemed in cash for $2.1 million and the promissory notes were satisfied. During the quarter ended September 30, 2024, the PHOT redeemable preferred units held by the COO were redeemed for 408,013 shares of the Company's common stock and PHOT redeemable preferred units held by other holders were redeemed for 404,628 shares of the Company's common stock.</w:t>
      </w: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Minimum Annual Commitments with Third-party Processors</w:t>
      </w:r>
    </w:p>
    <w:p>
      <w:pPr>
        <w:spacing w:after="0" w:line="18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December 31, 2024, the Company is committed to pay minimum processing fees under these agreements of approximately $22.9 million in 2025 and $25.4 million in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Commitments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committed to capital contributions to fund the operations of certain subsidiaries totaling $32.0 million and $26.0 million as of December 31, 2024 and 2023, respectively. The Company is obligated to make the contributions within 10 business days of receiving notice for such contribution from the subsidiary. As of December 31, 2024 and 2023, the Company contributed $19.7 million and $11.8 million, respectively.</w:t>
      </w:r>
    </w:p>
    <w:p>
      <w:pPr>
        <w:spacing w:after="0" w:line="136"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 committed to funding notes receivables totaling $11.3 million and $3.1 million as of December 31, 2024 and 2023, respectively. The Company is obligated to fulfill requests for funding required within a certain time period once the request is received. As of December 31, 2024 and 2023, the Company funded $7.1 million and $3.1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Merchant Reserves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 4. Settlement Assets and Customer/Subscriber Account Balances and Related Obligations</w:t>
      </w:r>
      <w:r>
        <w:rPr>
          <w:rFonts w:ascii="Times New Roman" w:cs="Times New Roman" w:eastAsia="Times New Roman" w:hAnsi="Times New Roman"/>
          <w:sz w:val="14"/>
          <w:szCs w:val="14"/>
          <w:color w:val="auto"/>
        </w:rPr>
        <w:t>, for information about merchant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 of the Company's contingent consideration liabilities related to completed acquisitions: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Contingent Consideration Liabilities</w:t>
            </w:r>
          </w:p>
        </w:tc>
      </w:tr>
      <w:tr>
        <w:trPr>
          <w:trHeight w:val="171"/>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w:t>
            </w: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 of contingent consideration (related to asset acquisition)</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 of contingent consideration due to resolution of contingency</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 of contingent consideration (related to business combination)</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w:t>
            </w: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contingent consideration</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adjustments due to changes in estimates of future payments</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(9,909)</w:t>
            </w:r>
          </w:p>
        </w:tc>
      </w:tr>
      <w:tr>
        <w:trPr>
          <w:trHeight w:val="180"/>
        </w:trPr>
        <w:tc>
          <w:tcPr>
            <w:tcW w:w="8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Adjustment for receivable due to residual shortfall</w:t>
            </w: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w:t>
            </w:r>
          </w:p>
        </w:tc>
      </w:tr>
      <w:tr>
        <w:trPr>
          <w:trHeight w:val="171"/>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w:t>
            </w: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contingent consideration</w:t>
            </w:r>
          </w:p>
        </w:tc>
        <w:tc>
          <w:tcPr>
            <w:tcW w:w="10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w:t>
            </w: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adjustments due to changes in estimates of future payments</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80"/>
        </w:trPr>
        <w:tc>
          <w:tcPr>
            <w:tcW w:w="8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(5,592)</w:t>
            </w:r>
          </w:p>
        </w:tc>
      </w:tr>
      <w:tr>
        <w:trPr>
          <w:trHeight w:val="196"/>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10,685</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 party in a case filed on October 11, 2023 in the United States District Court of Northern District of California (the “Complaint”). The Complaint is a putative class action against</w:t>
      </w:r>
    </w:p>
    <w:p>
      <w:pPr>
        <w:spacing w:after="0" w:line="4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The Credit Wholesale Company, Inc. (“Wholesale”), Priority Technology Holdings, Inc., Priority Payment Systems (“PPS”), LLC and Wells Fargo Bank, N.A. (“Wells Fargo”). The Complaint alleges that Wholesale as an agent of Priority, PPS and Wells Fargo made non-consensual recordation of telephonic communications with California businesses in violation of California Invasion of</w:t>
      </w:r>
    </w:p>
    <w:p>
      <w:pPr>
        <w:spacing w:after="0" w:line="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 xml:space="preserve">Privacy Act (the “Act”). </w:t>
      </w:r>
      <w:r>
        <w:rPr>
          <w:rFonts w:ascii="Times New Roman" w:cs="Times New Roman" w:eastAsia="Times New Roman" w:hAnsi="Times New Roman"/>
          <w:sz w:val="16"/>
          <w:szCs w:val="16"/>
          <w:color w:val="auto"/>
        </w:rPr>
        <w:t>T</w:t>
      </w:r>
      <w:r>
        <w:rPr>
          <w:rFonts w:ascii="Times New Roman" w:cs="Times New Roman" w:eastAsia="Times New Roman" w:hAnsi="Times New Roman"/>
          <w:sz w:val="14"/>
          <w:szCs w:val="14"/>
          <w:color w:val="auto"/>
        </w:rPr>
        <w:t>he Complaint seeks to certify a class of affected businesses and an award of $5,000 per violation of the Act. On January 24, 2025, the court preliminarily approved the settlement agreement entered into by the parties wherein defendants agree to pay $19.5 million to settle this litigation. Any contribution toward the settlement by the Company will be nominal, and will not have any material impact on the Company's results of operations, financial conditions or 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 of Risks</w:t>
      </w:r>
    </w:p>
    <w:p>
      <w:pPr>
        <w:spacing w:after="0" w:line="18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Company's revenue is substantially derived from processing Visa and Mastercard bankcard transactions. Because the Company is not a member bank, to process these bankcard transactions, the Company maintains sponsorship agreements with member banks which require, among other things, that the Company abide by the by-laws and regulations of the card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r>
      <w:r>
        <w:rPr>
          <w:sz w:val="20"/>
          <w:szCs w:val="20"/>
          <w:color w:val="auto"/>
        </w:rPr>
        <w:tab/>
      </w:r>
      <w:r>
        <w:rPr>
          <w:rFonts w:ascii="Times New Roman" w:cs="Times New Roman" w:eastAsia="Times New Roman" w:hAnsi="Times New Roman"/>
          <w:sz w:val="13"/>
          <w:szCs w:val="13"/>
          <w:b w:val="1"/>
          <w:bCs w:val="1"/>
          <w:color w:val="auto"/>
        </w:rPr>
        <w:t>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Company's contingent consideration derived from business combinations are classified within Level 3 of the fair value hierarchy due to the uncertainty of the fair value measurement created by the absence of quoted market prices, the inherent lack of liquidity and unobservable inputs used to measure fair value which require judgement.</w:t>
      </w:r>
    </w:p>
    <w:p>
      <w:pPr>
        <w:spacing w:after="0" w:line="12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Contingent consideration liabilities related to certain of the Company's acquisitions are uncertain due to the utilization of unobservable inputs and management's judgement in determining the likelihood of achieving the earn-out criteria or the years ended December 31, 2024 and 2023. These liabilities measured at fair value on a recurring basis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1"/>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380" w:type="dxa"/>
            <w:vAlign w:val="bottom"/>
          </w:tcPr>
          <w:p>
            <w:pPr>
              <w:spacing w:after="0"/>
              <w:rPr>
                <w:sz w:val="14"/>
                <w:szCs w:val="14"/>
                <w:color w:val="auto"/>
              </w:rPr>
            </w:pPr>
          </w:p>
        </w:tc>
        <w:tc>
          <w:tcPr>
            <w:tcW w:w="12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current portion</w:t>
            </w: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5,951</w:t>
            </w:r>
          </w:p>
        </w:tc>
      </w:tr>
      <w:tr>
        <w:trPr>
          <w:trHeight w:val="18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Contingent consideration, noncurrent portion</w:t>
            </w:r>
          </w:p>
        </w:tc>
        <w:tc>
          <w:tcPr>
            <w:tcW w:w="24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3</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7,487</w:t>
            </w:r>
          </w:p>
        </w:tc>
      </w:tr>
      <w:tr>
        <w:trPr>
          <w:trHeight w:val="171"/>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contingent consideration</w:t>
            </w:r>
          </w:p>
        </w:tc>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2024, there were no transfers into, out of, or between levels of the fair value hierarchy.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Receivable</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was approximately $8.6 million and $5.2 million at December 31, 2024 and 2023, respectively. On the fair value hierarchy, Level 3 inputs are used to estimate the fair value of these notes receivable.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Obligations</w:t>
      </w:r>
    </w:p>
    <w:p>
      <w:pPr>
        <w:spacing w:after="0" w:line="18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 xml:space="preserve">Outstanding debt obligations (see </w:t>
      </w:r>
      <w:r>
        <w:rPr>
          <w:rFonts w:ascii="Times New Roman" w:cs="Times New Roman" w:eastAsia="Times New Roman" w:hAnsi="Times New Roman"/>
          <w:sz w:val="14"/>
          <w:szCs w:val="14"/>
          <w:u w:val="single" w:color="auto"/>
          <w:color w:val="0000FF"/>
        </w:rPr>
        <w:t>Note 10. Debt Obligations</w:t>
      </w:r>
      <w:r>
        <w:rPr>
          <w:rFonts w:ascii="Times New Roman" w:cs="Times New Roman" w:eastAsia="Times New Roman" w:hAnsi="Times New Roman"/>
          <w:sz w:val="14"/>
          <w:szCs w:val="14"/>
          <w:color w:val="auto"/>
        </w:rPr>
        <w:t>) are reflected in the Company's Consolidated Balance Sheets at carrying value since the Company did not elect to remeasure debt obligations to fair value at the end of each reporting period.</w:t>
      </w:r>
    </w:p>
    <w:p>
      <w:pPr>
        <w:spacing w:after="0" w:line="12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fair value of the term loan facility was estimated to be approximately $944.4 million and $651.9 million at December 31, 2024 and 2023, respectively, and was estimated using binding and non-binding quoted market prices in an active secondary market, which considers the credit risk and market related conditions, and is within Level 2 of the fair value hierarchy.</w:t>
      </w:r>
    </w:p>
    <w:p>
      <w:pPr>
        <w:spacing w:after="0" w:line="12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19.</w:t>
        <w:tab/>
        <w:t>Segment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three reportable segments included SMB Payments, B2B Payments and Enterprise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 information about our three reportable segments:</w:t>
      </w:r>
    </w:p>
    <w:p>
      <w:pPr>
        <w:spacing w:after="0" w:line="177" w:lineRule="exact"/>
        <w:rPr>
          <w:sz w:val="20"/>
          <w:szCs w:val="20"/>
          <w:color w:val="auto"/>
        </w:rPr>
      </w:pPr>
    </w:p>
    <w:p>
      <w:pPr>
        <w:ind w:left="520" w:hanging="260"/>
        <w:spacing w:after="0" w:line="290" w:lineRule="auto"/>
        <w:tabs>
          <w:tab w:leader="none" w:pos="516"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SMB Payments</w:t>
      </w:r>
      <w:r>
        <w:rPr>
          <w:rFonts w:ascii="Times New Roman" w:cs="Times New Roman" w:eastAsia="Times New Roman" w:hAnsi="Times New Roman"/>
          <w:sz w:val="14"/>
          <w:szCs w:val="14"/>
          <w:color w:val="auto"/>
        </w:rPr>
        <w:t>: Provides full-service acquiring and payment-enabled solutions for B2C transactions, leveraging Priority's proprietary software platform, distributed through ISO, direct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vertically focused ISV channels.</w:t>
      </w:r>
    </w:p>
    <w:p>
      <w:pPr>
        <w:spacing w:after="0" w:line="120" w:lineRule="exact"/>
        <w:rPr>
          <w:rFonts w:ascii="Times New Roman" w:cs="Times New Roman" w:eastAsia="Times New Roman" w:hAnsi="Times New Roman"/>
          <w:sz w:val="14"/>
          <w:szCs w:val="14"/>
          <w:i w:val="1"/>
          <w:iCs w:val="1"/>
          <w:color w:val="auto"/>
        </w:rPr>
      </w:pPr>
    </w:p>
    <w:p>
      <w:pPr>
        <w:ind w:left="520" w:right="440" w:hanging="260"/>
        <w:spacing w:after="0" w:line="290"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B2B Payments</w:t>
      </w:r>
      <w:r>
        <w:rPr>
          <w:rFonts w:ascii="Times New Roman" w:cs="Times New Roman" w:eastAsia="Times New Roman" w:hAnsi="Times New Roman"/>
          <w:sz w:val="14"/>
          <w:szCs w:val="14"/>
          <w:color w:val="auto"/>
        </w:rPr>
        <w:t>: Provides market-leading AP automation solutions to corporations, software partners and industry leading FIs (including Citibank, Visa and Mastercard) in addition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improving cash flows by providing instant access to working capital.</w:t>
      </w:r>
    </w:p>
    <w:p>
      <w:pPr>
        <w:spacing w:after="0" w:line="120" w:lineRule="exact"/>
        <w:rPr>
          <w:rFonts w:ascii="Times New Roman" w:cs="Times New Roman" w:eastAsia="Times New Roman" w:hAnsi="Times New Roman"/>
          <w:sz w:val="14"/>
          <w:szCs w:val="14"/>
          <w:color w:val="auto"/>
        </w:rPr>
      </w:pPr>
    </w:p>
    <w:p>
      <w:pPr>
        <w:ind w:right="500" w:firstLine="260"/>
        <w:spacing w:after="0" w:line="507" w:lineRule="auto"/>
        <w:tabs>
          <w:tab w:leader="none" w:pos="50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Enterprise Payments</w:t>
      </w:r>
      <w:r>
        <w:rPr>
          <w:rFonts w:ascii="Times New Roman" w:cs="Times New Roman" w:eastAsia="Times New Roman" w:hAnsi="Times New Roman"/>
          <w:sz w:val="14"/>
          <w:szCs w:val="14"/>
          <w:color w:val="auto"/>
        </w:rPr>
        <w:t>: Provides embedded finance and BaaS solutions to customers to modernize legacy platforms and accelerate software partners' strategies to monetize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Corporate includes costs of corporate functions and shared services not allocated to our reportable segments.</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Company's chief operating decision makers ("CODM") are our CEO and CFO. Historically, the CODM used operating income (loss) as the measure of segment profit or loss to allocate resources. However, during the year, the segment performance measure was updated to adjusted earnings before interest expense, income tax and depreciation and amortization expenses ("Adjusted EBITDA") to have consistent measure of results across the organization.</w:t>
      </w:r>
    </w:p>
    <w:p>
      <w:pPr>
        <w:spacing w:after="0" w:line="13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Adjusted EBITDA represents EBITDA (i.e. earnings before interest, income tax, and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Adjusted EBITDA is a non-GAAP measure and therefore, a reconciliation to earnings (loss) before income taxes (a GAAP measure) is included within this footnote.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level assets information is not provided or subject to review by the CODM and therefore not provided.</w:t>
      </w:r>
    </w:p>
    <w:p>
      <w:pPr>
        <w:spacing w:after="0" w:line="17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Due to the recent acquisitions, growth, implementation of a shared services model and management of a single unified commerce engine across our payments infrastructure, the costs of operating overhead and shared services becomes less identifiable at the segment level. Therefore, the process of review of the CODM was updated during the quarter ended June 30, 2024. Operating overhead and shared costs are managed centrally and included in the corporate segment. All comparative periods have been recasted to reflect this update.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reportable segments and reconciliations to income (loss)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SMB Payments</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B2B</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340" w:type="dxa"/>
            <w:vAlign w:val="bottom"/>
          </w:tcPr>
          <w:p>
            <w:pPr>
              <w:spacing w:after="0"/>
              <w:rPr>
                <w:sz w:val="11"/>
                <w:szCs w:val="11"/>
                <w:color w:val="auto"/>
              </w:rPr>
            </w:pPr>
          </w:p>
        </w:tc>
        <w:tc>
          <w:tcPr>
            <w:tcW w:w="116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613,547</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180,448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883,098</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Elimination of intersegment revenues</w:t>
            </w: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0" w:type="dxa"/>
            <w:vAlign w:val="bottom"/>
          </w:tcPr>
          <w:p>
            <w:pPr>
              <w:spacing w:after="0"/>
              <w:rPr>
                <w:sz w:val="1"/>
                <w:szCs w:val="1"/>
                <w:color w:val="auto"/>
              </w:rPr>
            </w:pPr>
          </w:p>
        </w:tc>
      </w:tr>
      <w:tr>
        <w:trPr>
          <w:trHeight w:val="171"/>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613,547</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89,103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180,448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879,702</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Less: Cost of services (excludes depreciation and amortization)</w:t>
            </w:r>
            <w:r>
              <w:rPr>
                <w:rFonts w:ascii="Times New Roman" w:cs="Times New Roman" w:eastAsia="Times New Roman" w:hAnsi="Times New Roman"/>
                <w:sz w:val="18"/>
                <w:szCs w:val="18"/>
                <w:color w:val="auto"/>
                <w:vertAlign w:val="superscript"/>
              </w:rPr>
              <w:t>1,4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(478,451)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(555,002)</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Less: Other operating expenses</w:t>
            </w:r>
            <w:r>
              <w:rPr>
                <w:rFonts w:ascii="Times New Roman" w:cs="Times New Roman" w:eastAsia="Times New Roman" w:hAnsi="Times New Roman"/>
                <w:sz w:val="18"/>
                <w:szCs w:val="18"/>
                <w:color w:val="auto"/>
                <w:vertAlign w:val="superscript"/>
              </w:rPr>
              <w:t>1,2,4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(112,829)</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Add: Depreciation and amortization</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53,051</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 Other segment items</w:t>
            </w:r>
            <w:r>
              <w:rPr>
                <w:rFonts w:ascii="Times New Roman" w:cs="Times New Roman" w:eastAsia="Times New Roman" w:hAnsi="Times New Roman"/>
                <w:sz w:val="18"/>
                <w:szCs w:val="18"/>
                <w:color w:val="auto"/>
                <w:vertAlign w:val="superscript"/>
              </w:rPr>
              <w:t>2,3,4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Adjustment for corporate items</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(63,791)</w:t>
            </w:r>
          </w:p>
        </w:tc>
        <w:tc>
          <w:tcPr>
            <w:tcW w:w="0" w:type="dxa"/>
            <w:vAlign w:val="bottom"/>
          </w:tcPr>
          <w:p>
            <w:pPr>
              <w:spacing w:after="0"/>
              <w:rPr>
                <w:sz w:val="1"/>
                <w:szCs w:val="1"/>
                <w:color w:val="auto"/>
              </w:rPr>
            </w:pPr>
          </w:p>
        </w:tc>
      </w:tr>
      <w:tr>
        <w:trPr>
          <w:trHeight w:val="196"/>
        </w:trPr>
        <w:tc>
          <w:tcPr>
            <w:tcW w:w="5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108,913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204,267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 to income (loss) before income taxes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204,267</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(58,041)</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(88,948)</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modification and extinguishment expenses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(non-recurring)</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stock based compensation</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0" w:type="dxa"/>
            <w:vAlign w:val="bottom"/>
          </w:tcPr>
          <w:p>
            <w:pPr>
              <w:spacing w:after="0"/>
              <w:rPr>
                <w:sz w:val="1"/>
                <w:szCs w:val="1"/>
                <w:color w:val="auto"/>
              </w:rPr>
            </w:pPr>
          </w:p>
        </w:tc>
      </w:tr>
      <w:tr>
        <w:trPr>
          <w:trHeight w:val="171"/>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37,281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hanging="240"/>
        <w:spacing w:after="0"/>
        <w:tabs>
          <w:tab w:leader="none" w:pos="5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significant expense categories and amounts align with the segment level information regularly provided to the CODM.</w:t>
      </w:r>
    </w:p>
    <w:p>
      <w:pPr>
        <w:spacing w:after="0" w:line="55"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operating expenses include salary and employee benefits, depreciation and amortization, and selling, general and administrative expenses.</w:t>
      </w:r>
    </w:p>
    <w:p>
      <w:pPr>
        <w:spacing w:after="0" w:line="56"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for each reportable segment include other income, net and stock based compensation expense.</w:t>
      </w:r>
    </w:p>
    <w:p>
      <w:pPr>
        <w:spacing w:after="0" w:line="56"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for corporate items include: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 of cost of services (excludes depreciation and amortization)</w:t>
            </w: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w:t>
            </w:r>
          </w:p>
        </w:tc>
      </w:t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(81,832)</w:t>
            </w: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r>
      <w:tr>
        <w:trPr>
          <w:trHeight w:val="180"/>
        </w:trPr>
        <w:tc>
          <w:tcPr>
            <w:tcW w:w="6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items</w:t>
            </w:r>
            <w:r>
              <w:rPr>
                <w:rFonts w:ascii="Times New Roman" w:cs="Times New Roman" w:eastAsia="Times New Roman" w:hAnsi="Times New Roman"/>
                <w:sz w:val="18"/>
                <w:szCs w:val="18"/>
                <w:color w:val="auto"/>
                <w:vertAlign w:val="superscript"/>
              </w:rPr>
              <w:t>5</w:t>
            </w:r>
          </w:p>
        </w:tc>
        <w:tc>
          <w:tcPr>
            <w:tcW w:w="7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9,669</w:t>
            </w:r>
          </w:p>
        </w:tc>
      </w:tr>
      <w:tr>
        <w:trPr>
          <w:trHeight w:val="171"/>
        </w:trPr>
        <w:tc>
          <w:tcPr>
            <w:tcW w:w="660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(63,791)</w:t>
            </w:r>
          </w:p>
        </w:tc>
      </w:tr>
      <w:tr>
        <w:trPr>
          <w:trHeight w:val="20"/>
        </w:trPr>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500" w:hanging="240"/>
        <w:spacing w:after="0"/>
        <w:tabs>
          <w:tab w:leader="none" w:pos="50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include other income, net, stock based compensation expense, and selling, general and administrative (non-recurring expenses).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67"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SMB Payments</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B2B</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340" w:type="dxa"/>
            <w:vAlign w:val="bottom"/>
          </w:tcPr>
          <w:p>
            <w:pPr>
              <w:spacing w:after="0"/>
              <w:rPr>
                <w:sz w:val="11"/>
                <w:szCs w:val="11"/>
                <w:color w:val="auto"/>
              </w:rPr>
            </w:pPr>
          </w:p>
        </w:tc>
        <w:tc>
          <w:tcPr>
            <w:tcW w:w="116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583,251</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132,186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756,593</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Elimination of intersegment revenues</w:t>
            </w: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171"/>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583,251</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41,156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132,186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755,612</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Less: Cost of services (excludes depreciation and amortization)</w:t>
            </w:r>
            <w:r>
              <w:rPr>
                <w:rFonts w:ascii="Times New Roman" w:cs="Times New Roman" w:eastAsia="Times New Roman" w:hAnsi="Times New Roman"/>
                <w:sz w:val="18"/>
                <w:szCs w:val="18"/>
                <w:color w:val="auto"/>
                <w:vertAlign w:val="superscript"/>
              </w:rPr>
              <w:t>1,4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(446,188)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(481,251)</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Less: Other operating expenses</w:t>
            </w:r>
            <w:r>
              <w:rPr>
                <w:rFonts w:ascii="Times New Roman" w:cs="Times New Roman" w:eastAsia="Times New Roman" w:hAnsi="Times New Roman"/>
                <w:sz w:val="18"/>
                <w:szCs w:val="18"/>
                <w:color w:val="auto"/>
                <w:vertAlign w:val="superscript"/>
              </w:rPr>
              <w:t>1,2,4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(65,880)</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(116,379)</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Add: Depreciation and amortization</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60,972</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 Other segment items</w:t>
            </w:r>
            <w:r>
              <w:rPr>
                <w:rFonts w:ascii="Times New Roman" w:cs="Times New Roman" w:eastAsia="Times New Roman" w:hAnsi="Times New Roman"/>
                <w:sz w:val="18"/>
                <w:szCs w:val="18"/>
                <w:color w:val="auto"/>
                <w:vertAlign w:val="superscript"/>
              </w:rPr>
              <w:t>2,3,4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Adjustment for corporate items</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(53,315)</w:t>
            </w:r>
          </w:p>
        </w:tc>
        <w:tc>
          <w:tcPr>
            <w:tcW w:w="0" w:type="dxa"/>
            <w:vAlign w:val="bottom"/>
          </w:tcPr>
          <w:p>
            <w:pPr>
              <w:spacing w:after="0"/>
              <w:rPr>
                <w:sz w:val="1"/>
                <w:szCs w:val="1"/>
                <w:color w:val="auto"/>
              </w:rPr>
            </w:pPr>
          </w:p>
        </w:tc>
      </w:tr>
      <w:tr>
        <w:trPr>
          <w:trHeight w:val="196"/>
        </w:trPr>
        <w:tc>
          <w:tcPr>
            <w:tcW w:w="5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109,485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168,332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 to income (loss) before income taxes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168,332</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(68,395)</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(76,108)</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(non-recurring)</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Non-cash stock based compensation</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other losses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71"/>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7,152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significant expense categories and amounts align with the segment level information regularly provided to the CODM.</w:t>
      </w:r>
    </w:p>
    <w:p>
      <w:pPr>
        <w:spacing w:after="0" w:line="55"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operating expenses include salary and employee benefits, depreciation and amortization, and selling, general and administrative expenses.</w:t>
      </w:r>
    </w:p>
    <w:p>
      <w:pPr>
        <w:spacing w:after="0" w:line="56"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for each reportable segment include other income, net and stock based compensation expense.</w:t>
      </w:r>
    </w:p>
    <w:p>
      <w:pPr>
        <w:spacing w:after="0" w:line="56"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for corporate items include: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 of cost of services (excludes depreciation and amortization)</w:t>
            </w: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(77,402)</w:t>
            </w: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7,423</w:t>
            </w:r>
          </w:p>
        </w:tc>
      </w:tr>
      <w:tr>
        <w:trPr>
          <w:trHeight w:val="180"/>
        </w:trPr>
        <w:tc>
          <w:tcPr>
            <w:tcW w:w="6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3</w:t>
            </w:r>
          </w:p>
        </w:tc>
        <w:tc>
          <w:tcPr>
            <w:tcW w:w="7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w:t>
            </w:r>
          </w:p>
        </w:tc>
      </w:tr>
      <w:tr>
        <w:trPr>
          <w:trHeight w:val="171"/>
        </w:trPr>
        <w:tc>
          <w:tcPr>
            <w:tcW w:w="660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(53,315)</w:t>
            </w:r>
          </w:p>
        </w:tc>
      </w:tr>
      <w:tr>
        <w:trPr>
          <w:trHeight w:val="20"/>
        </w:trPr>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500" w:hanging="240"/>
        <w:spacing w:after="0"/>
        <w:tabs>
          <w:tab w:leader="none" w:pos="500"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include other income, net, stock based compensation expense, selling, general and administrative (non-recurring expenses) and non-cash other losses.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92"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SMB Payments</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B2B</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340" w:type="dxa"/>
            <w:vAlign w:val="bottom"/>
          </w:tcPr>
          <w:p>
            <w:pPr>
              <w:spacing w:after="0"/>
              <w:rPr>
                <w:sz w:val="11"/>
                <w:szCs w:val="11"/>
                <w:color w:val="auto"/>
              </w:rPr>
            </w:pPr>
          </w:p>
        </w:tc>
        <w:tc>
          <w:tcPr>
            <w:tcW w:w="116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562,237</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82,514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663,641</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Elimination of intersegment revenues</w:t>
            </w: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562,237</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82,514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663,641</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Less: Cost of services (excludes depreciation and amortization)</w:t>
            </w:r>
            <w:r>
              <w:rPr>
                <w:rFonts w:ascii="Times New Roman" w:cs="Times New Roman" w:eastAsia="Times New Roman" w:hAnsi="Times New Roman"/>
                <w:sz w:val="18"/>
                <w:szCs w:val="18"/>
                <w:color w:val="auto"/>
                <w:vertAlign w:val="superscript"/>
              </w:rPr>
              <w:t>1,4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(422,387)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(436,753)</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Less: Other operating expenses</w:t>
            </w:r>
            <w:r>
              <w:rPr>
                <w:rFonts w:ascii="Times New Roman" w:cs="Times New Roman" w:eastAsia="Times New Roman" w:hAnsi="Times New Roman"/>
                <w:sz w:val="18"/>
                <w:szCs w:val="18"/>
                <w:color w:val="auto"/>
                <w:vertAlign w:val="superscript"/>
              </w:rPr>
              <w:t>1,2,4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(102,653)</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Add: Depreciation and amortization</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62,089</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 Other segment items</w:t>
            </w:r>
            <w:r>
              <w:rPr>
                <w:rFonts w:ascii="Times New Roman" w:cs="Times New Roman" w:eastAsia="Times New Roman" w:hAnsi="Times New Roman"/>
                <w:sz w:val="18"/>
                <w:szCs w:val="18"/>
                <w:color w:val="auto"/>
                <w:vertAlign w:val="superscript"/>
              </w:rPr>
              <w:t>2,3,4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Adjustment for corporate items</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(46,299)</w:t>
            </w:r>
          </w:p>
        </w:tc>
        <w:tc>
          <w:tcPr>
            <w:tcW w:w="0" w:type="dxa"/>
            <w:vAlign w:val="bottom"/>
          </w:tcPr>
          <w:p>
            <w:pPr>
              <w:spacing w:after="0"/>
              <w:rPr>
                <w:sz w:val="1"/>
                <w:szCs w:val="1"/>
                <w:color w:val="auto"/>
              </w:rPr>
            </w:pPr>
          </w:p>
        </w:tc>
      </w:tr>
      <w:tr>
        <w:trPr>
          <w:trHeight w:val="196"/>
        </w:trPr>
        <w:tc>
          <w:tcPr>
            <w:tcW w:w="5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117,429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140,302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 to income (loss) before income taxes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140,302</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(70,681)</w:t>
            </w:r>
          </w:p>
        </w:tc>
        <w:tc>
          <w:tcPr>
            <w:tcW w:w="0" w:type="dxa"/>
            <w:vAlign w:val="bottom"/>
          </w:tcPr>
          <w:p>
            <w:pPr>
              <w:spacing w:after="0"/>
              <w:rPr>
                <w:sz w:val="1"/>
                <w:szCs w:val="1"/>
                <w:color w:val="auto"/>
              </w:rPr>
            </w:pPr>
          </w:p>
        </w:tc>
      </w:tr>
      <w:tr>
        <w:trPr>
          <w:trHeight w:val="18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(53,554)</w:t>
            </w:r>
          </w:p>
        </w:tc>
        <w:tc>
          <w:tcPr>
            <w:tcW w:w="0" w:type="dxa"/>
            <w:vAlign w:val="bottom"/>
          </w:tcPr>
          <w:p>
            <w:pPr>
              <w:spacing w:after="0"/>
              <w:rPr>
                <w:sz w:val="1"/>
                <w:szCs w:val="1"/>
                <w:color w:val="auto"/>
              </w:rPr>
            </w:pPr>
          </w:p>
        </w:tc>
      </w:tr>
      <w:tr>
        <w:trPr>
          <w:trHeight w:val="18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(non-recurring)</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Non-cash stock based compensation</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hanging="240"/>
        <w:spacing w:after="0"/>
        <w:tabs>
          <w:tab w:leader="none" w:pos="50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significant expense categories and amounts align with the segment level information regularly provided to the CODM.</w:t>
      </w:r>
    </w:p>
    <w:p>
      <w:pPr>
        <w:spacing w:after="0" w:line="55"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operating expenses include salary and employee benefits, depreciation and amortization, and selling, general and administrative expenses.</w:t>
      </w:r>
    </w:p>
    <w:p>
      <w:pPr>
        <w:spacing w:after="0" w:line="56"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for each reportable segment include other income, net and stock based compensation expense.</w:t>
      </w:r>
    </w:p>
    <w:p>
      <w:pPr>
        <w:spacing w:after="0" w:line="56" w:lineRule="exact"/>
        <w:rPr>
          <w:rFonts w:ascii="Times New Roman" w:cs="Times New Roman" w:eastAsia="Times New Roman" w:hAnsi="Times New Roman"/>
          <w:sz w:val="18"/>
          <w:szCs w:val="18"/>
          <w:color w:val="auto"/>
          <w:vertAlign w:val="superscript"/>
        </w:rPr>
      </w:pPr>
    </w:p>
    <w:p>
      <w:pPr>
        <w:ind w:left="500" w:hanging="240"/>
        <w:spacing w:after="0" w:line="230" w:lineRule="auto"/>
        <w:tabs>
          <w:tab w:leader="none" w:pos="500" w:val="left"/>
        </w:tabs>
        <w:numPr>
          <w:ilvl w:val="0"/>
          <w:numId w:val="4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for corporate items include: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 of cost of services (excludes depreciation and amortization)</w:t>
            </w: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(68,070)</w:t>
            </w: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r>
      <w:tr>
        <w:trPr>
          <w:trHeight w:val="180"/>
        </w:trPr>
        <w:tc>
          <w:tcPr>
            <w:tcW w:w="6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3</w:t>
            </w:r>
          </w:p>
        </w:tc>
        <w:tc>
          <w:tcPr>
            <w:tcW w:w="70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13,179</w:t>
            </w:r>
          </w:p>
        </w:tc>
      </w:tr>
      <w:tr>
        <w:trPr>
          <w:trHeight w:val="171"/>
        </w:trPr>
        <w:tc>
          <w:tcPr>
            <w:tcW w:w="660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(46,299)</w:t>
            </w:r>
          </w:p>
        </w:tc>
      </w:tr>
      <w:tr>
        <w:trPr>
          <w:trHeight w:val="20"/>
        </w:trPr>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   (Loss) Earnings per Common Share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40"/>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set forth the computation of the Company's basic and diluted earnings (loss) per common share: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2"/>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r>
      <w:tr>
        <w:trPr>
          <w:trHeight w:val="171"/>
        </w:trPr>
        <w:tc>
          <w:tcPr>
            <w:tcW w:w="77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7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r>
      <w:tr>
        <w:trPr>
          <w:trHeight w:val="180"/>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Dividends, accretion, and related excise tax attributable to redeemable senior preferred stockholders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(36,880)</w:t>
            </w:r>
          </w:p>
        </w:tc>
      </w:tr>
      <w:tr>
        <w:trPr>
          <w:trHeight w:val="180"/>
        </w:trPr>
        <w:tc>
          <w:tcPr>
            <w:tcW w:w="7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NCI preferred unit redemptions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Earnings attributable to NCI</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shareholders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(23,960)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(49,055)</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(39,030)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2"/>
        </w:trPr>
        <w:tc>
          <w:tcPr>
            <w:tcW w:w="7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Denominator:</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77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Weighted-average common shares outstanding</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78,233</w:t>
            </w:r>
          </w:p>
        </w:tc>
      </w:tr>
      <w:tr>
        <w:trPr>
          <w:trHeight w:val="186"/>
        </w:trPr>
        <w:tc>
          <w:tcPr>
            <w:tcW w:w="7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Loss per common share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(0.31)</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(0.63)</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(0.50)</w:t>
            </w:r>
          </w:p>
        </w:tc>
      </w:tr>
    </w:tbl>
    <w:p>
      <w:pPr>
        <w:spacing w:after="0" w:line="155" w:lineRule="exact"/>
        <w:rPr>
          <w:sz w:val="20"/>
          <w:szCs w:val="20"/>
          <w:color w:val="auto"/>
        </w:rPr>
      </w:pPr>
    </w:p>
    <w:p>
      <w:pPr>
        <w:ind w:left="520" w:hanging="260"/>
        <w:spacing w:after="0"/>
        <w:tabs>
          <w:tab w:leader="none" w:pos="520" w:val="left"/>
        </w:tabs>
        <w:numPr>
          <w:ilvl w:val="0"/>
          <w:numId w:val="45"/>
        </w:numPr>
        <w:rPr>
          <w:rFonts w:ascii="Arial" w:cs="Arial" w:eastAsia="Arial" w:hAnsi="Arial"/>
          <w:sz w:val="22"/>
          <w:szCs w:val="22"/>
          <w:color w:val="auto"/>
          <w:vertAlign w:val="superscript"/>
        </w:rPr>
      </w:pPr>
      <w:r>
        <w:rPr>
          <w:rFonts w:ascii="Times New Roman" w:cs="Times New Roman" w:eastAsia="Times New Roman" w:hAnsi="Times New Roman"/>
          <w:sz w:val="14"/>
          <w:szCs w:val="14"/>
          <w:color w:val="auto"/>
        </w:rPr>
        <w:t xml:space="preserve">The weighted-average common shares outstanding includes 1,803,841 warrants issued in the second quarter of 2021 (refer to </w:t>
      </w:r>
      <w:r>
        <w:rPr>
          <w:rFonts w:ascii="Times New Roman" w:cs="Times New Roman" w:eastAsia="Times New Roman" w:hAnsi="Times New Roman"/>
          <w:sz w:val="14"/>
          <w:szCs w:val="14"/>
          <w:u w:val="single" w:color="auto"/>
          <w:color w:val="0000FF"/>
        </w:rPr>
        <w:t>Note 11, Redeemable Senior Preferred Stock and Warrants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Potentially anti-dilutive securities that were excluded from (loss) earnings per common share that could potentially be dilutive in future periods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74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Common Stock Equivalents at December 31,</w:t>
            </w:r>
          </w:p>
        </w:tc>
        <w:tc>
          <w:tcPr>
            <w:tcW w:w="940" w:type="dxa"/>
            <w:vAlign w:val="bottom"/>
            <w:tcBorders>
              <w:bottom w:val="single" w:sz="8" w:color="auto"/>
            </w:tcBorders>
          </w:tcPr>
          <w:p>
            <w:pPr>
              <w:spacing w:after="0"/>
              <w:rPr>
                <w:sz w:val="16"/>
                <w:szCs w:val="16"/>
                <w:color w:val="auto"/>
              </w:rPr>
            </w:pPr>
          </w:p>
        </w:tc>
      </w:tr>
      <w:tr>
        <w:trPr>
          <w:trHeight w:val="171"/>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6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Outstanding warrants on common stock</w:t>
            </w:r>
            <w:r>
              <w:rPr>
                <w:rFonts w:ascii="Times New Roman" w:cs="Times New Roman" w:eastAsia="Times New Roman" w:hAnsi="Times New Roman"/>
                <w:sz w:val="18"/>
                <w:szCs w:val="18"/>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w:t>
            </w:r>
          </w:p>
        </w:tc>
      </w:tr>
      <w:tr>
        <w:trPr>
          <w:trHeight w:val="180"/>
        </w:trPr>
        <w:tc>
          <w:tcPr>
            <w:tcW w:w="66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Outstanding options and warrants issued to adviser</w:t>
            </w:r>
            <w:r>
              <w:rPr>
                <w:rFonts w:ascii="Times New Roman" w:cs="Times New Roman" w:eastAsia="Times New Roman" w:hAnsi="Times New Roman"/>
                <w:sz w:val="18"/>
                <w:szCs w:val="18"/>
                <w:color w:val="auto"/>
                <w:vertAlign w:val="superscript"/>
              </w:rPr>
              <w:t>(2)</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0"/>
        </w:trPr>
        <w:tc>
          <w:tcPr>
            <w:tcW w:w="6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Restricted stock awards</w:t>
            </w:r>
            <w:r>
              <w:rPr>
                <w:rFonts w:ascii="Times New Roman" w:cs="Times New Roman" w:eastAsia="Times New Roman" w:hAnsi="Times New Roman"/>
                <w:sz w:val="18"/>
                <w:szCs w:val="18"/>
                <w:color w:val="auto"/>
                <w:vertAlign w:val="superscript"/>
              </w:rPr>
              <w:t>(3)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w:t>
            </w:r>
          </w:p>
        </w:tc>
      </w:tr>
      <w:tr>
        <w:trPr>
          <w:trHeight w:val="180"/>
        </w:trPr>
        <w:tc>
          <w:tcPr>
            <w:tcW w:w="66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Outstanding stock option awards</w:t>
            </w:r>
            <w:r>
              <w:rPr>
                <w:rFonts w:ascii="Times New Roman" w:cs="Times New Roman" w:eastAsia="Times New Roman" w:hAnsi="Times New Roman"/>
                <w:sz w:val="18"/>
                <w:szCs w:val="18"/>
                <w:color w:val="auto"/>
                <w:vertAlign w:val="superscript"/>
              </w:rPr>
              <w:t>(3)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7,694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00" w:hanging="240"/>
        <w:spacing w:after="0"/>
        <w:tabs>
          <w:tab w:leader="none" w:pos="500" w:val="left"/>
        </w:tabs>
        <w:numPr>
          <w:ilvl w:val="1"/>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 warrants were exercisable at $11.50 per share and expired on August 24, 2023. Refer to </w:t>
      </w:r>
      <w:r>
        <w:rPr>
          <w:rFonts w:ascii="Times New Roman" w:cs="Times New Roman" w:eastAsia="Times New Roman" w:hAnsi="Times New Roman"/>
          <w:sz w:val="14"/>
          <w:szCs w:val="14"/>
          <w:u w:val="single" w:color="auto"/>
          <w:color w:val="0000FF"/>
        </w:rPr>
        <w:t>Note 13. Shareholders' Deficit</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1"/>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 warrants and options were exercisable at $12.00 per share and expired on August 24, 2023. Refer </w:t>
      </w:r>
      <w:r>
        <w:rPr>
          <w:rFonts w:ascii="Times New Roman" w:cs="Times New Roman" w:eastAsia="Times New Roman" w:hAnsi="Times New Roman"/>
          <w:sz w:val="14"/>
          <w:szCs w:val="14"/>
          <w:u w:val="single" w:color="auto"/>
          <w:color w:val="0000FF"/>
        </w:rPr>
        <w:t>Note 13. Shareholders' Deficit</w:t>
      </w:r>
      <w:r>
        <w:rPr>
          <w:rFonts w:ascii="Times New Roman" w:cs="Times New Roman" w:eastAsia="Times New Roman" w:hAnsi="Times New Roman"/>
          <w:sz w:val="14"/>
          <w:szCs w:val="14"/>
          <w:color w:val="auto"/>
        </w:rPr>
        <w:t>.</w:t>
      </w:r>
    </w:p>
    <w:p>
      <w:pPr>
        <w:spacing w:after="0" w:line="2"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1"/>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Granted under the 2018 Plan.</w:t>
      </w:r>
    </w:p>
    <w:p>
      <w:pPr>
        <w:spacing w:after="0" w:line="345" w:lineRule="exact"/>
        <w:rPr>
          <w:rFonts w:ascii="Times New Roman" w:cs="Times New Roman" w:eastAsia="Times New Roman" w:hAnsi="Times New Roman"/>
          <w:sz w:val="18"/>
          <w:szCs w:val="18"/>
          <w:color w:val="auto"/>
          <w:vertAlign w:val="superscript"/>
        </w:rPr>
      </w:pPr>
    </w:p>
    <w:p>
      <w:pPr>
        <w:ind w:left="320" w:hanging="315"/>
        <w:spacing w:after="0"/>
        <w:tabs>
          <w:tab w:leader="none" w:pos="32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January 21, 2025, PRTH’s indirect subsidiary, Priority Canada Acquisition Company, Inc. (the "acquiring entity"), acquired 100% of the equity interest in Payslate Inc. (Canada), Rentmoola Payment Solutions LLC (U.S.), and Rentmoola Payment Solutions Ltd (United Kingdom) (jointly referred as "letus business") for a total purchase consideration of $11.0 million (including earn outs of $6.5 million which is in the nature of deferred consideration). The cash consideration of $4.5 million was funded by the cash flows of the Company. Considering the timing of the acquisition, the Company has not yet completed its preliminary acquisition accounting. The letus business is engaged in processing of rent payments for property management companies in the United States and Canada. The acquisition is aimed to provide an opportunity to expand Priority's services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3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Management, with the participation of the CEO and CFO, has evaluated the effectiveness of the Company's disclosure controls and procedures as of December 31, 2024. Based on that evaluation, the Company's CEO and CFO concluded that the Company's disclosure controls and procedures were not effective as of December 31, 2024, due to a material weakness in the internal control over financial reporting.</w:t>
      </w:r>
    </w:p>
    <w:p>
      <w:pPr>
        <w:spacing w:after="0" w:line="1"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4"/>
          <w:szCs w:val="14"/>
          <w:color w:val="auto"/>
        </w:rPr>
        <w:t>After giving full consideration to the material weakness, and the additional analyses and other procedures we performed to ensure that our Consolidated Financial Statements included in this Annual Report on Form 10-K were prepared in accordance with U.S. generally accepted accounting principles (“GAAP”), our management has concluded that our Consolidated Financial Statements present fairly, in all material respects, our financial position, results of operations and cash flows for the periods disclosed in conformity with GAAP.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Report of Management on Internal Control over Financial Reporting</w:t>
      </w:r>
    </w:p>
    <w:p>
      <w:pPr>
        <w:spacing w:after="0" w:line="15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 xml:space="preserve">Management is responsible for establishing and maintaining adequate internal control over financial reporting, as such term is defined in Rules 13a-15(f) and 15d-15(f) of the Exchange Act. Under the supervision and with the participation of our management, including our CEO and CFO, we evaluated the effectiveness of our internal control over financial reporting as of the end of the most recent fiscal year, December 31, 2024, utilizing the criteria set forth by the Committee of Sponsoring Organizations of the Treadway Commission in the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(2013). Based on this evaluation, management concluded that we did not maintain effective internal control over financial reporting as of December 31, 2024, due to a material weakness in internal control over financial reporting, as described below.</w:t>
      </w:r>
    </w:p>
    <w:p>
      <w:pPr>
        <w:spacing w:after="0" w:line="165"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Management has identified a material weakness related to the design and operation of certain automated controls (including related information technology general controls) for certain tools or applications involved in the transformation and ingestion of third-party processors’ data in the Company’s control environment. The ingested data is a key input for determination of merchant revenue (and related accounts receivable) and residual expense (and related accounts payable). Consequently, automated controls and IT dependent manual business process controls that rely upon information from the affected financial applications and processes were also deemed ineffective.</w:t>
      </w:r>
    </w:p>
    <w:p>
      <w:pPr>
        <w:spacing w:after="0" w:line="16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The control deficiencies did not result in any material misstatements to the consolidated financial statements and there were no changes to previously released financial results as a result of this material weakness. However, the control deficiencies described above created a reasonable possibility that a material misstatement to the consolidated financial statements would not be prevented or detected on a timely basis. Therefore, we concluded that the deficiencies represent a material weakness in the Company’s internal control over financial reporting.</w:t>
      </w:r>
    </w:p>
    <w:p>
      <w:pPr>
        <w:spacing w:after="0" w:line="157"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4"/>
          <w:szCs w:val="14"/>
          <w:color w:val="212529"/>
        </w:rPr>
        <w:t xml:space="preserve">Ernst &amp; Young LLP, an independent registered public accounting firm, has issued an attestation report on our internal control over financial reporting as of December 31, 2024 (see </w:t>
      </w:r>
      <w:r>
        <w:rPr>
          <w:rFonts w:ascii="Times New Roman" w:cs="Times New Roman" w:eastAsia="Times New Roman" w:hAnsi="Times New Roman"/>
          <w:sz w:val="14"/>
          <w:szCs w:val="14"/>
          <w:u w:val="single" w:color="auto"/>
          <w:color w:val="0000FF"/>
        </w:rPr>
        <w:t>Report of</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u w:val="single" w:color="auto"/>
          <w:color w:val="0000FF"/>
        </w:rPr>
        <w:t>Independent Registered Public Accounting Firm</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Efforts</w:t>
      </w:r>
    </w:p>
    <w:p>
      <w:pPr>
        <w:spacing w:after="0" w:line="15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Management is committed to remediating the material weakness in a timely manner. Our remediation process includes but is not limited to: (i) rationalizing access privileges across our affected systems; (ii) formalization of controls in our data transformation and ingestion process; and (iii) training of relevant personnel on the design and operation of any new or modified controls.</w:t>
      </w:r>
    </w:p>
    <w:p>
      <w:pPr>
        <w:spacing w:after="0" w:line="1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These steps are subject to ongoing management review, as well as oversight by the Audit Committee of our Board of Directors. Additional or modified measures may also be required to remediate the material weakness. We will not be able to conclude that we have completely remediated the material weakness until the applicable controls are fully implemented and have operated for a sufficient period and management has concluded, through formal testing, that the remediated controls are operating effectively. We expect to complete these remediation measures as early as practicable in fiscal 2025. We will continue to monitor the design and effectiveness of these and other processes, procedures, and controls and make any further changes management deems appropriate.</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5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Except for the identified material weakness, there were no changes in our internal control over financial reporting that occurred during the quarter ended December 31, 2024, that materially affected, or were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Director and Officer Trading Arrangements</w:t>
      </w:r>
    </w:p>
    <w:p>
      <w:pPr>
        <w:spacing w:after="0" w:line="181"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On June 16, 2023, Sean Kiewiet, an officer of the Company as defined in Section 16 of the Exchange Act, adopted a Rule 10b5-1 trading arrangement as defined in Item 408(a) of Regulation S-K. During the three months ended December 31, 2024,none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Officer or Director Name and Title</w:t>
            </w: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Plan Type</w:t>
            </w:r>
          </w:p>
        </w:tc>
        <w:tc>
          <w:tcPr>
            <w:tcW w:w="20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 to be sold</w:t>
            </w:r>
          </w:p>
        </w:tc>
        <w:tc>
          <w:tcPr>
            <w:tcW w:w="20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29"/>
        </w:trPr>
        <w:tc>
          <w:tcPr>
            <w:tcW w:w="25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Sean Kiewiet,</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r>
      <w:tr>
        <w:trPr>
          <w:trHeight w:val="191"/>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Strategy Officer</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Adopted</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Rule 10b5-1</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16, 2023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620,000</w:t>
            </w:r>
          </w:p>
        </w:tc>
        <w:tc>
          <w:tcPr>
            <w:tcW w:w="80" w:type="dxa"/>
            <w:vAlign w:val="bottom"/>
            <w:shd w:val="clear" w:color="auto" w:fill="CCEEFF"/>
          </w:tcPr>
          <w:p>
            <w:pPr>
              <w:spacing w:after="0"/>
              <w:rPr>
                <w:sz w:val="16"/>
                <w:szCs w:val="16"/>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Disclosures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called for by Item 10 is incorporated herein by reference to the definitive proxy statement relating to the Company's 2024 Annual Meeting of Shareholders. We intend to file such definitive proxy statement with the SEC pursuant to Regulation 14A within 120 days of the end of the fiscal year covered by this Annual Report on Form 10-K.</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Item 11 is incorporated herein by reference to the definitive proxy statement referenced above in Item 10.</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Item 12 is incorporated herein by reference to the definitive proxy statement referenced above in Item 10.</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Item 13 is incorporated herein by reference to the definitive proxy statement referenced above in Item 10.</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25" w:right="5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 and Financial Statement Schedules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(1) Our consolidated financial statements listed below are set forth in "</w:t>
      </w:r>
      <w:r>
        <w:rPr>
          <w:rFonts w:ascii="Times New Roman" w:cs="Times New Roman" w:eastAsia="Times New Roman" w:hAnsi="Times New Roman"/>
          <w:sz w:val="14"/>
          <w:szCs w:val="14"/>
          <w:u w:val="single" w:color="auto"/>
          <w:color w:val="0000FF"/>
        </w:rPr>
        <w:t>Item 8 - Financial Statements and Supplementary Data</w:t>
      </w:r>
      <w:r>
        <w:rPr>
          <w:rFonts w:ascii="Times New Roman" w:cs="Times New Roman" w:eastAsia="Times New Roman" w:hAnsi="Times New Roman"/>
          <w:sz w:val="14"/>
          <w:szCs w:val="14"/>
          <w:color w:val="auto"/>
        </w:rPr>
        <w:t>" of this Annual Report on Form 10-K: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73"/>
        </w:trPr>
        <w:tc>
          <w:tcPr>
            <w:tcW w:w="10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w:t>
            </w:r>
            <w:r>
              <w:rPr>
                <w:rFonts w:ascii="Times New Roman" w:cs="Times New Roman" w:eastAsia="Times New Roman" w:hAnsi="Times New Roman"/>
                <w:sz w:val="14"/>
                <w:szCs w:val="14"/>
                <w:color w:val="000000"/>
              </w:rPr>
              <w:t>EY</w:t>
            </w:r>
            <w:r>
              <w:rPr>
                <w:rFonts w:ascii="Times New Roman" w:cs="Times New Roman" w:eastAsia="Times New Roman" w:hAnsi="Times New Roman"/>
                <w:sz w:val="14"/>
                <w:szCs w:val="14"/>
                <w:color w:val="0000FF"/>
              </w:rPr>
              <w:t xml:space="preserve"> PCAOB ID: </w:t>
            </w:r>
            <w:r>
              <w:rPr>
                <w:rFonts w:ascii="Times New Roman" w:cs="Times New Roman" w:eastAsia="Times New Roman" w:hAnsi="Times New Roman"/>
                <w:sz w:val="14"/>
                <w:szCs w:val="14"/>
                <w:color w:val="000000"/>
              </w:rPr>
              <w:t>42</w:t>
            </w:r>
            <w:r>
              <w:rPr>
                <w:rFonts w:ascii="Times New Roman" w:cs="Times New Roman" w:eastAsia="Times New Roman" w:hAnsi="Times New Roman"/>
                <w:sz w:val="14"/>
                <w:szCs w:val="14"/>
                <w:color w:val="0000FF"/>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44</w:t>
            </w:r>
          </w:p>
        </w:tc>
      </w:tr>
      <w:tr>
        <w:trPr>
          <w:trHeight w:val="180"/>
        </w:trPr>
        <w:tc>
          <w:tcPr>
            <w:tcW w:w="10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Consolidated Balance Sheets as of December 31, 2024 and December 31, 2023</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48</w:t>
            </w:r>
          </w:p>
        </w:tc>
      </w:tr>
      <w:tr>
        <w:trPr>
          <w:trHeight w:val="180"/>
        </w:trPr>
        <w:tc>
          <w:tcPr>
            <w:tcW w:w="10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2024, 2023 and 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49</w:t>
            </w:r>
          </w:p>
        </w:tc>
      </w:tr>
      <w:tr>
        <w:trPr>
          <w:trHeight w:val="180"/>
        </w:trPr>
        <w:tc>
          <w:tcPr>
            <w:tcW w:w="10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Changes in Shareholders' Deficit and Non-Controlling Interests for the Years Ended December 31, 2024, 2023 and 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50</w:t>
            </w:r>
          </w:p>
        </w:tc>
      </w:tr>
      <w:tr>
        <w:trPr>
          <w:trHeight w:val="180"/>
        </w:trPr>
        <w:tc>
          <w:tcPr>
            <w:tcW w:w="10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2023 and 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52</w:t>
            </w:r>
          </w:p>
        </w:tc>
      </w:tr>
      <w:tr>
        <w:trPr>
          <w:trHeight w:val="184"/>
        </w:trPr>
        <w:tc>
          <w:tcPr>
            <w:tcW w:w="10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54</w:t>
            </w:r>
          </w:p>
        </w:tc>
      </w:tr>
      <w:tr>
        <w:trPr>
          <w:trHeight w:val="584"/>
        </w:trPr>
        <w:tc>
          <w:tcPr>
            <w:tcW w:w="10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 Financial Statement Schedule</w:t>
            </w:r>
          </w:p>
        </w:tc>
        <w:tc>
          <w:tcPr>
            <w:tcW w:w="700" w:type="dxa"/>
            <w:vAlign w:val="bottom"/>
          </w:tcPr>
          <w:p>
            <w:pPr>
              <w:spacing w:after="0"/>
              <w:rPr>
                <w:sz w:val="24"/>
                <w:szCs w:val="24"/>
                <w:color w:val="auto"/>
              </w:rPr>
            </w:pPr>
          </w:p>
        </w:tc>
      </w:tr>
      <w:tr>
        <w:trPr>
          <w:trHeight w:val="340"/>
        </w:trPr>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9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0"/>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Exhibits</w:t>
            </w:r>
          </w:p>
        </w:tc>
        <w:tc>
          <w:tcPr>
            <w:tcW w:w="9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tcPr>
          <w:p>
            <w:pPr>
              <w:spacing w:after="0"/>
              <w:rPr>
                <w:sz w:val="24"/>
                <w:szCs w:val="24"/>
                <w:color w:val="auto"/>
              </w:rPr>
            </w:pPr>
          </w:p>
        </w:tc>
      </w:tr>
      <w:tr>
        <w:trPr>
          <w:trHeight w:val="129"/>
        </w:trPr>
        <w:tc>
          <w:tcPr>
            <w:tcW w:w="1100" w:type="dxa"/>
            <w:vAlign w:val="bottom"/>
            <w:tcBorders>
              <w:top w:val="single" w:sz="8" w:color="auto"/>
            </w:tcBorders>
            <w:shd w:val="clear" w:color="auto" w:fill="CCEEFF"/>
          </w:tcPr>
          <w:p>
            <w:pPr>
              <w:ind w:left="20"/>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2.1</w:t>
              </w:r>
            </w:hyperlink>
          </w:p>
        </w:tc>
        <w:tc>
          <w:tcPr>
            <w:tcW w:w="80" w:type="dxa"/>
            <w:vAlign w:val="bottom"/>
            <w:tcBorders>
              <w:top w:val="single" w:sz="8" w:color="CCEEFF"/>
            </w:tcBorders>
            <w:shd w:val="clear" w:color="auto" w:fill="CCEEFF"/>
          </w:tcPr>
          <w:p>
            <w:pPr>
              <w:spacing w:after="0"/>
              <w:rPr>
                <w:sz w:val="11"/>
                <w:szCs w:val="11"/>
                <w:color w:val="auto"/>
              </w:rPr>
            </w:pPr>
          </w:p>
        </w:tc>
        <w:tc>
          <w:tcPr>
            <w:tcW w:w="10100" w:type="dxa"/>
            <w:vAlign w:val="bottom"/>
            <w:tcBorders>
              <w:top w:val="single" w:sz="8" w:color="auto"/>
            </w:tcBorders>
            <w:gridSpan w:val="2"/>
            <w:shd w:val="clear" w:color="auto" w:fill="CCEEFF"/>
          </w:tcPr>
          <w:p>
            <w:pPr>
              <w:ind w:left="20"/>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Second Amended and Restated Contribution Agreement, dated as of April 17, 2018, by and among Priority Investment Holdings, Priority Incentive Equity Holdings, LLC and M</w:t>
              </w:r>
            </w:hyperlink>
          </w:p>
        </w:tc>
      </w:tr>
      <w:tr>
        <w:trPr>
          <w:trHeight w:val="191"/>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I Acquisitions, Inc. (incorporated by reference to Annex A to the Company's Proxy Statement on Schedule 14(a), filed July 5, 2018).</w:t>
              </w:r>
            </w:hyperlink>
          </w:p>
        </w:tc>
        <w:tc>
          <w:tcPr>
            <w:tcW w:w="700" w:type="dxa"/>
            <w:vAlign w:val="bottom"/>
            <w:shd w:val="clear" w:color="auto" w:fill="CCEEFF"/>
          </w:tcPr>
          <w:p>
            <w:pPr>
              <w:spacing w:after="0"/>
              <w:rPr>
                <w:sz w:val="16"/>
                <w:szCs w:val="16"/>
                <w:color w:val="auto"/>
              </w:rPr>
            </w:pPr>
          </w:p>
        </w:tc>
      </w:tr>
      <w:tr>
        <w:trPr>
          <w:trHeight w:val="180"/>
        </w:trPr>
        <w:tc>
          <w:tcPr>
            <w:tcW w:w="1180" w:type="dxa"/>
            <w:vAlign w:val="bottom"/>
            <w:gridSpan w:val="2"/>
          </w:tcPr>
          <w:p>
            <w:pPr>
              <w:ind w:left="20"/>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 xml:space="preserve">2.2 </w:t>
              </w:r>
            </w:hyperlink>
            <w:r>
              <w:rPr>
                <w:rFonts w:ascii="Arial" w:cs="Arial" w:eastAsia="Arial" w:hAnsi="Arial"/>
                <w:sz w:val="14"/>
                <w:szCs w:val="14"/>
                <w:color w:val="000000"/>
              </w:rPr>
              <w:t>†</w:t>
            </w:r>
          </w:p>
        </w:tc>
        <w:tc>
          <w:tcPr>
            <w:tcW w:w="9400" w:type="dxa"/>
            <w:vAlign w:val="bottom"/>
          </w:tcPr>
          <w:p>
            <w:pPr>
              <w:ind w:left="20"/>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Agreement and Plan of Merger, dated as of March 5, 2021, by and among the Company, Finxera, Merger Sub, and the Equityholder Representative.</w:t>
              </w:r>
            </w:hyperlink>
          </w:p>
        </w:tc>
        <w:tc>
          <w:tcPr>
            <w:tcW w:w="700" w:type="dxa"/>
            <w:vAlign w:val="bottom"/>
          </w:tcPr>
          <w:p>
            <w:pPr>
              <w:spacing w:after="0"/>
              <w:rPr>
                <w:sz w:val="15"/>
                <w:szCs w:val="15"/>
                <w:color w:val="auto"/>
              </w:rPr>
            </w:pPr>
          </w:p>
        </w:tc>
      </w:tr>
      <w:tr>
        <w:trPr>
          <w:trHeight w:val="180"/>
        </w:trPr>
        <w:tc>
          <w:tcPr>
            <w:tcW w:w="11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2.3</w:t>
              </w:r>
            </w:hyperlink>
          </w:p>
        </w:tc>
        <w:tc>
          <w:tcPr>
            <w:tcW w:w="80" w:type="dxa"/>
            <w:vAlign w:val="bottom"/>
            <w:shd w:val="clear" w:color="auto" w:fill="CCEEFF"/>
          </w:tcPr>
          <w:p>
            <w:pPr>
              <w:spacing w:after="0"/>
              <w:rPr>
                <w:sz w:val="15"/>
                <w:szCs w:val="15"/>
                <w:color w:val="auto"/>
              </w:rPr>
            </w:pPr>
          </w:p>
        </w:tc>
        <w:tc>
          <w:tcPr>
            <w:tcW w:w="94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Certificate of Amendment to the Certificate of Incorporation of Priority Technology Holdings dated April 16, 2021, filed April 29, 2021</w:t>
              </w:r>
            </w:hyperlink>
            <w:r>
              <w:rPr>
                <w:rFonts w:ascii="Times New Roman" w:cs="Times New Roman" w:eastAsia="Times New Roman" w:hAnsi="Times New Roman"/>
                <w:sz w:val="14"/>
                <w:szCs w:val="14"/>
                <w:color w:val="000000"/>
              </w:rPr>
              <w:t>.</w:t>
            </w:r>
          </w:p>
        </w:tc>
        <w:tc>
          <w:tcPr>
            <w:tcW w:w="700" w:type="dxa"/>
            <w:vAlign w:val="bottom"/>
            <w:shd w:val="clear" w:color="auto" w:fill="CCEEFF"/>
          </w:tcPr>
          <w:p>
            <w:pPr>
              <w:spacing w:after="0"/>
              <w:rPr>
                <w:sz w:val="15"/>
                <w:szCs w:val="15"/>
                <w:color w:val="auto"/>
              </w:rPr>
            </w:pPr>
          </w:p>
        </w:tc>
      </w:tr>
      <w:tr>
        <w:trPr>
          <w:trHeight w:val="180"/>
        </w:trPr>
        <w:tc>
          <w:tcPr>
            <w:tcW w:w="1100" w:type="dxa"/>
            <w:vAlign w:val="bottom"/>
          </w:tcPr>
          <w:p>
            <w:pPr>
              <w:ind w:left="20"/>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2.4</w:t>
              </w:r>
            </w:hyperlink>
          </w:p>
        </w:tc>
        <w:tc>
          <w:tcPr>
            <w:tcW w:w="80" w:type="dxa"/>
            <w:vAlign w:val="bottom"/>
          </w:tcPr>
          <w:p>
            <w:pPr>
              <w:spacing w:after="0"/>
              <w:rPr>
                <w:sz w:val="15"/>
                <w:szCs w:val="15"/>
                <w:color w:val="auto"/>
              </w:rPr>
            </w:pPr>
          </w:p>
        </w:tc>
        <w:tc>
          <w:tcPr>
            <w:tcW w:w="9400" w:type="dxa"/>
            <w:vAlign w:val="bottom"/>
          </w:tcPr>
          <w:p>
            <w:pPr>
              <w:ind w:left="20"/>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Agreement and Plan of Merger by and among the Company, Finxera Holdings, Inc., Prime Warrior Acquisition Corp., and Stone Point Capital LLC.</w:t>
              </w:r>
            </w:hyperlink>
          </w:p>
        </w:tc>
        <w:tc>
          <w:tcPr>
            <w:tcW w:w="700" w:type="dxa"/>
            <w:vAlign w:val="bottom"/>
          </w:tcPr>
          <w:p>
            <w:pPr>
              <w:spacing w:after="0"/>
              <w:rPr>
                <w:sz w:val="15"/>
                <w:szCs w:val="15"/>
                <w:color w:val="auto"/>
              </w:rPr>
            </w:pPr>
          </w:p>
        </w:tc>
      </w:tr>
      <w:tr>
        <w:trPr>
          <w:trHeight w:val="138"/>
        </w:trPr>
        <w:tc>
          <w:tcPr>
            <w:tcW w:w="1100" w:type="dxa"/>
            <w:vAlign w:val="bottom"/>
            <w:shd w:val="clear" w:color="auto" w:fill="CCEEFF"/>
          </w:tcPr>
          <w:p>
            <w:pPr>
              <w:ind w:left="20"/>
              <w:spacing w:after="0" w:line="138"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3.1</w:t>
              </w:r>
            </w:hyperlink>
          </w:p>
        </w:tc>
        <w:tc>
          <w:tcPr>
            <w:tcW w:w="80" w:type="dxa"/>
            <w:vAlign w:val="bottom"/>
            <w:shd w:val="clear" w:color="auto" w:fill="CCEEFF"/>
          </w:tcPr>
          <w:p>
            <w:pPr>
              <w:spacing w:after="0"/>
              <w:rPr>
                <w:sz w:val="11"/>
                <w:szCs w:val="11"/>
                <w:color w:val="auto"/>
              </w:rPr>
            </w:pPr>
          </w:p>
        </w:tc>
        <w:tc>
          <w:tcPr>
            <w:tcW w:w="10100" w:type="dxa"/>
            <w:vAlign w:val="bottom"/>
            <w:gridSpan w:val="2"/>
            <w:shd w:val="clear" w:color="auto" w:fill="CCEEFF"/>
          </w:tcPr>
          <w:p>
            <w:pPr>
              <w:ind w:left="20"/>
              <w:spacing w:after="0" w:line="138"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Second Amended and Restated Certificate of Incorporation of Priority Technology Holdings, Inc. (incorporated by reference to Exhibit 3.1 to the Company's Current Report on</w:t>
              </w:r>
            </w:hyperlink>
          </w:p>
        </w:tc>
      </w:tr>
      <w:tr>
        <w:trPr>
          <w:trHeight w:val="191"/>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8-K, filed July 31, 2018).</w:t>
              </w:r>
            </w:hyperlink>
          </w:p>
        </w:tc>
        <w:tc>
          <w:tcPr>
            <w:tcW w:w="700" w:type="dxa"/>
            <w:vAlign w:val="bottom"/>
            <w:shd w:val="clear" w:color="auto" w:fill="CCEEFF"/>
          </w:tcPr>
          <w:p>
            <w:pPr>
              <w:spacing w:after="0"/>
              <w:rPr>
                <w:sz w:val="16"/>
                <w:szCs w:val="16"/>
                <w:color w:val="auto"/>
              </w:rPr>
            </w:pPr>
          </w:p>
        </w:tc>
      </w:tr>
      <w:tr>
        <w:trPr>
          <w:trHeight w:val="138"/>
        </w:trPr>
        <w:tc>
          <w:tcPr>
            <w:tcW w:w="1100" w:type="dxa"/>
            <w:vAlign w:val="bottom"/>
          </w:tcPr>
          <w:p>
            <w:pPr>
              <w:ind w:left="20"/>
              <w:spacing w:after="0" w:line="138"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3.2</w:t>
              </w:r>
            </w:hyperlink>
          </w:p>
        </w:tc>
        <w:tc>
          <w:tcPr>
            <w:tcW w:w="80" w:type="dxa"/>
            <w:vAlign w:val="bottom"/>
          </w:tcPr>
          <w:p>
            <w:pPr>
              <w:spacing w:after="0"/>
              <w:rPr>
                <w:sz w:val="11"/>
                <w:szCs w:val="11"/>
                <w:color w:val="auto"/>
              </w:rPr>
            </w:pPr>
          </w:p>
        </w:tc>
        <w:tc>
          <w:tcPr>
            <w:tcW w:w="10100" w:type="dxa"/>
            <w:vAlign w:val="bottom"/>
            <w:gridSpan w:val="2"/>
          </w:tcPr>
          <w:p>
            <w:pPr>
              <w:ind w:left="20"/>
              <w:spacing w:after="0" w:line="138"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Amended and Restated Bylaws of Priority Technology Holdings, Inc. (incorporated by reference to Exhibit 3.2 to the Company's Current Report on Form 8-K, filed July 31,</w:t>
              </w:r>
            </w:hyperlink>
          </w:p>
        </w:tc>
      </w:tr>
      <w:tr>
        <w:trPr>
          <w:trHeight w:val="184"/>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0" w:type="dxa"/>
            <w:vAlign w:val="bottom"/>
          </w:tcPr>
          <w:p>
            <w:pPr>
              <w:ind w:left="20"/>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2018).</w:t>
              </w:r>
            </w:hyperlink>
          </w:p>
        </w:tc>
        <w:tc>
          <w:tcPr>
            <w:tcW w:w="700" w:type="dxa"/>
            <w:vAlign w:val="bottom"/>
          </w:tcPr>
          <w:p>
            <w:pPr>
              <w:spacing w:after="0"/>
              <w:rPr>
                <w:sz w:val="16"/>
                <w:szCs w:val="16"/>
                <w:color w:val="auto"/>
              </w:rPr>
            </w:pPr>
          </w:p>
        </w:tc>
      </w:tr>
      <w:tr>
        <w:trPr>
          <w:trHeight w:val="187"/>
        </w:trPr>
        <w:tc>
          <w:tcPr>
            <w:tcW w:w="11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3.3</w:t>
              </w:r>
            </w:hyperlink>
          </w:p>
        </w:tc>
        <w:tc>
          <w:tcPr>
            <w:tcW w:w="80" w:type="dxa"/>
            <w:vAlign w:val="bottom"/>
            <w:shd w:val="clear" w:color="auto" w:fill="CCEEFF"/>
          </w:tcPr>
          <w:p>
            <w:pPr>
              <w:spacing w:after="0"/>
              <w:rPr>
                <w:sz w:val="16"/>
                <w:szCs w:val="16"/>
                <w:color w:val="auto"/>
              </w:rPr>
            </w:pPr>
          </w:p>
        </w:tc>
        <w:tc>
          <w:tcPr>
            <w:tcW w:w="94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Certificate of Designations of Senior Preferred Stock</w:t>
              </w:r>
            </w:hyperlink>
            <w:r>
              <w:rPr>
                <w:rFonts w:ascii="Times New Roman" w:cs="Times New Roman" w:eastAsia="Times New Roman" w:hAnsi="Times New Roman"/>
                <w:sz w:val="14"/>
                <w:szCs w:val="14"/>
                <w:color w:val="000000"/>
              </w:rPr>
              <w:t>.</w:t>
            </w:r>
          </w:p>
        </w:tc>
        <w:tc>
          <w:tcPr>
            <w:tcW w:w="700" w:type="dxa"/>
            <w:vAlign w:val="bottom"/>
            <w:shd w:val="clear" w:color="auto" w:fill="CCEEFF"/>
          </w:tcPr>
          <w:p>
            <w:pPr>
              <w:spacing w:after="0"/>
              <w:rPr>
                <w:sz w:val="16"/>
                <w:szCs w:val="16"/>
                <w:color w:val="auto"/>
              </w:rPr>
            </w:pPr>
          </w:p>
        </w:tc>
      </w:tr>
      <w:tr>
        <w:trPr>
          <w:trHeight w:val="180"/>
        </w:trPr>
        <w:tc>
          <w:tcPr>
            <w:tcW w:w="1100" w:type="dxa"/>
            <w:vAlign w:val="bottom"/>
          </w:tcPr>
          <w:p>
            <w:pPr>
              <w:ind w:left="20"/>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4.1</w:t>
              </w:r>
            </w:hyperlink>
          </w:p>
        </w:tc>
        <w:tc>
          <w:tcPr>
            <w:tcW w:w="80" w:type="dxa"/>
            <w:vAlign w:val="bottom"/>
          </w:tcPr>
          <w:p>
            <w:pPr>
              <w:spacing w:after="0"/>
              <w:rPr>
                <w:sz w:val="15"/>
                <w:szCs w:val="15"/>
                <w:color w:val="auto"/>
              </w:rPr>
            </w:pPr>
          </w:p>
        </w:tc>
        <w:tc>
          <w:tcPr>
            <w:tcW w:w="9400" w:type="dxa"/>
            <w:vAlign w:val="bottom"/>
          </w:tcPr>
          <w:p>
            <w:pPr>
              <w:ind w:left="20"/>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Specimen Unit Certificate (incorporated by reference to Exhibit 4.1 to the Registration Statement on Form S-1, filed July 26, 2016</w:t>
              </w:r>
            </w:hyperlink>
            <w:r>
              <w:rPr>
                <w:rFonts w:ascii="Times New Roman" w:cs="Times New Roman" w:eastAsia="Times New Roman" w:hAnsi="Times New Roman"/>
                <w:sz w:val="14"/>
                <w:szCs w:val="14"/>
                <w:color w:val="000000"/>
              </w:rPr>
              <w:t>).</w:t>
            </w:r>
          </w:p>
        </w:tc>
        <w:tc>
          <w:tcPr>
            <w:tcW w:w="700" w:type="dxa"/>
            <w:vAlign w:val="bottom"/>
          </w:tcPr>
          <w:p>
            <w:pPr>
              <w:spacing w:after="0"/>
              <w:rPr>
                <w:sz w:val="15"/>
                <w:szCs w:val="15"/>
                <w:color w:val="auto"/>
              </w:rPr>
            </w:pPr>
          </w:p>
        </w:tc>
      </w:tr>
      <w:tr>
        <w:trPr>
          <w:trHeight w:val="180"/>
        </w:trPr>
        <w:tc>
          <w:tcPr>
            <w:tcW w:w="11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4.2</w:t>
              </w:r>
            </w:hyperlink>
          </w:p>
        </w:tc>
        <w:tc>
          <w:tcPr>
            <w:tcW w:w="80" w:type="dxa"/>
            <w:vAlign w:val="bottom"/>
            <w:shd w:val="clear" w:color="auto" w:fill="CCEEFF"/>
          </w:tcPr>
          <w:p>
            <w:pPr>
              <w:spacing w:after="0"/>
              <w:rPr>
                <w:sz w:val="15"/>
                <w:szCs w:val="15"/>
                <w:color w:val="auto"/>
              </w:rPr>
            </w:pPr>
          </w:p>
        </w:tc>
        <w:tc>
          <w:tcPr>
            <w:tcW w:w="94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Specimen Common Stock Certificate (incorporated by reference to Exhibit 4.2 to the Registration Statement on Form S-1, filed July 26, 2016).</w:t>
              </w:r>
            </w:hyperlink>
          </w:p>
        </w:tc>
        <w:tc>
          <w:tcPr>
            <w:tcW w:w="700" w:type="dxa"/>
            <w:vAlign w:val="bottom"/>
            <w:shd w:val="clear" w:color="auto" w:fill="CCEEFF"/>
          </w:tcPr>
          <w:p>
            <w:pPr>
              <w:spacing w:after="0"/>
              <w:rPr>
                <w:sz w:val="15"/>
                <w:szCs w:val="15"/>
                <w:color w:val="auto"/>
              </w:rPr>
            </w:pPr>
          </w:p>
        </w:tc>
      </w:tr>
      <w:tr>
        <w:trPr>
          <w:trHeight w:val="180"/>
        </w:trPr>
        <w:tc>
          <w:tcPr>
            <w:tcW w:w="1100" w:type="dxa"/>
            <w:vAlign w:val="bottom"/>
          </w:tcPr>
          <w:p>
            <w:pPr>
              <w:ind w:left="20"/>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4.3</w:t>
              </w:r>
            </w:hyperlink>
          </w:p>
        </w:tc>
        <w:tc>
          <w:tcPr>
            <w:tcW w:w="80" w:type="dxa"/>
            <w:vAlign w:val="bottom"/>
          </w:tcPr>
          <w:p>
            <w:pPr>
              <w:spacing w:after="0"/>
              <w:rPr>
                <w:sz w:val="15"/>
                <w:szCs w:val="15"/>
                <w:color w:val="auto"/>
              </w:rPr>
            </w:pPr>
          </w:p>
        </w:tc>
        <w:tc>
          <w:tcPr>
            <w:tcW w:w="9400" w:type="dxa"/>
            <w:vAlign w:val="bottom"/>
          </w:tcPr>
          <w:p>
            <w:pPr>
              <w:ind w:left="20"/>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Specimen Warrant Certificate (incorporated by reference to Exhibit 4.3 to the Registration Statement on Form S-1, filed July 26, 2016).</w:t>
              </w:r>
            </w:hyperlink>
          </w:p>
        </w:tc>
        <w:tc>
          <w:tcPr>
            <w:tcW w:w="700" w:type="dxa"/>
            <w:vAlign w:val="bottom"/>
          </w:tcPr>
          <w:p>
            <w:pPr>
              <w:spacing w:after="0"/>
              <w:rPr>
                <w:sz w:val="15"/>
                <w:szCs w:val="15"/>
                <w:color w:val="auto"/>
              </w:rPr>
            </w:pPr>
          </w:p>
        </w:tc>
      </w:tr>
      <w:tr>
        <w:trPr>
          <w:trHeight w:val="138"/>
        </w:trPr>
        <w:tc>
          <w:tcPr>
            <w:tcW w:w="1100" w:type="dxa"/>
            <w:vAlign w:val="bottom"/>
            <w:shd w:val="clear" w:color="auto" w:fill="CCEEFF"/>
          </w:tcPr>
          <w:p>
            <w:pPr>
              <w:ind w:left="20"/>
              <w:spacing w:after="0" w:line="138"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4.4</w:t>
              </w:r>
            </w:hyperlink>
          </w:p>
        </w:tc>
        <w:tc>
          <w:tcPr>
            <w:tcW w:w="80" w:type="dxa"/>
            <w:vAlign w:val="bottom"/>
            <w:shd w:val="clear" w:color="auto" w:fill="CCEEFF"/>
          </w:tcPr>
          <w:p>
            <w:pPr>
              <w:spacing w:after="0"/>
              <w:rPr>
                <w:sz w:val="11"/>
                <w:szCs w:val="11"/>
                <w:color w:val="auto"/>
              </w:rPr>
            </w:pPr>
          </w:p>
        </w:tc>
        <w:tc>
          <w:tcPr>
            <w:tcW w:w="10100" w:type="dxa"/>
            <w:vAlign w:val="bottom"/>
            <w:gridSpan w:val="2"/>
            <w:shd w:val="clear" w:color="auto" w:fill="CCEEFF"/>
          </w:tcPr>
          <w:p>
            <w:pPr>
              <w:ind w:left="20"/>
              <w:spacing w:after="0" w:line="138"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Warrant Agreement, dated September 13, 2016, by and between American Stock Transfer &amp; Trust Company, LLC and the Registrant (incorporated by reference to Exhibit 4.1 to</w:t>
              </w:r>
            </w:hyperlink>
          </w:p>
        </w:tc>
      </w:tr>
      <w:tr>
        <w:trPr>
          <w:trHeight w:val="191"/>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the Current Report on Form 8-K, filed September 16, 2016).</w:t>
              </w:r>
            </w:hyperlink>
          </w:p>
        </w:tc>
        <w:tc>
          <w:tcPr>
            <w:tcW w:w="700" w:type="dxa"/>
            <w:vAlign w:val="bottom"/>
            <w:shd w:val="clear" w:color="auto" w:fill="CCEEFF"/>
          </w:tcPr>
          <w:p>
            <w:pPr>
              <w:spacing w:after="0"/>
              <w:rPr>
                <w:sz w:val="16"/>
                <w:szCs w:val="16"/>
                <w:color w:val="auto"/>
              </w:rPr>
            </w:pPr>
          </w:p>
        </w:tc>
      </w:tr>
      <w:tr>
        <w:trPr>
          <w:trHeight w:val="180"/>
        </w:trPr>
        <w:tc>
          <w:tcPr>
            <w:tcW w:w="1100" w:type="dxa"/>
            <w:vAlign w:val="bottom"/>
          </w:tcPr>
          <w:p>
            <w:pPr>
              <w:ind w:left="20"/>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4.5</w:t>
              </w:r>
            </w:hyperlink>
          </w:p>
        </w:tc>
        <w:tc>
          <w:tcPr>
            <w:tcW w:w="80" w:type="dxa"/>
            <w:vAlign w:val="bottom"/>
          </w:tcPr>
          <w:p>
            <w:pPr>
              <w:spacing w:after="0"/>
              <w:rPr>
                <w:sz w:val="15"/>
                <w:szCs w:val="15"/>
                <w:color w:val="auto"/>
              </w:rPr>
            </w:pPr>
          </w:p>
        </w:tc>
        <w:tc>
          <w:tcPr>
            <w:tcW w:w="9400" w:type="dxa"/>
            <w:vAlign w:val="bottom"/>
          </w:tcPr>
          <w:p>
            <w:pPr>
              <w:ind w:left="20"/>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Description of Securities</w:t>
              </w:r>
            </w:hyperlink>
            <w:r>
              <w:rPr>
                <w:rFonts w:ascii="Times New Roman" w:cs="Times New Roman" w:eastAsia="Times New Roman" w:hAnsi="Times New Roman"/>
                <w:sz w:val="14"/>
                <w:szCs w:val="14"/>
                <w:color w:val="000000"/>
              </w:rPr>
              <w:t>.</w:t>
            </w:r>
          </w:p>
        </w:tc>
        <w:tc>
          <w:tcPr>
            <w:tcW w:w="700" w:type="dxa"/>
            <w:vAlign w:val="bottom"/>
          </w:tcPr>
          <w:p>
            <w:pPr>
              <w:spacing w:after="0"/>
              <w:rPr>
                <w:sz w:val="15"/>
                <w:szCs w:val="15"/>
                <w:color w:val="auto"/>
              </w:rPr>
            </w:pPr>
          </w:p>
        </w:tc>
      </w:tr>
      <w:tr>
        <w:trPr>
          <w:trHeight w:val="180"/>
        </w:trPr>
        <w:tc>
          <w:tcPr>
            <w:tcW w:w="11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4.6</w:t>
              </w:r>
            </w:hyperlink>
          </w:p>
        </w:tc>
        <w:tc>
          <w:tcPr>
            <w:tcW w:w="80" w:type="dxa"/>
            <w:vAlign w:val="bottom"/>
            <w:shd w:val="clear" w:color="auto" w:fill="CCEEFF"/>
          </w:tcPr>
          <w:p>
            <w:pPr>
              <w:spacing w:after="0"/>
              <w:rPr>
                <w:sz w:val="15"/>
                <w:szCs w:val="15"/>
                <w:color w:val="auto"/>
              </w:rPr>
            </w:pPr>
          </w:p>
        </w:tc>
        <w:tc>
          <w:tcPr>
            <w:tcW w:w="940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Warrant</w:t>
              </w:r>
            </w:hyperlink>
            <w:r>
              <w:rPr>
                <w:rFonts w:ascii="Times New Roman" w:cs="Times New Roman" w:eastAsia="Times New Roman" w:hAnsi="Times New Roman"/>
                <w:sz w:val="14"/>
                <w:szCs w:val="14"/>
                <w:color w:val="000000"/>
              </w:rPr>
              <w:t>.</w:t>
            </w:r>
          </w:p>
        </w:tc>
        <w:tc>
          <w:tcPr>
            <w:tcW w:w="7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ind w:left="20"/>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10.1</w:t>
              </w:r>
            </w:hyperlink>
          </w:p>
        </w:tc>
        <w:tc>
          <w:tcPr>
            <w:tcW w:w="440" w:type="dxa"/>
            <w:vAlign w:val="bottom"/>
          </w:tcPr>
          <w:p>
            <w:pPr>
              <w:spacing w:after="0"/>
              <w:rPr>
                <w:sz w:val="13"/>
                <w:szCs w:val="13"/>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Registration Rights Agreement dated as of July 25, 2018 by and among M I Acquisitions, Inc. and the other parties thereto (incorporated by reference to Exhibit 10.1 to the</w:t>
              </w:r>
            </w:hyperlink>
          </w:p>
        </w:tc>
      </w:tr>
      <w:tr>
        <w:trPr>
          <w:trHeight w:val="187"/>
        </w:trPr>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Company's Current Report on Form 8-K, filed July 31, 2018).</w:t>
              </w:r>
            </w:hyperlink>
          </w:p>
        </w:tc>
      </w:tr>
      <w:tr>
        <w:trPr>
          <w:trHeight w:val="184"/>
        </w:trPr>
        <w:tc>
          <w:tcPr>
            <w:tcW w:w="820" w:type="dxa"/>
            <w:vAlign w:val="bottom"/>
            <w:gridSpan w:val="2"/>
            <w:shd w:val="clear" w:color="auto" w:fill="CCEEFF"/>
          </w:tcPr>
          <w:p>
            <w:pPr>
              <w:ind w:left="20"/>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 xml:space="preserve">10.2 </w:t>
              </w:r>
            </w:hyperlink>
            <w:r>
              <w:rPr>
                <w:rFonts w:ascii="Arial" w:cs="Arial" w:eastAsia="Arial" w:hAnsi="Arial"/>
                <w:sz w:val="14"/>
                <w:szCs w:val="14"/>
                <w:color w:val="000000"/>
              </w:rPr>
              <w:t>†</w:t>
            </w: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Priority Technology Holdings, Inc. 2018 Equity Incentive Plan (incorporated by reference to Exhibit 10.2 to the Company's Current Report on Form 8-K, filed July 31, 2018).</w:t>
              </w:r>
            </w:hyperlink>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10.3</w:t>
              </w:r>
            </w:hyperlink>
          </w:p>
        </w:tc>
        <w:tc>
          <w:tcPr>
            <w:tcW w:w="440" w:type="dxa"/>
            <w:vAlign w:val="bottom"/>
          </w:tcPr>
          <w:p>
            <w:pPr>
              <w:spacing w:after="0"/>
              <w:rPr>
                <w:sz w:val="15"/>
                <w:szCs w:val="15"/>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Priority Technology Holdings, Inc. 2021 Employee Stock Purchase Plan</w:t>
              </w:r>
            </w:hyperlink>
            <w:r>
              <w:rPr>
                <w:rFonts w:ascii="Times New Roman" w:cs="Times New Roman" w:eastAsia="Times New Roman" w:hAnsi="Times New Roman"/>
                <w:sz w:val="14"/>
                <w:szCs w:val="14"/>
                <w:color w:val="000000"/>
              </w:rPr>
              <w:t>.</w:t>
            </w:r>
          </w:p>
        </w:tc>
      </w:tr>
      <w:tr>
        <w:trPr>
          <w:trHeight w:val="180"/>
        </w:trPr>
        <w:tc>
          <w:tcPr>
            <w:tcW w:w="380" w:type="dxa"/>
            <w:vAlign w:val="bottom"/>
            <w:shd w:val="clear" w:color="auto" w:fill="CCEEFF"/>
          </w:tcPr>
          <w:p>
            <w:pPr>
              <w:ind w:left="20"/>
              <w:spacing w:after="0"/>
              <w:rPr>
                <w:rFonts w:ascii="Times New Roman" w:cs="Times New Roman" w:eastAsia="Times New Roman" w:hAnsi="Times New Roman"/>
                <w:sz w:val="14"/>
                <w:szCs w:val="14"/>
                <w:color w:val="0000FF"/>
                <w:w w:val="96"/>
              </w:rPr>
            </w:pPr>
            <w:hyperlink r:id="rId144">
              <w:r>
                <w:rPr>
                  <w:rFonts w:ascii="Times New Roman" w:cs="Times New Roman" w:eastAsia="Times New Roman" w:hAnsi="Times New Roman"/>
                  <w:sz w:val="14"/>
                  <w:szCs w:val="14"/>
                  <w:color w:val="0000FF"/>
                  <w:w w:val="96"/>
                </w:rPr>
                <w:t>10.3.1</w:t>
              </w:r>
            </w:hyperlink>
          </w:p>
        </w:tc>
        <w:tc>
          <w:tcPr>
            <w:tcW w:w="440" w:type="dxa"/>
            <w:vAlign w:val="bottom"/>
            <w:shd w:val="clear" w:color="auto" w:fill="CCEEFF"/>
          </w:tcPr>
          <w:p>
            <w:pPr>
              <w:spacing w:after="0"/>
              <w:rPr>
                <w:sz w:val="15"/>
                <w:szCs w:val="15"/>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Amendment No. 1 to Priority Technology Holdings, Inc. 2021 Employee Stock Purchase Plan</w:t>
              </w:r>
            </w:hyperlink>
            <w:r>
              <w:rPr>
                <w:rFonts w:ascii="Times New Roman" w:cs="Times New Roman" w:eastAsia="Times New Roman" w:hAnsi="Times New Roman"/>
                <w:sz w:val="14"/>
                <w:szCs w:val="14"/>
                <w:color w:val="000000"/>
              </w:rPr>
              <w:t>.</w:t>
            </w:r>
          </w:p>
        </w:tc>
      </w:tr>
      <w:tr>
        <w:trPr>
          <w:trHeight w:val="180"/>
        </w:trPr>
        <w:tc>
          <w:tcPr>
            <w:tcW w:w="820" w:type="dxa"/>
            <w:vAlign w:val="bottom"/>
            <w:gridSpan w:val="2"/>
          </w:tcPr>
          <w:p>
            <w:pPr>
              <w:ind w:left="20"/>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 xml:space="preserve">10.4 </w:t>
              </w:r>
            </w:hyperlink>
            <w:r>
              <w:rPr>
                <w:rFonts w:ascii="Arial" w:cs="Arial" w:eastAsia="Arial" w:hAnsi="Arial"/>
                <w:sz w:val="14"/>
                <w:szCs w:val="14"/>
                <w:color w:val="000000"/>
              </w:rPr>
              <w:t>†</w:t>
            </w:r>
          </w:p>
        </w:tc>
        <w:tc>
          <w:tcPr>
            <w:tcW w:w="10460" w:type="dxa"/>
            <w:vAlign w:val="bottom"/>
          </w:tcPr>
          <w:p>
            <w:pPr>
              <w:ind w:left="380"/>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Credit Agreement, dated as of April 27, 2021, among the Loan Parties name therein and Truist Bank.</w:t>
              </w:r>
            </w:hyperlink>
          </w:p>
        </w:tc>
      </w:tr>
      <w:tr>
        <w:trPr>
          <w:trHeight w:val="138"/>
        </w:trPr>
        <w:tc>
          <w:tcPr>
            <w:tcW w:w="820" w:type="dxa"/>
            <w:vAlign w:val="bottom"/>
            <w:gridSpan w:val="2"/>
            <w:shd w:val="clear" w:color="auto" w:fill="CCEEFF"/>
          </w:tcPr>
          <w:p>
            <w:pPr>
              <w:ind w:left="20"/>
              <w:spacing w:after="0" w:line="138"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 xml:space="preserve">10.5 </w:t>
              </w:r>
            </w:hyperlink>
            <w:r>
              <w:rPr>
                <w:rFonts w:ascii="Arial" w:cs="Arial" w:eastAsia="Arial" w:hAnsi="Arial"/>
                <w:sz w:val="14"/>
                <w:szCs w:val="14"/>
                <w:color w:val="000000"/>
              </w:rPr>
              <w:t>†</w:t>
            </w:r>
          </w:p>
        </w:tc>
        <w:tc>
          <w:tcPr>
            <w:tcW w:w="10460" w:type="dxa"/>
            <w:vAlign w:val="bottom"/>
            <w:shd w:val="clear" w:color="auto" w:fill="CCEEFF"/>
          </w:tcPr>
          <w:p>
            <w:pPr>
              <w:ind w:left="380"/>
              <w:spacing w:after="0" w:line="138"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Director Agreement by and among Priority Holdings LLC, Pipeline Cynergy Holdings, LLC, Priority Payment Systems Holdings, LLC and Thomas C. Priore, dated May 21,</w:t>
              </w:r>
            </w:hyperlink>
          </w:p>
        </w:tc>
      </w:tr>
      <w:tr>
        <w:trPr>
          <w:trHeight w:val="191"/>
        </w:trPr>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2014 (incorporated by reference to Exhibit 10.6 to the Company's Registration Statement on Form S-4/A, filed December 26, 2018).</w:t>
              </w:r>
            </w:hyperlink>
          </w:p>
        </w:tc>
      </w:tr>
      <w:tr>
        <w:trPr>
          <w:trHeight w:val="138"/>
        </w:trPr>
        <w:tc>
          <w:tcPr>
            <w:tcW w:w="820" w:type="dxa"/>
            <w:vAlign w:val="bottom"/>
            <w:gridSpan w:val="2"/>
          </w:tcPr>
          <w:p>
            <w:pPr>
              <w:ind w:left="20"/>
              <w:spacing w:after="0" w:line="138"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 xml:space="preserve">10.6 </w:t>
              </w:r>
            </w:hyperlink>
            <w:r>
              <w:rPr>
                <w:rFonts w:ascii="Arial" w:cs="Arial" w:eastAsia="Arial" w:hAnsi="Arial"/>
                <w:sz w:val="14"/>
                <w:szCs w:val="14"/>
                <w:color w:val="000000"/>
              </w:rPr>
              <w:t>†</w:t>
            </w:r>
          </w:p>
        </w:tc>
        <w:tc>
          <w:tcPr>
            <w:tcW w:w="10460" w:type="dxa"/>
            <w:vAlign w:val="bottom"/>
          </w:tcPr>
          <w:p>
            <w:pPr>
              <w:ind w:left="380"/>
              <w:spacing w:after="0" w:line="138"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Amendment No. 1 to Director Agreement by and among Priority Holdings LLC, Pipeline Cynergy Holdings, LLC, Priority Payment Systems Holdings, LLC and Thomas C.</w:t>
              </w:r>
            </w:hyperlink>
          </w:p>
        </w:tc>
      </w:tr>
      <w:tr>
        <w:trPr>
          <w:trHeight w:val="187"/>
        </w:trPr>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Priore, dated April 19, 2018 (incorporated by reference to Exhibit 10.7 to the Company's Registration Statement on Form S-4/A, filed December 26, 2018).</w:t>
              </w:r>
            </w:hyperlink>
          </w:p>
        </w:tc>
      </w:tr>
      <w:tr>
        <w:trPr>
          <w:trHeight w:val="184"/>
        </w:trPr>
        <w:tc>
          <w:tcPr>
            <w:tcW w:w="38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10.7</w:t>
              </w:r>
            </w:hyperlink>
          </w:p>
        </w:tc>
        <w:tc>
          <w:tcPr>
            <w:tcW w:w="440" w:type="dxa"/>
            <w:vAlign w:val="bottom"/>
            <w:shd w:val="clear" w:color="auto" w:fill="CCEEFF"/>
          </w:tcPr>
          <w:p>
            <w:pPr>
              <w:spacing w:after="0"/>
              <w:rPr>
                <w:sz w:val="15"/>
                <w:szCs w:val="15"/>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Executive Employment Agreement of Bradley Miller dated April 15, 2022</w:t>
              </w:r>
            </w:hyperlink>
            <w:r>
              <w:rPr>
                <w:rFonts w:ascii="Times New Roman" w:cs="Times New Roman" w:eastAsia="Times New Roman" w:hAnsi="Times New Roman"/>
                <w:sz w:val="14"/>
                <w:szCs w:val="14"/>
                <w:color w:val="000000"/>
              </w:rPr>
              <w:t>.</w:t>
            </w:r>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10.8</w:t>
              </w:r>
            </w:hyperlink>
          </w:p>
        </w:tc>
        <w:tc>
          <w:tcPr>
            <w:tcW w:w="440" w:type="dxa"/>
            <w:vAlign w:val="bottom"/>
          </w:tcPr>
          <w:p>
            <w:pPr>
              <w:spacing w:after="0"/>
              <w:rPr>
                <w:sz w:val="15"/>
                <w:szCs w:val="15"/>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Executive Employment Agreement of Timothy O'Leary dated September 19, 2022</w:t>
              </w:r>
            </w:hyperlink>
            <w:r>
              <w:rPr>
                <w:rFonts w:ascii="Times New Roman" w:cs="Times New Roman" w:eastAsia="Times New Roman" w:hAnsi="Times New Roman"/>
                <w:sz w:val="14"/>
                <w:szCs w:val="14"/>
                <w:color w:val="000000"/>
              </w:rPr>
              <w:t>.</w:t>
            </w:r>
          </w:p>
        </w:tc>
      </w:tr>
      <w:tr>
        <w:trPr>
          <w:trHeight w:val="180"/>
        </w:trPr>
        <w:tc>
          <w:tcPr>
            <w:tcW w:w="38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10.9</w:t>
              </w:r>
            </w:hyperlink>
          </w:p>
        </w:tc>
        <w:tc>
          <w:tcPr>
            <w:tcW w:w="440" w:type="dxa"/>
            <w:vAlign w:val="bottom"/>
            <w:shd w:val="clear" w:color="auto" w:fill="CCEEFF"/>
          </w:tcPr>
          <w:p>
            <w:pPr>
              <w:spacing w:after="0"/>
              <w:rPr>
                <w:sz w:val="15"/>
                <w:szCs w:val="15"/>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Restricted Stock Unit Award Agreement</w:t>
              </w:r>
            </w:hyperlink>
            <w:r>
              <w:rPr>
                <w:rFonts w:ascii="Times New Roman" w:cs="Times New Roman" w:eastAsia="Times New Roman" w:hAnsi="Times New Roman"/>
                <w:sz w:val="14"/>
                <w:szCs w:val="14"/>
                <w:color w:val="000000"/>
              </w:rPr>
              <w:t>.</w:t>
            </w:r>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10.10</w:t>
              </w:r>
            </w:hyperlink>
          </w:p>
        </w:tc>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60" w:type="dxa"/>
            <w:vAlign w:val="bottom"/>
          </w:tcPr>
          <w:p>
            <w:pPr>
              <w:ind w:left="380"/>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Independent Director Agreement (incorporated by reference to Exhibit 10.19 to the Company's Annual Report on Form 10-K, filed March 29, 2019).</w:t>
              </w:r>
            </w:hyperlink>
          </w:p>
        </w:tc>
      </w:tr>
      <w:tr>
        <w:trPr>
          <w:trHeight w:val="138"/>
        </w:trPr>
        <w:tc>
          <w:tcPr>
            <w:tcW w:w="380" w:type="dxa"/>
            <w:vAlign w:val="bottom"/>
            <w:shd w:val="clear" w:color="auto" w:fill="CCEEFF"/>
          </w:tcPr>
          <w:p>
            <w:pPr>
              <w:ind w:left="20"/>
              <w:spacing w:after="0" w:line="138"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10.11</w:t>
              </w:r>
            </w:hyperlink>
          </w:p>
        </w:tc>
        <w:tc>
          <w:tcPr>
            <w:tcW w:w="440" w:type="dxa"/>
            <w:vAlign w:val="bottom"/>
            <w:shd w:val="clear" w:color="auto" w:fill="CCEEFF"/>
          </w:tcPr>
          <w:p>
            <w:pPr>
              <w:spacing w:after="0"/>
              <w:rPr>
                <w:sz w:val="11"/>
                <w:szCs w:val="11"/>
                <w:color w:val="auto"/>
              </w:rPr>
            </w:pPr>
          </w:p>
        </w:tc>
        <w:tc>
          <w:tcPr>
            <w:tcW w:w="10460" w:type="dxa"/>
            <w:vAlign w:val="bottom"/>
            <w:shd w:val="clear" w:color="auto" w:fill="CCEEFF"/>
          </w:tcPr>
          <w:p>
            <w:pPr>
              <w:ind w:left="380"/>
              <w:spacing w:after="0" w:line="138"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Asset Purchase Agreement by and between MRI Payments LLC, MRI Software LLC, and Priority Real Estate Technology LLC, dated August 31, 2020 (incorporated by</w:t>
              </w:r>
            </w:hyperlink>
          </w:p>
        </w:tc>
      </w:tr>
      <w:tr>
        <w:trPr>
          <w:trHeight w:val="191"/>
        </w:trPr>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reference to Exhibit 10.1 to the Company's Current Report on Form 8-K filed September 1, 2020).</w:t>
              </w:r>
            </w:hyperlink>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10.12</w:t>
              </w:r>
            </w:hyperlink>
          </w:p>
        </w:tc>
        <w:tc>
          <w:tcPr>
            <w:tcW w:w="440" w:type="dxa"/>
            <w:vAlign w:val="bottom"/>
          </w:tcPr>
          <w:p>
            <w:pPr>
              <w:spacing w:after="0"/>
              <w:rPr>
                <w:sz w:val="15"/>
                <w:szCs w:val="15"/>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Support Agreement, dated as of March 5, 2021, by and among the Shareholders' and Finxera.</w:t>
              </w:r>
            </w:hyperlink>
          </w:p>
        </w:tc>
      </w:tr>
      <w:tr>
        <w:trPr>
          <w:trHeight w:val="180"/>
        </w:trPr>
        <w:tc>
          <w:tcPr>
            <w:tcW w:w="38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10.13</w:t>
              </w:r>
            </w:hyperlink>
          </w:p>
        </w:tc>
        <w:tc>
          <w:tcPr>
            <w:tcW w:w="440" w:type="dxa"/>
            <w:vAlign w:val="bottom"/>
            <w:shd w:val="clear" w:color="auto" w:fill="CCEEFF"/>
          </w:tcPr>
          <w:p>
            <w:pPr>
              <w:spacing w:after="0"/>
              <w:rPr>
                <w:sz w:val="15"/>
                <w:szCs w:val="15"/>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Debt Commitment Letter, dated as of March 5, 2021, between Priority Holdings, LLC and Truist Securities, Inc.</w:t>
              </w:r>
            </w:hyperlink>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10.14</w:t>
              </w:r>
            </w:hyperlink>
          </w:p>
        </w:tc>
        <w:tc>
          <w:tcPr>
            <w:tcW w:w="440" w:type="dxa"/>
            <w:vAlign w:val="bottom"/>
          </w:tcPr>
          <w:p>
            <w:pPr>
              <w:spacing w:after="0"/>
              <w:rPr>
                <w:sz w:val="15"/>
                <w:szCs w:val="15"/>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Preferred Stock Commitment Letter, dated as of March 5, 2021, among the Company and certain affiliates of Ares Capital Management LLC</w:t>
              </w:r>
            </w:hyperlink>
          </w:p>
        </w:tc>
      </w:tr>
      <w:tr>
        <w:trPr>
          <w:trHeight w:val="180"/>
        </w:trPr>
        <w:tc>
          <w:tcPr>
            <w:tcW w:w="38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10.15</w:t>
              </w:r>
            </w:hyperlink>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Securities Purchase Agreement, dated as of April 27, 2021, among the Company and the Investors named therein</w:t>
              </w:r>
            </w:hyperlink>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10.16</w:t>
              </w:r>
            </w:hyperlink>
          </w:p>
        </w:tc>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60" w:type="dxa"/>
            <w:vAlign w:val="bottom"/>
          </w:tcPr>
          <w:p>
            <w:pPr>
              <w:ind w:left="380"/>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Registration Rights Agreement, dated as of April 27, 2021, among the Company and the Investors name therein</w:t>
              </w:r>
            </w:hyperlink>
          </w:p>
        </w:tc>
      </w:tr>
      <w:tr>
        <w:trPr>
          <w:trHeight w:val="180"/>
        </w:trPr>
        <w:tc>
          <w:tcPr>
            <w:tcW w:w="38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10.17</w:t>
              </w:r>
            </w:hyperlink>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Credit Agreement, dated as of April 27, 2021, among the Loan Parties name therein and Truist Bank</w:t>
              </w:r>
            </w:hyperlink>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10.18</w:t>
              </w:r>
            </w:hyperlink>
          </w:p>
        </w:tc>
        <w:tc>
          <w:tcPr>
            <w:tcW w:w="440" w:type="dxa"/>
            <w:vAlign w:val="bottom"/>
          </w:tcPr>
          <w:p>
            <w:pPr>
              <w:spacing w:after="0"/>
              <w:rPr>
                <w:sz w:val="15"/>
                <w:szCs w:val="15"/>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Amendment No. 2, dated September 17, 2021, to the Credit Agreement, dated as of April 27, 2021, by and among the Loan Parties named therein and Truist Bank.</w:t>
              </w:r>
            </w:hyperlink>
          </w:p>
        </w:tc>
      </w:tr>
      <w:tr>
        <w:trPr>
          <w:trHeight w:val="138"/>
        </w:trPr>
        <w:tc>
          <w:tcPr>
            <w:tcW w:w="380" w:type="dxa"/>
            <w:vAlign w:val="bottom"/>
            <w:shd w:val="clear" w:color="auto" w:fill="CCEEFF"/>
          </w:tcPr>
          <w:p>
            <w:pPr>
              <w:ind w:left="20"/>
              <w:spacing w:after="0" w:line="138"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10.19</w:t>
              </w:r>
            </w:hyperlink>
          </w:p>
        </w:tc>
        <w:tc>
          <w:tcPr>
            <w:tcW w:w="440" w:type="dxa"/>
            <w:vAlign w:val="bottom"/>
            <w:shd w:val="clear" w:color="auto" w:fill="CCEEFF"/>
          </w:tcPr>
          <w:p>
            <w:pPr>
              <w:spacing w:after="0"/>
              <w:rPr>
                <w:sz w:val="11"/>
                <w:szCs w:val="11"/>
                <w:color w:val="auto"/>
              </w:rPr>
            </w:pPr>
          </w:p>
        </w:tc>
        <w:tc>
          <w:tcPr>
            <w:tcW w:w="10460" w:type="dxa"/>
            <w:vAlign w:val="bottom"/>
            <w:shd w:val="clear" w:color="auto" w:fill="CCEEFF"/>
          </w:tcPr>
          <w:p>
            <w:pPr>
              <w:ind w:left="380"/>
              <w:spacing w:after="0" w:line="138"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Third Amendment to the Credit and Guaranty Agreement, dated as of June 30, 2023, by and among Priority Holdings, LLC, as the Initial Borrower, the Credit Parties thereto, the</w:t>
              </w:r>
            </w:hyperlink>
          </w:p>
        </w:tc>
      </w:tr>
      <w:tr>
        <w:trPr>
          <w:trHeight w:val="191"/>
        </w:trPr>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2023 Incremental Revolving Credit Lender and Truist Bank, as Administrative Agent and Collateral Agent.</w:t>
              </w:r>
            </w:hyperlink>
          </w:p>
        </w:tc>
      </w:tr>
      <w:tr>
        <w:trPr>
          <w:trHeight w:val="138"/>
        </w:trPr>
        <w:tc>
          <w:tcPr>
            <w:tcW w:w="380" w:type="dxa"/>
            <w:vAlign w:val="bottom"/>
          </w:tcPr>
          <w:p>
            <w:pPr>
              <w:ind w:left="20"/>
              <w:spacing w:after="0" w:line="138"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10.20</w:t>
              </w:r>
            </w:hyperlink>
          </w:p>
        </w:tc>
        <w:tc>
          <w:tcPr>
            <w:tcW w:w="440" w:type="dxa"/>
            <w:vAlign w:val="bottom"/>
          </w:tcPr>
          <w:p>
            <w:pPr>
              <w:spacing w:after="0"/>
              <w:rPr>
                <w:sz w:val="11"/>
                <w:szCs w:val="11"/>
                <w:color w:val="auto"/>
              </w:rPr>
            </w:pPr>
          </w:p>
        </w:tc>
        <w:tc>
          <w:tcPr>
            <w:tcW w:w="10460" w:type="dxa"/>
            <w:vAlign w:val="bottom"/>
          </w:tcPr>
          <w:p>
            <w:pPr>
              <w:ind w:left="380"/>
              <w:spacing w:after="0" w:line="138"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Fourth Amendment to the Credit and Guaranty Agreement, dated as of October 2, 2023, by and among Priority Holdings, LLC, as the Initial Borrower, the Credit Parties party</w:t>
              </w:r>
            </w:hyperlink>
          </w:p>
        </w:tc>
      </w:tr>
      <w:tr>
        <w:trPr>
          <w:trHeight w:val="187"/>
        </w:trPr>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thereto, the 2023-1 Incremental Term Lender and Truist Bank, as Administrative Agent and Collateral Agent.</w:t>
              </w:r>
            </w:hyperlink>
          </w:p>
        </w:tc>
      </w:tr>
      <w:tr>
        <w:trPr>
          <w:trHeight w:val="184"/>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10.21</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0000FF"/>
              </w:rPr>
              <w:t>Amended and Restated Registration Rights Agreement, dated as of September 17, 2021 by and among Priority Technology Holdings, Inc. and the stockholders party thereto.</w:t>
            </w:r>
          </w:p>
        </w:tc>
      </w:tr>
      <w:tr>
        <w:trPr>
          <w:trHeight w:val="138"/>
        </w:trPr>
        <w:tc>
          <w:tcPr>
            <w:tcW w:w="380" w:type="dxa"/>
            <w:vAlign w:val="bottom"/>
          </w:tcPr>
          <w:p>
            <w:pPr>
              <w:ind w:left="20"/>
              <w:spacing w:after="0" w:line="138"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10.22</w:t>
              </w:r>
            </w:hyperlink>
          </w:p>
        </w:tc>
        <w:tc>
          <w:tcPr>
            <w:tcW w:w="440" w:type="dxa"/>
            <w:vAlign w:val="bottom"/>
          </w:tcPr>
          <w:p>
            <w:pPr>
              <w:spacing w:after="0"/>
              <w:rPr>
                <w:sz w:val="11"/>
                <w:szCs w:val="11"/>
                <w:color w:val="auto"/>
              </w:rPr>
            </w:pPr>
          </w:p>
        </w:tc>
        <w:tc>
          <w:tcPr>
            <w:tcW w:w="10460" w:type="dxa"/>
            <w:vAlign w:val="bottom"/>
          </w:tcPr>
          <w:p>
            <w:pPr>
              <w:ind w:left="380"/>
              <w:spacing w:after="0" w:line="138"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Amendment No. 1 to Equity and Asset Purchase Agreement, dated July 31, 2023, by and among Plastiq, Powered by Priority, LLC, Plastiq Inc., PLV Inc. and Nearside Business</w:t>
              </w:r>
            </w:hyperlink>
          </w:p>
        </w:tc>
      </w:tr>
      <w:tr>
        <w:trPr>
          <w:trHeight w:val="187"/>
        </w:trPr>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Corp.</w:t>
              </w:r>
            </w:hyperlink>
          </w:p>
        </w:tc>
      </w:tr>
      <w:tr>
        <w:trPr>
          <w:trHeight w:val="184"/>
        </w:trPr>
        <w:tc>
          <w:tcPr>
            <w:tcW w:w="38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10.23</w:t>
              </w:r>
            </w:hyperlink>
          </w:p>
        </w:tc>
        <w:tc>
          <w:tcPr>
            <w:tcW w:w="440" w:type="dxa"/>
            <w:vAlign w:val="bottom"/>
            <w:shd w:val="clear" w:color="auto" w:fill="CCEEFF"/>
          </w:tcPr>
          <w:p>
            <w:pPr>
              <w:spacing w:after="0"/>
              <w:rPr>
                <w:sz w:val="15"/>
                <w:szCs w:val="15"/>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Side Letter Agreement, dated July 28, 2023, by and between Plastiq, Powered by Priority, LLC and Colonnade Acquisition Corp. II.</w:t>
              </w:r>
            </w:hyperlink>
          </w:p>
        </w:tc>
      </w:tr>
      <w:tr>
        <w:trPr>
          <w:trHeight w:val="138"/>
        </w:trPr>
        <w:tc>
          <w:tcPr>
            <w:tcW w:w="380" w:type="dxa"/>
            <w:vAlign w:val="bottom"/>
          </w:tcPr>
          <w:p>
            <w:pPr>
              <w:ind w:left="20"/>
              <w:spacing w:after="0" w:line="138"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10.24</w:t>
              </w:r>
            </w:hyperlink>
          </w:p>
        </w:tc>
        <w:tc>
          <w:tcPr>
            <w:tcW w:w="440" w:type="dxa"/>
            <w:vAlign w:val="bottom"/>
          </w:tcPr>
          <w:p>
            <w:pPr>
              <w:spacing w:after="0"/>
              <w:rPr>
                <w:sz w:val="11"/>
                <w:szCs w:val="11"/>
                <w:color w:val="auto"/>
              </w:rPr>
            </w:pPr>
          </w:p>
        </w:tc>
        <w:tc>
          <w:tcPr>
            <w:tcW w:w="10460" w:type="dxa"/>
            <w:vAlign w:val="bottom"/>
          </w:tcPr>
          <w:p>
            <w:pPr>
              <w:ind w:left="380"/>
              <w:spacing w:after="0" w:line="138"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Earnout Agreement, dated July 31, 2023, by and among Plastiq, Powered by Priority, LLC, Plastiq Inc., PLV Inc., Nearside Business Corp., Blue Torch Finance, LLC and</w:t>
              </w:r>
            </w:hyperlink>
          </w:p>
        </w:tc>
      </w:tr>
      <w:tr>
        <w:trPr>
          <w:trHeight w:val="187"/>
        </w:trPr>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Priority Holdings, LLC.</w:t>
              </w:r>
            </w:hyperlink>
          </w:p>
        </w:tc>
      </w:tr>
      <w:tr>
        <w:trPr>
          <w:trHeight w:val="141"/>
        </w:trPr>
        <w:tc>
          <w:tcPr>
            <w:tcW w:w="380" w:type="dxa"/>
            <w:vAlign w:val="bottom"/>
            <w:shd w:val="clear" w:color="auto" w:fill="CCEEFF"/>
          </w:tcPr>
          <w:p>
            <w:pPr>
              <w:ind w:left="20"/>
              <w:spacing w:after="0" w:line="141"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10.25</w:t>
              </w:r>
            </w:hyperlink>
          </w:p>
        </w:tc>
        <w:tc>
          <w:tcPr>
            <w:tcW w:w="440" w:type="dxa"/>
            <w:vAlign w:val="bottom"/>
            <w:shd w:val="clear" w:color="auto" w:fill="CCEEFF"/>
          </w:tcPr>
          <w:p>
            <w:pPr>
              <w:spacing w:after="0"/>
              <w:rPr>
                <w:sz w:val="12"/>
                <w:szCs w:val="12"/>
                <w:color w:val="auto"/>
              </w:rPr>
            </w:pPr>
          </w:p>
        </w:tc>
        <w:tc>
          <w:tcPr>
            <w:tcW w:w="10460" w:type="dxa"/>
            <w:vAlign w:val="bottom"/>
            <w:shd w:val="clear" w:color="auto" w:fill="CCEEFF"/>
          </w:tcPr>
          <w:p>
            <w:pPr>
              <w:ind w:left="380"/>
              <w:spacing w:after="0" w:line="141"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Priority Technology Holdings, Inc. Amended and Restated Certificate of Designations of the Powers, Preferences and Relative, Participating, Optional and Other Special Rights,</w:t>
              </w:r>
            </w:hyperlink>
          </w:p>
        </w:tc>
      </w:tr>
      <w:tr>
        <w:trPr>
          <w:trHeight w:val="191"/>
        </w:trPr>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and Qualifications, Limitations and Restrictions thereof, of Senior Preferred Stock.</w:t>
              </w:r>
            </w:hyperlink>
          </w:p>
        </w:tc>
      </w:tr>
      <w:tr>
        <w:trPr>
          <w:trHeight w:val="180"/>
        </w:trPr>
        <w:tc>
          <w:tcPr>
            <w:tcW w:w="380" w:type="dxa"/>
            <w:vAlign w:val="bottom"/>
          </w:tcPr>
          <w:p>
            <w:pPr>
              <w:ind w:left="20"/>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10.26</w:t>
              </w:r>
            </w:hyperlink>
          </w:p>
        </w:tc>
        <w:tc>
          <w:tcPr>
            <w:tcW w:w="440" w:type="dxa"/>
            <w:vAlign w:val="bottom"/>
          </w:tcPr>
          <w:p>
            <w:pPr>
              <w:spacing w:after="0"/>
              <w:rPr>
                <w:sz w:val="15"/>
                <w:szCs w:val="15"/>
                <w:color w:val="auto"/>
              </w:rPr>
            </w:pPr>
          </w:p>
        </w:tc>
        <w:tc>
          <w:tcPr>
            <w:tcW w:w="10460" w:type="dxa"/>
            <w:vAlign w:val="bottom"/>
          </w:tcPr>
          <w:p>
            <w:pPr>
              <w:ind w:left="380"/>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Rule 10b5-1 Sales Plan, dated June 16, 2023, by and between Sean Kiewiet and J.P. Morgan Securities LLC.</w:t>
              </w:r>
            </w:hyperlink>
          </w:p>
        </w:tc>
      </w:tr>
      <w:tr>
        <w:trPr>
          <w:trHeight w:val="138"/>
        </w:trPr>
        <w:tc>
          <w:tcPr>
            <w:tcW w:w="380" w:type="dxa"/>
            <w:vAlign w:val="bottom"/>
            <w:shd w:val="clear" w:color="auto" w:fill="CCEEFF"/>
          </w:tcPr>
          <w:p>
            <w:pPr>
              <w:ind w:left="20"/>
              <w:spacing w:after="0" w:line="138"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10.27</w:t>
              </w:r>
            </w:hyperlink>
          </w:p>
        </w:tc>
        <w:tc>
          <w:tcPr>
            <w:tcW w:w="440" w:type="dxa"/>
            <w:vAlign w:val="bottom"/>
            <w:shd w:val="clear" w:color="auto" w:fill="CCEEFF"/>
          </w:tcPr>
          <w:p>
            <w:pPr>
              <w:spacing w:after="0"/>
              <w:rPr>
                <w:sz w:val="11"/>
                <w:szCs w:val="11"/>
                <w:color w:val="auto"/>
              </w:rPr>
            </w:pPr>
          </w:p>
        </w:tc>
        <w:tc>
          <w:tcPr>
            <w:tcW w:w="10460" w:type="dxa"/>
            <w:vAlign w:val="bottom"/>
            <w:shd w:val="clear" w:color="auto" w:fill="CCEEFF"/>
          </w:tcPr>
          <w:p>
            <w:pPr>
              <w:ind w:left="380"/>
              <w:spacing w:after="0" w:line="138"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Credit and Guaranty Agreement, dated as of May 16, 2024, by and among Priority Holdings, LLC, as the Initial Borrower, the Credit Parties party thereto, the Lenders party</w:t>
              </w:r>
            </w:hyperlink>
          </w:p>
        </w:tc>
      </w:tr>
      <w:tr>
        <w:trPr>
          <w:trHeight w:val="191"/>
        </w:trPr>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60" w:type="dxa"/>
            <w:vAlign w:val="bottom"/>
            <w:shd w:val="clear" w:color="auto" w:fill="CCEEFF"/>
          </w:tcPr>
          <w:p>
            <w:pPr>
              <w:ind w:left="380"/>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thereto and Truist Bank, as Administrative Agent and Collateral Agent.</w:t>
              </w:r>
            </w:hyperlink>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10.28</w:t>
              </w:r>
            </w:hyperlink>
          </w:p>
        </w:tc>
        <w:tc>
          <w:tcPr>
            <w:tcW w:w="10360" w:type="dxa"/>
            <w:vAlign w:val="bottom"/>
          </w:tcPr>
          <w:p>
            <w:pPr>
              <w:ind w:left="280"/>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Amendment No. 1 to the Credit and Guaranty Agreement, dated as of November 21, 2024, by and among Priority Holdings, LLC, as the Initial Borrower, the Credit Parties party</w:t>
              </w:r>
            </w:hyperlink>
          </w:p>
        </w:tc>
      </w:tr>
      <w:tr>
        <w:trPr>
          <w:trHeight w:val="187"/>
        </w:trPr>
        <w:tc>
          <w:tcPr>
            <w:tcW w:w="920" w:type="dxa"/>
            <w:vAlign w:val="bottom"/>
          </w:tcPr>
          <w:p>
            <w:pPr>
              <w:spacing w:after="0"/>
              <w:rPr>
                <w:sz w:val="16"/>
                <w:szCs w:val="16"/>
                <w:color w:val="auto"/>
              </w:rPr>
            </w:pPr>
          </w:p>
        </w:tc>
        <w:tc>
          <w:tcPr>
            <w:tcW w:w="10360" w:type="dxa"/>
            <w:vAlign w:val="bottom"/>
          </w:tcPr>
          <w:p>
            <w:pPr>
              <w:ind w:left="280"/>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thereto, the 2024-1 Incremental Term Lenders and Truist Bank, as Administrative Agent and Collateral Agent.</w:t>
              </w:r>
            </w:hyperlink>
          </w:p>
        </w:tc>
      </w:tr>
      <w:tr>
        <w:trPr>
          <w:trHeight w:val="184"/>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 xml:space="preserve">19.1 </w:t>
            </w:r>
            <w:r>
              <w:rPr>
                <w:rFonts w:ascii="Times New Roman" w:cs="Times New Roman" w:eastAsia="Times New Roman" w:hAnsi="Times New Roman"/>
                <w:sz w:val="14"/>
                <w:szCs w:val="14"/>
                <w:color w:val="000000"/>
              </w:rPr>
              <w:t>*</w:t>
            </w:r>
          </w:p>
        </w:tc>
        <w:tc>
          <w:tcPr>
            <w:tcW w:w="10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0000FF"/>
              </w:rPr>
              <w:t>Insider Trading Policy</w:t>
            </w:r>
          </w:p>
        </w:tc>
      </w:tr>
      <w:tr>
        <w:trPr>
          <w:trHeight w:val="180"/>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21.1 </w:t>
            </w:r>
            <w:r>
              <w:rPr>
                <w:rFonts w:ascii="Times New Roman" w:cs="Times New Roman" w:eastAsia="Times New Roman" w:hAnsi="Times New Roman"/>
                <w:sz w:val="14"/>
                <w:szCs w:val="14"/>
                <w:color w:val="000000"/>
              </w:rPr>
              <w:t>*</w:t>
            </w:r>
          </w:p>
        </w:tc>
        <w:tc>
          <w:tcPr>
            <w:tcW w:w="1036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Subsidiaries</w:t>
            </w:r>
          </w:p>
        </w:tc>
      </w:tr>
      <w:tr>
        <w:trPr>
          <w:trHeight w:val="18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 xml:space="preserve">23.1 </w:t>
            </w:r>
            <w:r>
              <w:rPr>
                <w:rFonts w:ascii="Times New Roman" w:cs="Times New Roman" w:eastAsia="Times New Roman" w:hAnsi="Times New Roman"/>
                <w:sz w:val="14"/>
                <w:szCs w:val="14"/>
                <w:color w:val="000000"/>
              </w:rPr>
              <w:t>*</w:t>
            </w:r>
          </w:p>
        </w:tc>
        <w:tc>
          <w:tcPr>
            <w:tcW w:w="10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r>
      <w:tr>
        <w:trPr>
          <w:trHeight w:val="180"/>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31.1 </w:t>
            </w:r>
            <w:r>
              <w:rPr>
                <w:rFonts w:ascii="Times New Roman" w:cs="Times New Roman" w:eastAsia="Times New Roman" w:hAnsi="Times New Roman"/>
                <w:sz w:val="14"/>
                <w:szCs w:val="14"/>
                <w:color w:val="000000"/>
              </w:rPr>
              <w:t>*</w:t>
            </w:r>
          </w:p>
        </w:tc>
        <w:tc>
          <w:tcPr>
            <w:tcW w:w="1036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 and Rule 15d-14(a), promulgated under the Securities and Exchange Act of 1934, as amended.</w:t>
            </w:r>
          </w:p>
        </w:tc>
      </w:tr>
      <w:tr>
        <w:trPr>
          <w:trHeight w:val="18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 xml:space="preserve">31.2 </w:t>
            </w:r>
            <w:r>
              <w:rPr>
                <w:rFonts w:ascii="Times New Roman" w:cs="Times New Roman" w:eastAsia="Times New Roman" w:hAnsi="Times New Roman"/>
                <w:sz w:val="14"/>
                <w:szCs w:val="14"/>
                <w:color w:val="000000"/>
              </w:rPr>
              <w:t>*</w:t>
            </w:r>
          </w:p>
        </w:tc>
        <w:tc>
          <w:tcPr>
            <w:tcW w:w="10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 13a-14(a) as adopted pursuant to Section 302 of the Sarbanes-Oxley Act of 2002.</w:t>
            </w:r>
          </w:p>
        </w:tc>
      </w:tr>
      <w:tr>
        <w:trPr>
          <w:trHeight w:val="138"/>
        </w:trPr>
        <w:tc>
          <w:tcPr>
            <w:tcW w:w="9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0000FF"/>
              </w:rPr>
              <w:t xml:space="preserve">32.1 </w:t>
            </w:r>
            <w:r>
              <w:rPr>
                <w:rFonts w:ascii="Times New Roman" w:cs="Times New Roman" w:eastAsia="Times New Roman" w:hAnsi="Times New Roman"/>
                <w:sz w:val="14"/>
                <w:szCs w:val="14"/>
                <w:color w:val="000000"/>
              </w:rPr>
              <w:t>*</w:t>
            </w:r>
          </w:p>
        </w:tc>
        <w:tc>
          <w:tcPr>
            <w:tcW w:w="1036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 1350, as adopted pursuant to Section 906 of the Sarbanes-Oxley Act of</w:t>
            </w:r>
          </w:p>
        </w:tc>
      </w:tr>
      <w:tr>
        <w:trPr>
          <w:trHeight w:val="187"/>
        </w:trPr>
        <w:tc>
          <w:tcPr>
            <w:tcW w:w="920" w:type="dxa"/>
            <w:vAlign w:val="bottom"/>
          </w:tcPr>
          <w:p>
            <w:pPr>
              <w:spacing w:after="0"/>
              <w:rPr>
                <w:sz w:val="16"/>
                <w:szCs w:val="16"/>
                <w:color w:val="auto"/>
              </w:rPr>
            </w:pPr>
          </w:p>
        </w:tc>
        <w:tc>
          <w:tcPr>
            <w:tcW w:w="10360" w:type="dxa"/>
            <w:vAlign w:val="bottom"/>
          </w:tcPr>
          <w:p>
            <w:pPr>
              <w:ind w:left="280"/>
              <w:spacing w:after="0"/>
              <w:rPr>
                <w:sz w:val="20"/>
                <w:szCs w:val="20"/>
                <w:color w:val="auto"/>
              </w:rPr>
            </w:pPr>
            <w:r>
              <w:rPr>
                <w:rFonts w:ascii="Times New Roman" w:cs="Times New Roman" w:eastAsia="Times New Roman" w:hAnsi="Times New Roman"/>
                <w:sz w:val="14"/>
                <w:szCs w:val="14"/>
                <w:color w:val="0000FF"/>
              </w:rPr>
              <w:t>2002.</w:t>
            </w:r>
          </w:p>
        </w:tc>
      </w:tr>
      <w:tr>
        <w:trPr>
          <w:trHeight w:val="184"/>
        </w:trPr>
        <w:tc>
          <w:tcPr>
            <w:tcW w:w="920" w:type="dxa"/>
            <w:vAlign w:val="bottom"/>
            <w:shd w:val="clear" w:color="auto" w:fill="CCEEFF"/>
          </w:tcPr>
          <w:p>
            <w:pPr>
              <w:ind w:left="20"/>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97.1</w:t>
              </w:r>
            </w:hyperlink>
          </w:p>
        </w:tc>
        <w:tc>
          <w:tcPr>
            <w:tcW w:w="10360" w:type="dxa"/>
            <w:vAlign w:val="bottom"/>
            <w:shd w:val="clear" w:color="auto" w:fill="CCEEFF"/>
          </w:tcPr>
          <w:p>
            <w:pPr>
              <w:ind w:left="280"/>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Priority Technology Holdings, Inc. Recoupment Policy adopted March 1, 2023</w:t>
              </w:r>
            </w:hyperlink>
          </w:p>
        </w:tc>
      </w:tr>
      <w:tr>
        <w:trPr>
          <w:trHeight w:val="180"/>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 *</w:t>
            </w:r>
          </w:p>
        </w:tc>
        <w:tc>
          <w:tcPr>
            <w:tcW w:w="10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18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101.SCH *</w:t>
            </w:r>
          </w:p>
        </w:tc>
        <w:tc>
          <w:tcPr>
            <w:tcW w:w="10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80"/>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 *</w:t>
            </w:r>
          </w:p>
        </w:tc>
        <w:tc>
          <w:tcPr>
            <w:tcW w:w="10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18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101.LAB *</w:t>
            </w:r>
          </w:p>
        </w:tc>
        <w:tc>
          <w:tcPr>
            <w:tcW w:w="10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180"/>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 *</w:t>
            </w:r>
          </w:p>
        </w:tc>
        <w:tc>
          <w:tcPr>
            <w:tcW w:w="10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18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101.DEF *</w:t>
            </w:r>
          </w:p>
        </w:tc>
        <w:tc>
          <w:tcPr>
            <w:tcW w:w="10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9" w:lineRule="exact"/>
        <w:rPr>
          <w:sz w:val="20"/>
          <w:szCs w:val="20"/>
          <w:color w:val="auto"/>
        </w:rPr>
      </w:pPr>
    </w:p>
    <w:p>
      <w:pPr>
        <w:ind w:left="120" w:hanging="115"/>
        <w:spacing w:after="0"/>
        <w:tabs>
          <w:tab w:leader="none" w:pos="1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4"/>
          <w:szCs w:val="14"/>
          <w:color w:val="auto"/>
        </w:rPr>
        <w:t>Indicates exhibits that constitute management contracts or compensation plans or arrangements.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5300" w:type="dxa"/>
            <w:vAlign w:val="bottom"/>
            <w:gridSpan w:val="3"/>
          </w:tcPr>
          <w:p>
            <w:pPr>
              <w:ind w:left="1920"/>
              <w:spacing w:after="0"/>
              <w:rPr>
                <w:sz w:val="20"/>
                <w:szCs w:val="20"/>
                <w:color w:val="auto"/>
              </w:rPr>
            </w:pPr>
            <w:r>
              <w:rPr>
                <w:rFonts w:ascii="Times New Roman" w:cs="Times New Roman" w:eastAsia="Times New Roman" w:hAnsi="Times New Roman"/>
                <w:sz w:val="14"/>
                <w:szCs w:val="14"/>
                <w:color w:val="auto"/>
              </w:rPr>
              <w:t>PRIORITY TECHNOLOGY HOLDINGS, INC.</w:t>
            </w:r>
          </w:p>
        </w:tc>
      </w:tr>
      <w:tr>
        <w:trPr>
          <w:trHeight w:val="170"/>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March 6, 2025</w:t>
            </w:r>
          </w:p>
        </w:tc>
        <w:tc>
          <w:tcPr>
            <w:tcW w:w="31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Thomas C. Priore</w:t>
            </w:r>
          </w:p>
        </w:tc>
      </w:tr>
      <w:tr>
        <w:trPr>
          <w:trHeight w:val="112"/>
        </w:trPr>
        <w:tc>
          <w:tcPr>
            <w:tcW w:w="27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2"/>
                <w:szCs w:val="12"/>
                <w:color w:val="auto"/>
              </w:rPr>
              <w:t>Thomas C. Priore</w:t>
            </w:r>
          </w:p>
        </w:tc>
        <w:tc>
          <w:tcPr>
            <w:tcW w:w="1020" w:type="dxa"/>
            <w:vAlign w:val="bottom"/>
          </w:tcPr>
          <w:p>
            <w:pPr>
              <w:spacing w:after="0"/>
              <w:rPr>
                <w:sz w:val="9"/>
                <w:szCs w:val="9"/>
                <w:color w:val="auto"/>
              </w:rPr>
            </w:pPr>
          </w:p>
        </w:tc>
      </w:tr>
      <w:tr>
        <w:trPr>
          <w:trHeight w:val="144"/>
        </w:trPr>
        <w:tc>
          <w:tcPr>
            <w:tcW w:w="2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1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i w:val="1"/>
                <w:iCs w:val="1"/>
                <w:color w:val="auto"/>
                <w:w w:val="99"/>
              </w:rPr>
              <w:t>Chief Executive Officer and Chairman</w:t>
            </w:r>
          </w:p>
        </w:tc>
      </w:tr>
      <w:tr>
        <w:trPr>
          <w:trHeight w:val="186"/>
        </w:trPr>
        <w:tc>
          <w:tcPr>
            <w:tcW w:w="27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2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5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4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29"/>
        </w:trPr>
        <w:tc>
          <w:tcPr>
            <w:tcW w:w="33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Thomas C. Priore</w:t>
            </w:r>
          </w:p>
        </w:tc>
        <w:tc>
          <w:tcPr>
            <w:tcW w:w="45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Chief Executive Officer and Chairman</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Thomas C. Priore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5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94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315"/>
        </w:trPr>
        <w:tc>
          <w:tcPr>
            <w:tcW w:w="33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Timothy M. O'Leary</w:t>
            </w:r>
          </w:p>
        </w:tc>
        <w:tc>
          <w:tcPr>
            <w:tcW w:w="45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Chief Financial Officer</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3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Timothy M. O'Leary</w:t>
            </w:r>
          </w:p>
        </w:tc>
        <w:tc>
          <w:tcPr>
            <w:tcW w:w="2040" w:type="dxa"/>
            <w:vAlign w:val="bottom"/>
          </w:tcPr>
          <w:p>
            <w:pPr>
              <w:spacing w:after="0"/>
              <w:rPr>
                <w:sz w:val="15"/>
                <w:szCs w:val="15"/>
                <w:color w:val="auto"/>
              </w:rPr>
            </w:pPr>
          </w:p>
        </w:tc>
        <w:tc>
          <w:tcPr>
            <w:tcW w:w="45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94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336"/>
        </w:trPr>
        <w:tc>
          <w:tcPr>
            <w:tcW w:w="338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/s/ Rajiv Kumar</w:t>
            </w:r>
          </w:p>
        </w:tc>
        <w:tc>
          <w:tcPr>
            <w:tcW w:w="45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Senior Vice President and</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80" w:type="dxa"/>
            <w:vAlign w:val="bottom"/>
            <w:gridSpan w:val="9"/>
            <w:vMerge w:val="continue"/>
          </w:tcPr>
          <w:p>
            <w:pPr>
              <w:spacing w:after="0"/>
              <w:rPr>
                <w:sz w:val="12"/>
                <w:szCs w:val="12"/>
                <w:color w:val="auto"/>
              </w:rPr>
            </w:pPr>
          </w:p>
        </w:tc>
        <w:tc>
          <w:tcPr>
            <w:tcW w:w="450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Chief Accounting Officer</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Rajiv Kumar</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tcPr>
          <w:p>
            <w:pPr>
              <w:spacing w:after="0"/>
              <w:rPr>
                <w:sz w:val="15"/>
                <w:szCs w:val="15"/>
                <w:color w:val="auto"/>
              </w:rPr>
            </w:pPr>
          </w:p>
        </w:tc>
        <w:tc>
          <w:tcPr>
            <w:tcW w:w="45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94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31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/s/ John Priore</w:t>
            </w:r>
          </w:p>
        </w:tc>
        <w:tc>
          <w:tcPr>
            <w:tcW w:w="2560" w:type="dxa"/>
            <w:vAlign w:val="bottom"/>
            <w:gridSpan w:val="8"/>
          </w:tcPr>
          <w:p>
            <w:pPr>
              <w:spacing w:after="0"/>
              <w:rPr>
                <w:sz w:val="24"/>
                <w:szCs w:val="24"/>
                <w:color w:val="auto"/>
              </w:rPr>
            </w:pPr>
          </w:p>
        </w:tc>
        <w:tc>
          <w:tcPr>
            <w:tcW w:w="45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8"/>
              </w:rPr>
              <w:t>Director</w:t>
            </w:r>
          </w:p>
        </w:tc>
        <w:tc>
          <w:tcPr>
            <w:tcW w:w="194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192"/>
        </w:trPr>
        <w:tc>
          <w:tcPr>
            <w:tcW w:w="33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John Priore</w:t>
            </w:r>
          </w:p>
        </w:tc>
        <w:tc>
          <w:tcPr>
            <w:tcW w:w="4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33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Michael Passilla</w:t>
            </w:r>
          </w:p>
        </w:tc>
        <w:tc>
          <w:tcPr>
            <w:tcW w:w="450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8"/>
              </w:rPr>
              <w:t>Director</w:t>
            </w:r>
          </w:p>
        </w:tc>
        <w:tc>
          <w:tcPr>
            <w:tcW w:w="1940" w:type="dxa"/>
            <w:vAlign w:val="bottom"/>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175"/>
        </w:trPr>
        <w:tc>
          <w:tcPr>
            <w:tcW w:w="1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Michael Passilla</w:t>
            </w:r>
          </w:p>
        </w:tc>
        <w:tc>
          <w:tcPr>
            <w:tcW w:w="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tcPr>
          <w:p>
            <w:pPr>
              <w:spacing w:after="0"/>
              <w:rPr>
                <w:sz w:val="15"/>
                <w:szCs w:val="15"/>
                <w:color w:val="auto"/>
              </w:rPr>
            </w:pPr>
          </w:p>
        </w:tc>
        <w:tc>
          <w:tcPr>
            <w:tcW w:w="450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33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Marietta C. Davis</w:t>
            </w:r>
          </w:p>
        </w:tc>
        <w:tc>
          <w:tcPr>
            <w:tcW w:w="450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8"/>
              </w:rPr>
              <w:t>Director</w:t>
            </w:r>
          </w:p>
        </w:tc>
        <w:tc>
          <w:tcPr>
            <w:tcW w:w="1940" w:type="dxa"/>
            <w:vAlign w:val="bottom"/>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175"/>
        </w:trPr>
        <w:tc>
          <w:tcPr>
            <w:tcW w:w="11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Marietta C. Davis</w:t>
            </w:r>
          </w:p>
        </w:tc>
        <w:tc>
          <w:tcPr>
            <w:tcW w:w="140" w:type="dxa"/>
            <w:vAlign w:val="bottom"/>
          </w:tcPr>
          <w:p>
            <w:pPr>
              <w:spacing w:after="0"/>
              <w:rPr>
                <w:sz w:val="15"/>
                <w:szCs w:val="15"/>
                <w:color w:val="auto"/>
              </w:rPr>
            </w:pPr>
          </w:p>
        </w:tc>
        <w:tc>
          <w:tcPr>
            <w:tcW w:w="2060" w:type="dxa"/>
            <w:vAlign w:val="bottom"/>
            <w:gridSpan w:val="2"/>
          </w:tcPr>
          <w:p>
            <w:pPr>
              <w:spacing w:after="0"/>
              <w:rPr>
                <w:sz w:val="15"/>
                <w:szCs w:val="15"/>
                <w:color w:val="auto"/>
              </w:rPr>
            </w:pPr>
          </w:p>
        </w:tc>
        <w:tc>
          <w:tcPr>
            <w:tcW w:w="450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33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Christina M. Favilla</w:t>
            </w:r>
          </w:p>
        </w:tc>
        <w:tc>
          <w:tcPr>
            <w:tcW w:w="450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8"/>
              </w:rPr>
              <w:t>Director</w:t>
            </w:r>
          </w:p>
        </w:tc>
        <w:tc>
          <w:tcPr>
            <w:tcW w:w="1940" w:type="dxa"/>
            <w:vAlign w:val="bottom"/>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175"/>
        </w:trPr>
        <w:tc>
          <w:tcPr>
            <w:tcW w:w="13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Christina M. Favilla</w:t>
            </w:r>
          </w:p>
        </w:tc>
        <w:tc>
          <w:tcPr>
            <w:tcW w:w="2060" w:type="dxa"/>
            <w:vAlign w:val="bottom"/>
            <w:gridSpan w:val="2"/>
          </w:tcPr>
          <w:p>
            <w:pPr>
              <w:spacing w:after="0"/>
              <w:rPr>
                <w:sz w:val="15"/>
                <w:szCs w:val="15"/>
                <w:color w:val="auto"/>
              </w:rPr>
            </w:pPr>
          </w:p>
        </w:tc>
        <w:tc>
          <w:tcPr>
            <w:tcW w:w="450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3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Marc Crisafulli</w:t>
            </w:r>
          </w:p>
        </w:tc>
        <w:tc>
          <w:tcPr>
            <w:tcW w:w="450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8"/>
              </w:rPr>
              <w:t>Director</w:t>
            </w:r>
          </w:p>
        </w:tc>
        <w:tc>
          <w:tcPr>
            <w:tcW w:w="1940" w:type="dxa"/>
            <w:vAlign w:val="bottom"/>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March 6, 2025</w:t>
            </w:r>
          </w:p>
        </w:tc>
        <w:tc>
          <w:tcPr>
            <w:tcW w:w="0" w:type="dxa"/>
            <w:vAlign w:val="bottom"/>
          </w:tcPr>
          <w:p>
            <w:pPr>
              <w:spacing w:after="0"/>
              <w:rPr>
                <w:sz w:val="1"/>
                <w:szCs w:val="1"/>
                <w:color w:val="auto"/>
              </w:rPr>
            </w:pPr>
          </w:p>
        </w:tc>
      </w:tr>
      <w:tr>
        <w:trPr>
          <w:trHeight w:val="175"/>
        </w:trPr>
        <w:tc>
          <w:tcPr>
            <w:tcW w:w="10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Marc Crisafulli</w:t>
            </w:r>
          </w:p>
        </w:tc>
        <w:tc>
          <w:tcPr>
            <w:tcW w:w="2340" w:type="dxa"/>
            <w:vAlign w:val="bottom"/>
            <w:gridSpan w:val="6"/>
          </w:tcPr>
          <w:p>
            <w:pPr>
              <w:spacing w:after="0"/>
              <w:rPr>
                <w:sz w:val="15"/>
                <w:szCs w:val="15"/>
                <w:color w:val="auto"/>
              </w:rPr>
            </w:pPr>
          </w:p>
        </w:tc>
        <w:tc>
          <w:tcPr>
            <w:tcW w:w="450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280"/>
          </w:cols>
          <w:pgMar w:left="300" w:top="125" w:right="319" w:bottom="1440"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7"/>
          <w:szCs w:val="17"/>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Subsidiaries of Priority Technology Holdings, 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Technology Holdings,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Holdings, LLC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Payment Systems,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Hospitality Technology,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Ovvi,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Payright Health Solutions,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Commerce Canada, Inc. (Canada)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Real Estate Technology, LLC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Finance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Commercial Payments,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Plastiq, Powered by Priority,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Plastiq Canada, Inc. (Canada)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Finxera Holdings,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Finxera Intermediate, LLC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Finxera,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IDC Private Limited (India)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Enhanced Capital RETC Fund XII,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Account Administration Services,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Tech Ventures,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IR, LLC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Wave,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Ambient TPA Solutions,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Build,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Primsa Prop Tech,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Priority Rollfi, LLC</w:t>
      </w:r>
    </w:p>
    <w:p>
      <w:pPr>
        <w:sectPr>
          <w:pgSz w:w="11900" w:h="16838" w:orient="portrait"/>
          <w:cols w:equalWidth="0" w:num="1">
            <w:col w:w="11280"/>
          </w:cols>
          <w:pgMar w:left="300" w:top="331" w:right="319" w:bottom="1440"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4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EXCHANGE ACT RULE 13a-14(a) AS ADOPTED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303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Thomas C. Priore, certify that:</w:t>
      </w:r>
    </w:p>
    <w:p>
      <w:pPr>
        <w:spacing w:after="0" w:line="221"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Priority Technology Holdings, Inc.;</w:t>
      </w:r>
    </w:p>
    <w:p>
      <w:pPr>
        <w:spacing w:after="0" w:line="231" w:lineRule="exact"/>
        <w:rPr>
          <w:rFonts w:ascii="Times New Roman" w:cs="Times New Roman" w:eastAsia="Times New Roman" w:hAnsi="Times New Roman"/>
          <w:sz w:val="14"/>
          <w:szCs w:val="14"/>
          <w:color w:val="auto"/>
        </w:rPr>
      </w:pPr>
    </w:p>
    <w:p>
      <w:pPr>
        <w:ind w:left="260" w:right="140" w:hanging="255"/>
        <w:spacing w:after="0" w:line="319"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4"/>
          <w:szCs w:val="14"/>
          <w:color w:val="auto"/>
        </w:rPr>
      </w:pPr>
    </w:p>
    <w:p>
      <w:pPr>
        <w:ind w:left="260" w:right="200" w:hanging="255"/>
        <w:spacing w:after="0" w:line="319"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4"/>
          <w:szCs w:val="14"/>
          <w:color w:val="auto"/>
        </w:rPr>
      </w:pPr>
    </w:p>
    <w:p>
      <w:pPr>
        <w:ind w:left="260" w:right="60" w:hanging="255"/>
        <w:spacing w:after="0" w:line="319"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4"/>
          <w:szCs w:val="14"/>
          <w:color w:val="auto"/>
        </w:rPr>
      </w:pPr>
    </w:p>
    <w:p>
      <w:pPr>
        <w:ind w:left="760" w:right="20" w:hanging="246"/>
        <w:spacing w:after="0" w:line="292" w:lineRule="auto"/>
        <w:tabs>
          <w:tab w:leader="none" w:pos="758"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40" w:hanging="246"/>
        <w:spacing w:after="0" w:line="292" w:lineRule="auto"/>
        <w:tabs>
          <w:tab w:leader="none" w:pos="755"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420" w:hanging="246"/>
        <w:spacing w:after="0" w:line="292" w:lineRule="auto"/>
        <w:tabs>
          <w:tab w:leader="none" w:pos="758"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80" w:hanging="246"/>
        <w:spacing w:after="0" w:line="334" w:lineRule="auto"/>
        <w:tabs>
          <w:tab w:leader="none" w:pos="755"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260" w:right="20" w:hanging="255"/>
        <w:spacing w:after="0" w:line="334"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760" w:right="120" w:hanging="246"/>
        <w:spacing w:after="0" w:line="292" w:lineRule="auto"/>
        <w:tabs>
          <w:tab w:leader="none" w:pos="758"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517"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200" w:lineRule="exact"/>
        <w:rPr>
          <w:sz w:val="20"/>
          <w:szCs w:val="20"/>
          <w:color w:val="auto"/>
        </w:rPr>
      </w:pPr>
    </w:p>
    <w:p>
      <w:pPr>
        <w:spacing w:after="0" w:line="384" w:lineRule="exact"/>
        <w:rPr>
          <w:sz w:val="20"/>
          <w:szCs w:val="20"/>
          <w:color w:val="auto"/>
        </w:rPr>
      </w:pPr>
    </w:p>
    <w:p>
      <w:pPr>
        <w:spacing w:after="0"/>
        <w:tabs>
          <w:tab w:leader="none" w:pos="8700" w:val="left"/>
        </w:tabs>
        <w:rPr>
          <w:sz w:val="20"/>
          <w:szCs w:val="20"/>
          <w:color w:val="auto"/>
        </w:rPr>
      </w:pPr>
      <w:r>
        <w:rPr>
          <w:rFonts w:ascii="Times New Roman" w:cs="Times New Roman" w:eastAsia="Times New Roman" w:hAnsi="Times New Roman"/>
          <w:sz w:val="28"/>
          <w:szCs w:val="28"/>
          <w:color w:val="auto"/>
          <w:vertAlign w:val="subscript"/>
        </w:rPr>
        <w:t>March 6, 2025</w:t>
      </w:r>
      <w:r>
        <w:rPr>
          <w:sz w:val="20"/>
          <w:szCs w:val="20"/>
          <w:color w:val="auto"/>
        </w:rPr>
        <w:tab/>
      </w:r>
      <w:r>
        <w:rPr>
          <w:rFonts w:ascii="Times New Roman" w:cs="Times New Roman" w:eastAsia="Times New Roman" w:hAnsi="Times New Roman"/>
          <w:sz w:val="14"/>
          <w:szCs w:val="14"/>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26035</wp:posOffset>
            </wp:positionV>
            <wp:extent cx="2445385" cy="13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2445385" cy="13335"/>
                    </a:xfrm>
                    <a:prstGeom prst="rect">
                      <a:avLst/>
                    </a:prstGeom>
                    <a:noFill/>
                  </pic:spPr>
                </pic:pic>
              </a:graphicData>
            </a:graphic>
          </wp:anchor>
        </w:drawing>
      </w:r>
    </w:p>
    <w:p>
      <w:pPr>
        <w:spacing w:after="0" w:line="49"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color w:val="auto"/>
        </w:rPr>
        <w:t>Thomas C. Priore</w:t>
      </w:r>
    </w:p>
    <w:p>
      <w:pPr>
        <w:spacing w:after="0" w:line="8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w:t>
      </w:r>
    </w:p>
    <w:p>
      <w:pPr>
        <w:spacing w:after="0" w:line="8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20"/>
          </w:cols>
          <w:pgMar w:left="360" w:top="517"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200" w:lineRule="exact"/>
        <w:rPr>
          <w:sz w:val="20"/>
          <w:szCs w:val="20"/>
          <w:color w:val="auto"/>
        </w:rPr>
      </w:pPr>
    </w:p>
    <w:p>
      <w:pPr>
        <w:spacing w:after="0" w:line="27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4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EXCHANGE ACT RULE 13a-14(a) AS ADOPTED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Timothy O'Leary, certify that:</w:t>
      </w:r>
    </w:p>
    <w:p>
      <w:pPr>
        <w:spacing w:after="0" w:line="221" w:lineRule="exact"/>
        <w:rPr>
          <w:sz w:val="20"/>
          <w:szCs w:val="20"/>
          <w:color w:val="auto"/>
        </w:rPr>
      </w:pPr>
    </w:p>
    <w:p>
      <w:pPr>
        <w:ind w:left="260" w:hanging="255"/>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Priority Technology Holdings, Inc.;</w:t>
      </w:r>
    </w:p>
    <w:p>
      <w:pPr>
        <w:spacing w:after="0" w:line="231" w:lineRule="exact"/>
        <w:rPr>
          <w:rFonts w:ascii="Times New Roman" w:cs="Times New Roman" w:eastAsia="Times New Roman" w:hAnsi="Times New Roman"/>
          <w:sz w:val="14"/>
          <w:szCs w:val="14"/>
          <w:color w:val="auto"/>
        </w:rPr>
      </w:pPr>
    </w:p>
    <w:p>
      <w:pPr>
        <w:ind w:left="260" w:right="140" w:hanging="255"/>
        <w:spacing w:after="0" w:line="319"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4"/>
          <w:szCs w:val="14"/>
          <w:color w:val="auto"/>
        </w:rPr>
      </w:pPr>
    </w:p>
    <w:p>
      <w:pPr>
        <w:ind w:left="260" w:right="200" w:hanging="255"/>
        <w:spacing w:after="0" w:line="319"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4"/>
          <w:szCs w:val="14"/>
          <w:color w:val="auto"/>
        </w:rPr>
      </w:pPr>
    </w:p>
    <w:p>
      <w:pPr>
        <w:ind w:left="260" w:right="60" w:hanging="255"/>
        <w:spacing w:after="0" w:line="319"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4"/>
          <w:szCs w:val="14"/>
          <w:color w:val="auto"/>
        </w:rPr>
      </w:pPr>
    </w:p>
    <w:p>
      <w:pPr>
        <w:ind w:left="760" w:right="20" w:hanging="246"/>
        <w:spacing w:after="0" w:line="292" w:lineRule="auto"/>
        <w:tabs>
          <w:tab w:leader="none" w:pos="75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40" w:hanging="246"/>
        <w:spacing w:after="0" w:line="292" w:lineRule="auto"/>
        <w:tabs>
          <w:tab w:leader="none" w:pos="75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420" w:hanging="246"/>
        <w:spacing w:after="0" w:line="292" w:lineRule="auto"/>
        <w:tabs>
          <w:tab w:leader="none" w:pos="75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80" w:hanging="246"/>
        <w:spacing w:after="0" w:line="334" w:lineRule="auto"/>
        <w:tabs>
          <w:tab w:leader="none" w:pos="75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260" w:right="20" w:hanging="255"/>
        <w:spacing w:after="0" w:line="334"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760" w:right="120" w:hanging="246"/>
        <w:spacing w:after="0" w:line="292" w:lineRule="auto"/>
        <w:tabs>
          <w:tab w:leader="none" w:pos="75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708"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393" w:lineRule="exact"/>
        <w:rPr>
          <w:sz w:val="20"/>
          <w:szCs w:val="20"/>
          <w:color w:val="auto"/>
        </w:rPr>
      </w:pPr>
    </w:p>
    <w:p>
      <w:pPr>
        <w:spacing w:after="0"/>
        <w:tabs>
          <w:tab w:leader="none" w:pos="8020" w:val="left"/>
        </w:tabs>
        <w:rPr>
          <w:sz w:val="20"/>
          <w:szCs w:val="20"/>
          <w:color w:val="auto"/>
        </w:rPr>
      </w:pPr>
      <w:r>
        <w:rPr>
          <w:rFonts w:ascii="Times New Roman" w:cs="Times New Roman" w:eastAsia="Times New Roman" w:hAnsi="Times New Roman"/>
          <w:sz w:val="28"/>
          <w:szCs w:val="28"/>
          <w:color w:val="auto"/>
          <w:vertAlign w:val="subscript"/>
        </w:rPr>
        <w:t>March 6, 2025</w:t>
      </w:r>
      <w:r>
        <w:rPr>
          <w:sz w:val="20"/>
          <w:szCs w:val="20"/>
          <w:color w:val="auto"/>
        </w:rPr>
        <w:tab/>
      </w:r>
      <w:r>
        <w:rPr>
          <w:rFonts w:ascii="Times New Roman" w:cs="Times New Roman" w:eastAsia="Times New Roman" w:hAnsi="Times New Roman"/>
          <w:sz w:val="14"/>
          <w:szCs w:val="14"/>
          <w:color w:val="auto"/>
        </w:rPr>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065145"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3065145" cy="13335"/>
                    </a:xfrm>
                    <a:prstGeom prst="rect">
                      <a:avLst/>
                    </a:prstGeom>
                    <a:noFill/>
                  </pic:spPr>
                </pic:pic>
              </a:graphicData>
            </a:graphic>
          </wp:anchor>
        </w:drawing>
      </w:r>
    </w:p>
    <w:p>
      <w:pPr>
        <w:spacing w:after="0" w:line="4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color w:val="auto"/>
        </w:rPr>
        <w:t>Timothy O'Leary</w:t>
      </w:r>
    </w:p>
    <w:p>
      <w:pPr>
        <w:spacing w:after="0" w:line="8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8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180"/>
          </w:cols>
          <w:pgMar w:left="400" w:top="708"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w:t>
      </w:r>
    </w:p>
    <w:p>
      <w:pPr>
        <w:spacing w:after="0" w:line="4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PURSUANT TO 18 U.S.C. SECTION 1350, AS ADOPTED PURSUANT TO SECTION 906 OF THE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In connection with the Annual Report on Form 10-K of Priority Technology Holdings, Inc. (the "Company") for the year ended December 31, 2024 as filed with the Securities and Exchange Commission (the "Report"), each of the undersigned, on the dates indicated below, hereby certifies pursuant to 18 U.S.C. Section 1350, as adopted pursuant to Section 906 of the Sarbanes-Oxley Act of 2002, that:</w:t>
      </w:r>
    </w:p>
    <w:p>
      <w:pPr>
        <w:spacing w:after="0" w:line="153"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March 6, 2025</w:t>
            </w:r>
          </w:p>
        </w:tc>
        <w:tc>
          <w:tcPr>
            <w:tcW w:w="6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Thomas C. Priore</w:t>
            </w:r>
          </w:p>
        </w:tc>
      </w:tr>
      <w:tr>
        <w:trPr>
          <w:trHeight w:val="174"/>
        </w:trPr>
        <w:tc>
          <w:tcPr>
            <w:tcW w:w="4600" w:type="dxa"/>
            <w:vAlign w:val="bottom"/>
          </w:tcPr>
          <w:p>
            <w:pPr>
              <w:spacing w:after="0"/>
              <w:rPr>
                <w:sz w:val="15"/>
                <w:szCs w:val="15"/>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Thomas C. Priore</w:t>
            </w:r>
          </w:p>
        </w:tc>
      </w:tr>
      <w:tr>
        <w:trPr>
          <w:trHeight w:val="180"/>
        </w:trPr>
        <w:tc>
          <w:tcPr>
            <w:tcW w:w="4600" w:type="dxa"/>
            <w:vAlign w:val="bottom"/>
          </w:tcPr>
          <w:p>
            <w:pPr>
              <w:spacing w:after="0"/>
              <w:rPr>
                <w:sz w:val="15"/>
                <w:szCs w:val="15"/>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w:t>
            </w:r>
          </w:p>
        </w:tc>
      </w:tr>
      <w:tr>
        <w:trPr>
          <w:trHeight w:val="186"/>
        </w:trPr>
        <w:tc>
          <w:tcPr>
            <w:tcW w:w="460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861"/>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March 6, 2025</w:t>
            </w:r>
          </w:p>
        </w:tc>
        <w:tc>
          <w:tcPr>
            <w:tcW w:w="6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Timothy O'Leary</w:t>
            </w:r>
          </w:p>
        </w:tc>
      </w:tr>
      <w:tr>
        <w:trPr>
          <w:trHeight w:val="174"/>
        </w:trPr>
        <w:tc>
          <w:tcPr>
            <w:tcW w:w="4600" w:type="dxa"/>
            <w:vAlign w:val="bottom"/>
          </w:tcPr>
          <w:p>
            <w:pPr>
              <w:spacing w:after="0"/>
              <w:rPr>
                <w:sz w:val="15"/>
                <w:szCs w:val="15"/>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Timothy O'Leary</w:t>
            </w:r>
          </w:p>
        </w:tc>
      </w:tr>
      <w:tr>
        <w:trPr>
          <w:trHeight w:val="180"/>
        </w:trPr>
        <w:tc>
          <w:tcPr>
            <w:tcW w:w="4600" w:type="dxa"/>
            <w:vAlign w:val="bottom"/>
          </w:tcPr>
          <w:p>
            <w:pPr>
              <w:spacing w:after="0"/>
              <w:rPr>
                <w:sz w:val="15"/>
                <w:szCs w:val="15"/>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460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certifications are being furnished solely pursuant to 18 U.S.C. § 1350 and are not being filed as part of the Report on Form 10-K or as a separate disclosure document.</w:t>
      </w:r>
    </w:p>
    <w:sectPr>
      <w:pgSz w:w="11900" w:h="16838" w:orient="portrait"/>
      <w:cols w:equalWidth="0" w:num="1">
        <w:col w:w="11280"/>
      </w:cols>
      <w:pgMar w:left="300" w:top="5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lvl w:ilvl="1">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lvl w:ilvl="1">
      <w:lvlJc w:val="left"/>
      <w:lvlText w:val="(%2)"/>
      <w:numFmt w:val="decimal"/>
      <w:start w:val="3"/>
    </w:lvl>
  </w:abstractNum>
  <w:abstractNum w:abstractNumId="20">
    <w:nsid w:val="5072367"/>
    <w:multiLevelType w:val="hybridMultilevel"/>
    <w:lvl w:ilvl="0">
      <w:lvlJc w:val="left"/>
      <w:lvlText w:val="%1."/>
      <w:numFmt w:val="decimal"/>
      <w:start w:val="3"/>
    </w:lvl>
    <w:lvl w:ilvl="1">
      <w:lvlJc w:val="left"/>
      <w:lvlText w:val="%2"/>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lvl w:ilvl="1">
      <w:lvlJc w:val="left"/>
      <w:lvlText w:val="(%2)"/>
      <w:numFmt w:val="decimal"/>
      <w:start w:val="1"/>
    </w:lvl>
  </w:abstractNum>
  <w:abstractNum w:abstractNumId="23">
    <w:nsid w:val="7724C67E"/>
    <w:multiLevelType w:val="hybridMultilevel"/>
    <w:lvl w:ilvl="0">
      <w:lvlJc w:val="left"/>
      <w:lvlText w:val="%1."/>
      <w:numFmt w:val="decimal"/>
      <w:start w:val="5"/>
    </w:lvl>
    <w:lvl w:ilvl="1">
      <w:lvlJc w:val="left"/>
      <w:lvlText w:val="%2"/>
      <w:numFmt w:val="decimal"/>
      <w:start w:val="1"/>
    </w:lvl>
  </w:abstractNum>
  <w:abstractNum w:abstractNumId="24">
    <w:nsid w:val="5C482A97"/>
    <w:multiLevelType w:val="hybridMultilevel"/>
    <w:lvl w:ilvl="0">
      <w:lvlJc w:val="left"/>
      <w:lvlText w:val="%1."/>
      <w:numFmt w:val="decimal"/>
      <w:start w:val="7"/>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lvl w:ilvl="1">
      <w:lvlJc w:val="left"/>
      <w:lvlText w:val="(%2)"/>
      <w:numFmt w:val="decimal"/>
      <w:start w:val="1"/>
    </w:lvl>
  </w:abstractNum>
  <w:abstractNum w:abstractNumId="31">
    <w:nsid w:val="3855585C"/>
    <w:multiLevelType w:val="hybridMultilevel"/>
    <w:lvl w:ilvl="0">
      <w:lvlJc w:val="left"/>
      <w:lvlText w:val="%1."/>
      <w:numFmt w:val="decimal"/>
      <w:start w:val="11"/>
    </w:lvl>
    <w:lvl w:ilvl="1">
      <w:lvlJc w:val="left"/>
      <w:lvlText w:val="%2"/>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4"/>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5"/>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5"/>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lvl w:ilvl="1">
      <w:lvlJc w:val="left"/>
      <w:lvlText w:val="(%2)"/>
      <w:numFmt w:val="decimal"/>
      <w:start w:val="1"/>
    </w:lvl>
  </w:abstractNum>
  <w:abstractNum w:abstractNumId="46">
    <w:nsid w:val="684A481A"/>
    <w:multiLevelType w:val="hybridMultilevel"/>
    <w:lvl w:ilvl="0">
      <w:lvlJc w:val="left"/>
      <w:lvlText w:val="%1."/>
      <w:numFmt w:val="decimal"/>
      <w:start w:val="21"/>
    </w:lvl>
    <w:lvl w:ilvl="1">
      <w:lvlJc w:val="left"/>
      <w:lvlText w:val="%2"/>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40" Type="http://schemas.openxmlformats.org/officeDocument/2006/relationships/image" Target="media/image119.png"/><Relationship Id="rId168"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46" Type="http://schemas.openxmlformats.org/officeDocument/2006/relationships/hyperlink" Target="https://www.sec.gov/ix?doc=/Archives/edgar/data/0001653558/000165355824000039/prth-20231231.htm" TargetMode="External"/><Relationship Id="rId127" Type="http://schemas.openxmlformats.org/officeDocument/2006/relationships/hyperlink" Target="https://www.sec.gov/Archives/edgar/data/1653558/000161577418006226/s111183_defm14a.htm" TargetMode="External"/><Relationship Id="rId128" Type="http://schemas.openxmlformats.org/officeDocument/2006/relationships/hyperlink" Target="https://www.sec.gov/Archives/edgar/data/1653558/000165355821000031/projectwarriorfinxera-merg.htm" TargetMode="External"/><Relationship Id="rId129" Type="http://schemas.openxmlformats.org/officeDocument/2006/relationships/hyperlink" Target="https://www.sec.gov/Archives/edgar/data/1653558/000165355821000060/annex1certificateofamendme.htm" TargetMode="External"/><Relationship Id="rId130" Type="http://schemas.openxmlformats.org/officeDocument/2006/relationships/hyperlink" Target="https://www.sec.gov/Archives/edgar/data/0001653558/000165355821000031/projectwarriorfinxera-merg.htm" TargetMode="External"/><Relationship Id="rId131" Type="http://schemas.openxmlformats.org/officeDocument/2006/relationships/hyperlink" Target="http://www.sec.gov/Archives/edgar/data/1653558/000161577418007231/s111606_ex3-1.htm" TargetMode="External"/><Relationship Id="rId132" Type="http://schemas.openxmlformats.org/officeDocument/2006/relationships/hyperlink" Target="http://www.sec.gov/Archives/edgar/data/1653558/000161577418007231/s111606_ex3-2.htm" TargetMode="External"/><Relationship Id="rId133" Type="http://schemas.openxmlformats.org/officeDocument/2006/relationships/hyperlink" Target="https://www.sec.gov/Archives/edgar/data/0001653558/000165355821000065/exhibit31-priorityxcertifi.htm" TargetMode="External"/><Relationship Id="rId134" Type="http://schemas.openxmlformats.org/officeDocument/2006/relationships/hyperlink" Target="http://www.sec.gov/Archives/edgar/data/1653558/000161577416006436/s103712_ex4-1.htm" TargetMode="External"/><Relationship Id="rId135" Type="http://schemas.openxmlformats.org/officeDocument/2006/relationships/hyperlink" Target="http://www.sec.gov/Archives/edgar/data/1653558/000161577416006436/s103712_ex4-2.htm" TargetMode="External"/><Relationship Id="rId136" Type="http://schemas.openxmlformats.org/officeDocument/2006/relationships/hyperlink" Target="http://www.sec.gov/Archives/edgar/data/1653558/000161577416006436/s103712_ex4-3.htm" TargetMode="External"/><Relationship Id="rId137" Type="http://schemas.openxmlformats.org/officeDocument/2006/relationships/hyperlink" Target="http://www.sec.gov/Archives/edgar/data/1653558/000161577416007233/s104127_ex4-1.htm" TargetMode="External"/><Relationship Id="rId138" Type="http://schemas.openxmlformats.org/officeDocument/2006/relationships/hyperlink" Target="https://www.sec.gov/Archives/edgar/data/1653558/000165355823000030/prioritytechnology-ex45.htm" TargetMode="External"/><Relationship Id="rId139" Type="http://schemas.openxmlformats.org/officeDocument/2006/relationships/hyperlink" Target="https://www.sec.gov/Archives/edgar/data/0001653558/000165355821000065/exhibit41-priorityxwarrant.htm" TargetMode="External"/><Relationship Id="rId141" Type="http://schemas.openxmlformats.org/officeDocument/2006/relationships/hyperlink" Target="http://www.sec.gov/Archives/edgar/data/1653558/000161577418007231/s111606_ex10-1.htm" TargetMode="External"/><Relationship Id="rId142" Type="http://schemas.openxmlformats.org/officeDocument/2006/relationships/hyperlink" Target="http://www.sec.gov/Archives/edgar/data/1653558/000161577418007231/s111606_ex10-2.htm" TargetMode="External"/><Relationship Id="rId143" Type="http://schemas.openxmlformats.org/officeDocument/2006/relationships/hyperlink" Target="https://www.sec.gov/Archives/edgar/data/0001653558/000165355821000101/ex1021prioritytechnologyq2.htm" TargetMode="External"/><Relationship Id="rId144" Type="http://schemas.openxmlformats.org/officeDocument/2006/relationships/hyperlink" Target="https://www.sec.gov/Archives/edgar/data/1653558/000165355822000028/prioritytechnology-ex1031x.htm" TargetMode="External"/><Relationship Id="rId145" Type="http://schemas.openxmlformats.org/officeDocument/2006/relationships/hyperlink" Target="https://www.sec.gov/Archives/edgar/data/0001653558/000165355821000065/exhibit103-prioritypayment.htm" TargetMode="External"/><Relationship Id="rId146" Type="http://schemas.openxmlformats.org/officeDocument/2006/relationships/hyperlink" Target="http://www.sec.gov/Archives/edgar/data/1653558/000161577418014981/s114881_ex10-6.htm" TargetMode="External"/><Relationship Id="rId147" Type="http://schemas.openxmlformats.org/officeDocument/2006/relationships/hyperlink" Target="http://www.sec.gov/Archives/edgar/data/1653558/000161577418014981/s114881_ex10-7.htm" TargetMode="External"/><Relationship Id="rId148" Type="http://schemas.openxmlformats.org/officeDocument/2006/relationships/hyperlink" Target="https://www.sec.gov/Archives/edgar/data/1653558/000165355823000030/prioritytechnology-ex107.htm" TargetMode="External"/><Relationship Id="rId149" Type="http://schemas.openxmlformats.org/officeDocument/2006/relationships/hyperlink" Target="https://www.sec.gov/Archives/edgar/data/1653558/000165355823000030/prioritytechnology-ex108.htm" TargetMode="External"/><Relationship Id="rId150" Type="http://schemas.openxmlformats.org/officeDocument/2006/relationships/hyperlink" Target="https://www.sec.gov/Archives/edgar/data/1653558/000165355822000064/ex1023formrestrictedstocku.htm" TargetMode="External"/><Relationship Id="rId151" Type="http://schemas.openxmlformats.org/officeDocument/2006/relationships/hyperlink" Target="http://www.sec.gov/Archives/edgar/data/1653558/000162828019003666/prioritytechnology-ex1019.htm" TargetMode="External"/><Relationship Id="rId152" Type="http://schemas.openxmlformats.org/officeDocument/2006/relationships/hyperlink" Target="https://www.sec.gov/Archives/edgar/data/1653558/000165355820000148/assetpurchaseagreement.htm" TargetMode="External"/><Relationship Id="rId153" Type="http://schemas.openxmlformats.org/officeDocument/2006/relationships/hyperlink" Target="https://www.sec.gov/Archives/edgar/data/0001653558/000165355821000031/exhibith-supportagreemente.htm" TargetMode="External"/><Relationship Id="rId154" Type="http://schemas.openxmlformats.org/officeDocument/2006/relationships/hyperlink" Target="https://www.sec.gov/Archives/edgar/data/1653558/000165355821000031/exhibith-supportagreemente.htm" TargetMode="External"/><Relationship Id="rId155" Type="http://schemas.openxmlformats.org/officeDocument/2006/relationships/hyperlink" Target="https://www.sec.gov/Archives/edgar/data/0001653558/000165355821000031/priorityprojectwarrior-tru.htm" TargetMode="External"/><Relationship Id="rId156" Type="http://schemas.openxmlformats.org/officeDocument/2006/relationships/hyperlink" Target="https://www.sec.gov/Archives/edgar/data/0001653558/000165355821000031/priority-arespreferredcomm.htm" TargetMode="External"/><Relationship Id="rId157" Type="http://schemas.openxmlformats.org/officeDocument/2006/relationships/hyperlink" Target="https://www.sec.gov/Archives/edgar/data/0001653558/000165355821000065/exhibit101-priorityxpurcha.htm" TargetMode="External"/><Relationship Id="rId158" Type="http://schemas.openxmlformats.org/officeDocument/2006/relationships/hyperlink" Target="https://www.sec.gov/Archives/edgar/data/0001653558/000165355821000065/exhibit102-priorityxregist.htm" TargetMode="External"/><Relationship Id="rId159" Type="http://schemas.openxmlformats.org/officeDocument/2006/relationships/hyperlink" Target="https://www.sec.gov/Archives/edgar/data/0001653558/000165355821000114/prioritypayments-secondame.htm" TargetMode="External"/><Relationship Id="rId160" Type="http://schemas.openxmlformats.org/officeDocument/2006/relationships/hyperlink" Target="https://www.sec.gov/Archives/edgar/data/1653558/000165355823000078/a063023exhibit101vf.htm" TargetMode="External"/><Relationship Id="rId161" Type="http://schemas.openxmlformats.org/officeDocument/2006/relationships/hyperlink" Target="https://www.sec.gov/Archives/edgar/data/1653558/000165355823000123/exhibit1011.htm" TargetMode="External"/><Relationship Id="rId162" Type="http://schemas.openxmlformats.org/officeDocument/2006/relationships/hyperlink" Target="https://www.sec.gov/Archives/edgar/data/1653558/000165355823000087/ex101projectbellamy-amen.htm" TargetMode="External"/><Relationship Id="rId163" Type="http://schemas.openxmlformats.org/officeDocument/2006/relationships/hyperlink" Target="https://www.sec.gov/Archives/edgar/data/1653558/000165355823000087/ex102priority-sideletter.htm" TargetMode="External"/><Relationship Id="rId164" Type="http://schemas.openxmlformats.org/officeDocument/2006/relationships/hyperlink" Target="https://www.sec.gov/Archives/edgar/data/1653558/000165355823000087/ex103projectbellamy-earnou.htm" TargetMode="External"/><Relationship Id="rId165" Type="http://schemas.openxmlformats.org/officeDocument/2006/relationships/hyperlink" Target="https://www.sec.gov/Archives/edgar/data/1653558/000165355823000100/ex1023priority-amendedandr.htm" TargetMode="External"/><Relationship Id="rId166" Type="http://schemas.openxmlformats.org/officeDocument/2006/relationships/hyperlink" Target="https://www.sec.gov/Archives/edgar/data/1653558/000165355823000140/ex1024kiewietprthsalespl.htm" TargetMode="External"/><Relationship Id="rId167" Type="http://schemas.openxmlformats.org/officeDocument/2006/relationships/hyperlink" Target="https://www.sec.gov/ix?doc=/Archives/edgar/data/0001653558/000165355824000073/prth-20240516.htm" TargetMode="External"/><Relationship Id="rId169" Type="http://schemas.openxmlformats.org/officeDocument/2006/relationships/hyperlink" Target="https://www.sec.gov/ix?doc=/Archives/edgar/data/0001653558/000165355824000153/prth-20241121.htm" TargetMode="External"/><Relationship Id="rId170" Type="http://schemas.openxmlformats.org/officeDocument/2006/relationships/hyperlink" Target="https://www.sec.gov/Archives/edgar/data/1653558/000165355823000056/ex1025priorityrecoupmentc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2025-03-06T07:33:25Z</dcterms:created>
  <dcterms:modified xsi:type="dcterms:W3CDTF">2025-03-06T07:33:25Z</dcterms:modified>
</cp:coreProperties>
</file>