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546100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 10-Q</w:t>
      </w:r>
    </w:p>
    <w:p>
      <w:pPr>
        <w:spacing w:after="0" w:line="162" w:lineRule="exact"/>
        <w:rPr>
          <w:sz w:val="24"/>
          <w:szCs w:val="24"/>
          <w:color w:val="auto"/>
        </w:rPr>
      </w:pPr>
    </w:p>
    <w:p>
      <w:pPr>
        <w:jc w:val="center"/>
        <w:ind w:left="4620" w:right="2840" w:hanging="1790"/>
        <w:spacing w:after="0" w:line="320" w:lineRule="auto"/>
        <w:tabs>
          <w:tab w:leader="none" w:pos="297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1"/>
          <w:szCs w:val="11"/>
          <w:b w:val="1"/>
          <w:bCs w:val="1"/>
          <w:color w:val="auto"/>
        </w:rPr>
        <w:t>QUARTERLY REPORT PURSUANT TO SECTION 13 OR 15(d) OF THE SECURITIES EXCHANGE ACT OF 1934 For the quarterly period ended June 30, 2024</w:t>
      </w:r>
    </w:p>
    <w:p>
      <w:pPr>
        <w:jc w:val="center"/>
        <w:spacing w:after="0"/>
        <w:rPr>
          <w:sz w:val="20"/>
          <w:szCs w:val="20"/>
          <w:color w:val="auto"/>
        </w:rPr>
      </w:pPr>
      <w:r>
        <w:rPr>
          <w:rFonts w:ascii="Times New Roman" w:cs="Times New Roman" w:eastAsia="Times New Roman" w:hAnsi="Times New Roman"/>
          <w:sz w:val="12"/>
          <w:szCs w:val="12"/>
          <w:b w:val="1"/>
          <w:bCs w:val="1"/>
          <w:color w:val="auto"/>
        </w:rPr>
        <w:t>OR</w:t>
      </w:r>
    </w:p>
    <w:p>
      <w:pPr>
        <w:spacing w:after="0" w:line="46" w:lineRule="exact"/>
        <w:rPr>
          <w:sz w:val="24"/>
          <w:szCs w:val="24"/>
          <w:color w:val="auto"/>
        </w:rPr>
      </w:pPr>
    </w:p>
    <w:p>
      <w:pPr>
        <w:ind w:left="2960" w:hanging="128"/>
        <w:spacing w:after="0"/>
        <w:tabs>
          <w:tab w:leader="none" w:pos="2960" w:val="left"/>
        </w:tabs>
        <w:numPr>
          <w:ilvl w:val="0"/>
          <w:numId w:val="2"/>
        </w:numPr>
        <w:rPr>
          <w:rFonts w:ascii="MS PGothic" w:cs="MS PGothic" w:eastAsia="MS PGothic" w:hAnsi="MS PGothic"/>
          <w:sz w:val="11"/>
          <w:szCs w:val="11"/>
          <w:color w:val="auto"/>
        </w:rPr>
      </w:pPr>
      <w:r>
        <w:rPr>
          <w:rFonts w:ascii="Times New Roman" w:cs="Times New Roman" w:eastAsia="Times New Roman" w:hAnsi="Times New Roman"/>
          <w:sz w:val="11"/>
          <w:szCs w:val="11"/>
          <w:b w:val="1"/>
          <w:bCs w:val="1"/>
          <w:color w:val="auto"/>
        </w:rPr>
        <w:t>TRANSITION REPORT PURSUANT TO SECTION 13 OR 15(d) OF THE SECURITIES EXCHANGE ACT OF 1934</w:t>
      </w:r>
    </w:p>
    <w:p>
      <w:pPr>
        <w:spacing w:after="0" w:line="36" w:lineRule="exact"/>
        <w:rPr>
          <w:sz w:val="24"/>
          <w:szCs w:val="24"/>
          <w:color w:val="auto"/>
        </w:rPr>
      </w:pPr>
    </w:p>
    <w:p>
      <w:pPr>
        <w:ind w:left="4620"/>
        <w:spacing w:after="0"/>
        <w:tabs>
          <w:tab w:leader="none" w:pos="6540" w:val="left"/>
        </w:tabs>
        <w:rPr>
          <w:sz w:val="20"/>
          <w:szCs w:val="20"/>
          <w:color w:val="auto"/>
        </w:rPr>
      </w:pPr>
      <w:r>
        <w:rPr>
          <w:rFonts w:ascii="Times New Roman" w:cs="Times New Roman" w:eastAsia="Times New Roman" w:hAnsi="Times New Roman"/>
          <w:sz w:val="11"/>
          <w:szCs w:val="11"/>
          <w:b w:val="1"/>
          <w:bCs w:val="1"/>
          <w:color w:val="auto"/>
        </w:rPr>
        <w:t>For the transition period from</w:t>
      </w:r>
      <w:r>
        <w:rPr>
          <w:sz w:val="20"/>
          <w:szCs w:val="20"/>
          <w:color w:val="auto"/>
        </w:rPr>
        <w:tab/>
      </w:r>
      <w:r>
        <w:rPr>
          <w:rFonts w:ascii="Times New Roman" w:cs="Times New Roman" w:eastAsia="Times New Roman" w:hAnsi="Times New Roman"/>
          <w:sz w:val="9"/>
          <w:szCs w:val="9"/>
          <w:b w:val="1"/>
          <w:bCs w:val="1"/>
          <w:color w:val="auto"/>
        </w:rPr>
        <w:t>to</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Commission file number: 001-37872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2738120</wp:posOffset>
            </wp:positionH>
            <wp:positionV relativeFrom="paragraph">
              <wp:posOffset>13335</wp:posOffset>
            </wp:positionV>
            <wp:extent cx="1691640" cy="782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91640" cy="7829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tbl>
      <w:tblPr>
        <w:tblLayout w:type="fixed"/>
        <w:tblInd w:w="10" w:type="dxa"/>
        <w:tblCellMar>
          <w:top w:w="0" w:type="dxa"/>
          <w:left w:w="0" w:type="dxa"/>
          <w:bottom w:w="0" w:type="dxa"/>
          <w:right w:w="0" w:type="dxa"/>
        </w:tblCellMar>
      </w:tblPr>
      <w:tr>
        <w:trPr>
          <w:trHeight w:val="148"/>
        </w:trPr>
        <w:tc>
          <w:tcPr>
            <w:tcW w:w="4060" w:type="dxa"/>
            <w:vAlign w:val="bottom"/>
          </w:tcPr>
          <w:p>
            <w:pPr>
              <w:spacing w:after="0"/>
              <w:rPr>
                <w:sz w:val="12"/>
                <w:szCs w:val="12"/>
                <w:color w:val="auto"/>
              </w:rPr>
            </w:pPr>
          </w:p>
        </w:tc>
        <w:tc>
          <w:tcPr>
            <w:tcW w:w="3540" w:type="dxa"/>
            <w:vAlign w:val="bottom"/>
            <w:gridSpan w:val="3"/>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9"/>
              </w:rPr>
              <w:t>Priority Technology Holdings, Inc.</w:t>
            </w:r>
          </w:p>
        </w:tc>
        <w:tc>
          <w:tcPr>
            <w:tcW w:w="3720" w:type="dxa"/>
            <w:vAlign w:val="bottom"/>
          </w:tcPr>
          <w:p>
            <w:pPr>
              <w:spacing w:after="0"/>
              <w:rPr>
                <w:sz w:val="12"/>
                <w:szCs w:val="12"/>
                <w:color w:val="auto"/>
              </w:rPr>
            </w:pPr>
          </w:p>
        </w:tc>
      </w:tr>
      <w:tr>
        <w:trPr>
          <w:trHeight w:val="155"/>
        </w:trPr>
        <w:tc>
          <w:tcPr>
            <w:tcW w:w="4060" w:type="dxa"/>
            <w:vAlign w:val="bottom"/>
          </w:tcPr>
          <w:p>
            <w:pPr>
              <w:spacing w:after="0"/>
              <w:rPr>
                <w:sz w:val="13"/>
                <w:szCs w:val="13"/>
                <w:color w:val="auto"/>
              </w:rPr>
            </w:pPr>
          </w:p>
        </w:tc>
        <w:tc>
          <w:tcPr>
            <w:tcW w:w="3540" w:type="dxa"/>
            <w:vAlign w:val="bottom"/>
            <w:gridSpan w:val="3"/>
          </w:tcPr>
          <w:p>
            <w:pPr>
              <w:jc w:val="center"/>
              <w:ind w:right="380"/>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tc>
        <w:tc>
          <w:tcPr>
            <w:tcW w:w="3720" w:type="dxa"/>
            <w:vAlign w:val="bottom"/>
          </w:tcPr>
          <w:p>
            <w:pPr>
              <w:spacing w:after="0"/>
              <w:rPr>
                <w:sz w:val="13"/>
                <w:szCs w:val="13"/>
                <w:color w:val="auto"/>
              </w:rPr>
            </w:pPr>
          </w:p>
        </w:tc>
      </w:tr>
      <w:tr>
        <w:trPr>
          <w:trHeight w:val="171"/>
        </w:trPr>
        <w:tc>
          <w:tcPr>
            <w:tcW w:w="4060" w:type="dxa"/>
            <w:vAlign w:val="bottom"/>
            <w:tcBorders>
              <w:bottom w:val="single" w:sz="8" w:color="auto"/>
            </w:tcBorders>
          </w:tcPr>
          <w:p>
            <w:pPr>
              <w:jc w:val="center"/>
              <w:ind w:left="2482"/>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7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tcPr>
          <w:p>
            <w:pPr>
              <w:jc w:val="right"/>
              <w:ind w:right="2023"/>
              <w:spacing w:after="0"/>
              <w:rPr>
                <w:sz w:val="20"/>
                <w:szCs w:val="20"/>
                <w:color w:val="auto"/>
              </w:rPr>
            </w:pPr>
            <w:r>
              <w:rPr>
                <w:rFonts w:ascii="Times New Roman" w:cs="Times New Roman" w:eastAsia="Times New Roman" w:hAnsi="Times New Roman"/>
                <w:sz w:val="12"/>
                <w:szCs w:val="12"/>
                <w:b w:val="1"/>
                <w:bCs w:val="1"/>
                <w:color w:val="auto"/>
              </w:rPr>
              <w:t>47-4257046</w:t>
            </w:r>
          </w:p>
        </w:tc>
      </w:tr>
      <w:tr>
        <w:trPr>
          <w:trHeight w:val="97"/>
        </w:trPr>
        <w:tc>
          <w:tcPr>
            <w:tcW w:w="4060" w:type="dxa"/>
            <w:vAlign w:val="bottom"/>
          </w:tcPr>
          <w:p>
            <w:pPr>
              <w:jc w:val="center"/>
              <w:ind w:left="2482"/>
              <w:spacing w:after="0" w:line="97" w:lineRule="exact"/>
              <w:rPr>
                <w:sz w:val="20"/>
                <w:szCs w:val="20"/>
                <w:color w:val="auto"/>
              </w:rPr>
            </w:pPr>
            <w:r>
              <w:rPr>
                <w:rFonts w:ascii="Times New Roman" w:cs="Times New Roman" w:eastAsia="Times New Roman" w:hAnsi="Times New Roman"/>
                <w:sz w:val="11"/>
                <w:szCs w:val="11"/>
                <w:color w:val="auto"/>
                <w:w w:val="97"/>
              </w:rPr>
              <w:t>(State or other jurisdiction of</w:t>
            </w:r>
          </w:p>
        </w:tc>
        <w:tc>
          <w:tcPr>
            <w:tcW w:w="7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720" w:type="dxa"/>
            <w:vAlign w:val="bottom"/>
          </w:tcPr>
          <w:p>
            <w:pPr>
              <w:jc w:val="center"/>
              <w:ind w:right="963"/>
              <w:spacing w:after="0" w:line="97" w:lineRule="exact"/>
              <w:rPr>
                <w:sz w:val="20"/>
                <w:szCs w:val="20"/>
                <w:color w:val="auto"/>
              </w:rPr>
            </w:pPr>
            <w:r>
              <w:rPr>
                <w:rFonts w:ascii="Times New Roman" w:cs="Times New Roman" w:eastAsia="Times New Roman" w:hAnsi="Times New Roman"/>
                <w:sz w:val="11"/>
                <w:szCs w:val="11"/>
                <w:color w:val="auto"/>
                <w:w w:val="98"/>
              </w:rPr>
              <w:t>(I.R.S. Employer</w:t>
            </w:r>
          </w:p>
        </w:tc>
      </w:tr>
      <w:tr>
        <w:trPr>
          <w:trHeight w:val="140"/>
        </w:trPr>
        <w:tc>
          <w:tcPr>
            <w:tcW w:w="4060" w:type="dxa"/>
            <w:vAlign w:val="bottom"/>
          </w:tcPr>
          <w:p>
            <w:pPr>
              <w:jc w:val="center"/>
              <w:ind w:left="2462"/>
              <w:spacing w:after="0"/>
              <w:rPr>
                <w:sz w:val="20"/>
                <w:szCs w:val="20"/>
                <w:color w:val="auto"/>
              </w:rPr>
            </w:pPr>
            <w:r>
              <w:rPr>
                <w:rFonts w:ascii="Times New Roman" w:cs="Times New Roman" w:eastAsia="Times New Roman" w:hAnsi="Times New Roman"/>
                <w:sz w:val="11"/>
                <w:szCs w:val="11"/>
                <w:color w:val="auto"/>
                <w:w w:val="98"/>
              </w:rPr>
              <w:t>incorporation or organization)</w:t>
            </w:r>
          </w:p>
        </w:tc>
        <w:tc>
          <w:tcPr>
            <w:tcW w:w="7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720" w:type="dxa"/>
            <w:vAlign w:val="bottom"/>
          </w:tcPr>
          <w:p>
            <w:pPr>
              <w:jc w:val="center"/>
              <w:ind w:right="963"/>
              <w:spacing w:after="0"/>
              <w:rPr>
                <w:sz w:val="20"/>
                <w:szCs w:val="20"/>
                <w:color w:val="auto"/>
              </w:rPr>
            </w:pPr>
            <w:r>
              <w:rPr>
                <w:rFonts w:ascii="Times New Roman" w:cs="Times New Roman" w:eastAsia="Times New Roman" w:hAnsi="Times New Roman"/>
                <w:sz w:val="11"/>
                <w:szCs w:val="11"/>
                <w:color w:val="auto"/>
              </w:rPr>
              <w:t>Identification No.)</w:t>
            </w:r>
          </w:p>
        </w:tc>
      </w:tr>
      <w:tr>
        <w:trPr>
          <w:trHeight w:val="286"/>
        </w:trPr>
        <w:tc>
          <w:tcPr>
            <w:tcW w:w="4060" w:type="dxa"/>
            <w:vAlign w:val="bottom"/>
          </w:tcPr>
          <w:p>
            <w:pPr>
              <w:jc w:val="center"/>
              <w:ind w:left="2482"/>
              <w:spacing w:after="0"/>
              <w:rPr>
                <w:sz w:val="20"/>
                <w:szCs w:val="20"/>
                <w:color w:val="auto"/>
              </w:rPr>
            </w:pPr>
            <w:r>
              <w:rPr>
                <w:rFonts w:ascii="Times New Roman" w:cs="Times New Roman" w:eastAsia="Times New Roman" w:hAnsi="Times New Roman"/>
                <w:sz w:val="12"/>
                <w:szCs w:val="12"/>
                <w:b w:val="1"/>
                <w:bCs w:val="1"/>
                <w:color w:val="auto"/>
                <w:w w:val="98"/>
              </w:rPr>
              <w:t>2001 Westside Parkway</w:t>
            </w:r>
          </w:p>
        </w:tc>
        <w:tc>
          <w:tcPr>
            <w:tcW w:w="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153"/>
        </w:trPr>
        <w:tc>
          <w:tcPr>
            <w:tcW w:w="4060" w:type="dxa"/>
            <w:vAlign w:val="bottom"/>
          </w:tcPr>
          <w:p>
            <w:pPr>
              <w:jc w:val="center"/>
              <w:ind w:left="2482"/>
              <w:spacing w:after="0"/>
              <w:rPr>
                <w:sz w:val="20"/>
                <w:szCs w:val="20"/>
                <w:color w:val="auto"/>
              </w:rPr>
            </w:pPr>
            <w:r>
              <w:rPr>
                <w:rFonts w:ascii="Times New Roman" w:cs="Times New Roman" w:eastAsia="Times New Roman" w:hAnsi="Times New Roman"/>
                <w:sz w:val="12"/>
                <w:szCs w:val="12"/>
                <w:b w:val="1"/>
                <w:bCs w:val="1"/>
                <w:color w:val="auto"/>
              </w:rPr>
              <w:t>Suite 155</w:t>
            </w:r>
          </w:p>
        </w:tc>
        <w:tc>
          <w:tcPr>
            <w:tcW w:w="7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59"/>
        </w:trPr>
        <w:tc>
          <w:tcPr>
            <w:tcW w:w="4060" w:type="dxa"/>
            <w:vAlign w:val="bottom"/>
            <w:tcBorders>
              <w:bottom w:val="single" w:sz="8" w:color="auto"/>
            </w:tcBorders>
          </w:tcPr>
          <w:p>
            <w:pPr>
              <w:jc w:val="center"/>
              <w:ind w:left="542"/>
              <w:spacing w:after="0"/>
              <w:rPr>
                <w:sz w:val="20"/>
                <w:szCs w:val="20"/>
                <w:color w:val="auto"/>
              </w:rPr>
            </w:pPr>
            <w:r>
              <w:rPr>
                <w:rFonts w:ascii="Times New Roman" w:cs="Times New Roman" w:eastAsia="Times New Roman" w:hAnsi="Times New Roman"/>
                <w:sz w:val="12"/>
                <w:szCs w:val="12"/>
                <w:b w:val="1"/>
                <w:bCs w:val="1"/>
                <w:color w:val="auto"/>
                <w:w w:val="98"/>
              </w:rPr>
              <w:t>Alpharetta,</w:t>
            </w:r>
          </w:p>
        </w:tc>
        <w:tc>
          <w:tcPr>
            <w:tcW w:w="76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gridSpan w:val="2"/>
          </w:tcPr>
          <w:p>
            <w:pPr>
              <w:jc w:val="center"/>
              <w:ind w:right="1160"/>
              <w:spacing w:after="0"/>
              <w:rPr>
                <w:sz w:val="20"/>
                <w:szCs w:val="20"/>
                <w:color w:val="auto"/>
              </w:rPr>
            </w:pPr>
            <w:r>
              <w:rPr>
                <w:rFonts w:ascii="Times New Roman" w:cs="Times New Roman" w:eastAsia="Times New Roman" w:hAnsi="Times New Roman"/>
                <w:sz w:val="12"/>
                <w:szCs w:val="12"/>
                <w:b w:val="1"/>
                <w:bCs w:val="1"/>
                <w:color w:val="auto"/>
              </w:rPr>
              <w:t>Georgia</w:t>
            </w:r>
          </w:p>
        </w:tc>
        <w:tc>
          <w:tcPr>
            <w:tcW w:w="3720" w:type="dxa"/>
            <w:vAlign w:val="bottom"/>
            <w:tcBorders>
              <w:bottom w:val="single" w:sz="8" w:color="auto"/>
            </w:tcBorders>
          </w:tcPr>
          <w:p>
            <w:pPr>
              <w:jc w:val="right"/>
              <w:ind w:right="2163"/>
              <w:spacing w:after="0"/>
              <w:rPr>
                <w:sz w:val="20"/>
                <w:szCs w:val="20"/>
                <w:color w:val="auto"/>
              </w:rPr>
            </w:pPr>
            <w:r>
              <w:rPr>
                <w:rFonts w:ascii="Times New Roman" w:cs="Times New Roman" w:eastAsia="Times New Roman" w:hAnsi="Times New Roman"/>
                <w:sz w:val="12"/>
                <w:szCs w:val="12"/>
                <w:b w:val="1"/>
                <w:bCs w:val="1"/>
                <w:color w:val="auto"/>
              </w:rPr>
              <w:t>30004</w:t>
            </w:r>
          </w:p>
        </w:tc>
      </w:tr>
      <w:tr>
        <w:trPr>
          <w:trHeight w:val="129"/>
        </w:trPr>
        <w:tc>
          <w:tcPr>
            <w:tcW w:w="4060" w:type="dxa"/>
            <w:vAlign w:val="bottom"/>
          </w:tcPr>
          <w:p>
            <w:pPr>
              <w:jc w:val="center"/>
              <w:ind w:left="542"/>
              <w:spacing w:after="0"/>
              <w:rPr>
                <w:sz w:val="20"/>
                <w:szCs w:val="20"/>
                <w:color w:val="auto"/>
              </w:rPr>
            </w:pPr>
            <w:r>
              <w:rPr>
                <w:rFonts w:ascii="Times New Roman" w:cs="Times New Roman" w:eastAsia="Times New Roman" w:hAnsi="Times New Roman"/>
                <w:sz w:val="11"/>
                <w:szCs w:val="11"/>
                <w:color w:val="auto"/>
                <w:w w:val="97"/>
              </w:rPr>
              <w:t>(Address of principal executive offices)</w:t>
            </w:r>
          </w:p>
        </w:tc>
        <w:tc>
          <w:tcPr>
            <w:tcW w:w="7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720" w:type="dxa"/>
            <w:vAlign w:val="bottom"/>
          </w:tcPr>
          <w:p>
            <w:pPr>
              <w:jc w:val="center"/>
              <w:ind w:right="943"/>
              <w:spacing w:after="0"/>
              <w:rPr>
                <w:sz w:val="20"/>
                <w:szCs w:val="20"/>
                <w:color w:val="auto"/>
              </w:rPr>
            </w:pPr>
            <w:r>
              <w:rPr>
                <w:rFonts w:ascii="Times New Roman" w:cs="Times New Roman" w:eastAsia="Times New Roman" w:hAnsi="Times New Roman"/>
                <w:sz w:val="11"/>
                <w:szCs w:val="11"/>
                <w:color w:val="auto"/>
                <w:w w:val="98"/>
              </w:rPr>
              <w:t>(Zip Code)</w:t>
            </w:r>
          </w:p>
        </w:tc>
      </w:tr>
      <w:tr>
        <w:trPr>
          <w:trHeight w:val="326"/>
        </w:trPr>
        <w:tc>
          <w:tcPr>
            <w:tcW w:w="40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1"/>
                <w:szCs w:val="11"/>
                <w:color w:val="auto"/>
                <w:w w:val="98"/>
              </w:rPr>
              <w:t>Registrant's telephone number, including area code: (404) 952-2107</w:t>
            </w:r>
          </w:p>
        </w:tc>
        <w:tc>
          <w:tcPr>
            <w:tcW w:w="3720" w:type="dxa"/>
            <w:vAlign w:val="bottom"/>
            <w:tcBorders>
              <w:bottom w:val="single" w:sz="8" w:color="auto"/>
            </w:tcBorders>
          </w:tcPr>
          <w:p>
            <w:pPr>
              <w:spacing w:after="0"/>
              <w:rPr>
                <w:sz w:val="24"/>
                <w:szCs w:val="24"/>
                <w:color w:val="auto"/>
              </w:rPr>
            </w:pPr>
          </w:p>
        </w:tc>
      </w:tr>
      <w:tr>
        <w:trPr>
          <w:trHeight w:val="268"/>
        </w:trPr>
        <w:tc>
          <w:tcPr>
            <w:tcW w:w="40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780" w:type="dxa"/>
            <w:vAlign w:val="bottom"/>
            <w:tcBorders>
              <w:bottom w:val="single" w:sz="8" w:color="auto"/>
            </w:tcBorders>
            <w:gridSpan w:val="2"/>
          </w:tcPr>
          <w:p>
            <w:pPr>
              <w:jc w:val="center"/>
              <w:ind w:right="1140"/>
              <w:spacing w:after="0"/>
              <w:rPr>
                <w:sz w:val="20"/>
                <w:szCs w:val="20"/>
                <w:color w:val="auto"/>
              </w:rPr>
            </w:pPr>
            <w:r>
              <w:rPr>
                <w:rFonts w:ascii="Times New Roman" w:cs="Times New Roman" w:eastAsia="Times New Roman" w:hAnsi="Times New Roman"/>
                <w:sz w:val="11"/>
                <w:szCs w:val="11"/>
                <w:color w:val="auto"/>
                <w:w w:val="99"/>
              </w:rPr>
              <w:t>Not applicable</w:t>
            </w:r>
          </w:p>
        </w:tc>
        <w:tc>
          <w:tcPr>
            <w:tcW w:w="3720" w:type="dxa"/>
            <w:vAlign w:val="bottom"/>
            <w:tcBorders>
              <w:bottom w:val="single" w:sz="8" w:color="auto"/>
            </w:tcBorders>
          </w:tcPr>
          <w:p>
            <w:pPr>
              <w:spacing w:after="0"/>
              <w:rPr>
                <w:sz w:val="23"/>
                <w:szCs w:val="23"/>
                <w:color w:val="auto"/>
              </w:rPr>
            </w:pPr>
          </w:p>
        </w:tc>
      </w:tr>
      <w:tr>
        <w:trPr>
          <w:trHeight w:val="131"/>
        </w:trPr>
        <w:tc>
          <w:tcPr>
            <w:tcW w:w="7600" w:type="dxa"/>
            <w:vAlign w:val="bottom"/>
            <w:gridSpan w:val="4"/>
          </w:tcPr>
          <w:p>
            <w:pPr>
              <w:jc w:val="center"/>
              <w:ind w:left="3642"/>
              <w:spacing w:after="0"/>
              <w:rPr>
                <w:sz w:val="20"/>
                <w:szCs w:val="20"/>
                <w:color w:val="auto"/>
              </w:rPr>
            </w:pPr>
            <w:r>
              <w:rPr>
                <w:rFonts w:ascii="Times New Roman" w:cs="Times New Roman" w:eastAsia="Times New Roman" w:hAnsi="Times New Roman"/>
                <w:sz w:val="11"/>
                <w:szCs w:val="11"/>
                <w:color w:val="auto"/>
                <w:w w:val="98"/>
              </w:rPr>
              <w:t>(Former name, former address and former fiscal year, if changed since last report)</w:t>
            </w:r>
          </w:p>
        </w:tc>
        <w:tc>
          <w:tcPr>
            <w:tcW w:w="3720" w:type="dxa"/>
            <w:vAlign w:val="bottom"/>
          </w:tcPr>
          <w:p>
            <w:pPr>
              <w:spacing w:after="0"/>
              <w:rPr>
                <w:sz w:val="11"/>
                <w:szCs w:val="11"/>
                <w:color w:val="auto"/>
              </w:rPr>
            </w:pPr>
          </w:p>
        </w:tc>
      </w:tr>
      <w:tr>
        <w:trPr>
          <w:trHeight w:val="355"/>
        </w:trPr>
        <w:tc>
          <w:tcPr>
            <w:tcW w:w="4060" w:type="dxa"/>
            <w:vAlign w:val="bottom"/>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162"/>
        </w:trPr>
        <w:tc>
          <w:tcPr>
            <w:tcW w:w="40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tcPr>
          <w:p>
            <w:pPr>
              <w:spacing w:after="0"/>
              <w:rPr>
                <w:sz w:val="14"/>
                <w:szCs w:val="14"/>
                <w:color w:val="auto"/>
              </w:rPr>
            </w:pPr>
          </w:p>
        </w:tc>
      </w:tr>
      <w:tr>
        <w:trPr>
          <w:trHeight w:val="142"/>
        </w:trPr>
        <w:tc>
          <w:tcPr>
            <w:tcW w:w="4060" w:type="dxa"/>
            <w:vAlign w:val="bottom"/>
            <w:tcBorders>
              <w:left w:val="single" w:sz="8" w:color="auto"/>
              <w:bottom w:val="single" w:sz="8" w:color="auto"/>
            </w:tcBorders>
          </w:tcPr>
          <w:p>
            <w:pPr>
              <w:jc w:val="center"/>
              <w:ind w:left="662"/>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76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1100" w:type="dxa"/>
            <w:vAlign w:val="bottom"/>
            <w:tcBorders>
              <w:bottom w:val="single" w:sz="8" w:color="auto"/>
            </w:tcBorders>
          </w:tcPr>
          <w:p>
            <w:pPr>
              <w:spacing w:after="0"/>
              <w:rPr>
                <w:sz w:val="12"/>
                <w:szCs w:val="12"/>
                <w:color w:val="auto"/>
              </w:rPr>
            </w:pPr>
          </w:p>
        </w:tc>
        <w:tc>
          <w:tcPr>
            <w:tcW w:w="3720" w:type="dxa"/>
            <w:vAlign w:val="bottom"/>
            <w:tcBorders>
              <w:bottom w:val="single" w:sz="8" w:color="auto"/>
              <w:right w:val="single" w:sz="8" w:color="auto"/>
            </w:tcBorders>
          </w:tcPr>
          <w:p>
            <w:pPr>
              <w:jc w:val="center"/>
              <w:ind w:right="1083"/>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142"/>
        </w:trPr>
        <w:tc>
          <w:tcPr>
            <w:tcW w:w="4060" w:type="dxa"/>
            <w:vAlign w:val="bottom"/>
            <w:tcBorders>
              <w:left w:val="single" w:sz="8" w:color="auto"/>
              <w:bottom w:val="single" w:sz="8" w:color="auto"/>
            </w:tcBorders>
          </w:tcPr>
          <w:p>
            <w:pPr>
              <w:jc w:val="center"/>
              <w:ind w:left="682"/>
              <w:spacing w:after="0"/>
              <w:rPr>
                <w:sz w:val="20"/>
                <w:szCs w:val="20"/>
                <w:color w:val="auto"/>
              </w:rPr>
            </w:pPr>
            <w:r>
              <w:rPr>
                <w:rFonts w:ascii="Times New Roman" w:cs="Times New Roman" w:eastAsia="Times New Roman" w:hAnsi="Times New Roman"/>
                <w:sz w:val="12"/>
                <w:szCs w:val="12"/>
                <w:color w:val="auto"/>
                <w:w w:val="99"/>
              </w:rPr>
              <w:t>Common Stock, par value $0.001</w:t>
            </w:r>
          </w:p>
        </w:tc>
        <w:tc>
          <w:tcPr>
            <w:tcW w:w="76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PRTH</w:t>
            </w:r>
          </w:p>
        </w:tc>
        <w:tc>
          <w:tcPr>
            <w:tcW w:w="1100" w:type="dxa"/>
            <w:vAlign w:val="bottom"/>
            <w:tcBorders>
              <w:bottom w:val="single" w:sz="8" w:color="auto"/>
            </w:tcBorders>
          </w:tcPr>
          <w:p>
            <w:pPr>
              <w:spacing w:after="0"/>
              <w:rPr>
                <w:sz w:val="12"/>
                <w:szCs w:val="12"/>
                <w:color w:val="auto"/>
              </w:rPr>
            </w:pPr>
          </w:p>
        </w:tc>
        <w:tc>
          <w:tcPr>
            <w:tcW w:w="3720" w:type="dxa"/>
            <w:vAlign w:val="bottom"/>
            <w:tcBorders>
              <w:bottom w:val="single" w:sz="8" w:color="auto"/>
              <w:right w:val="single" w:sz="8" w:color="auto"/>
            </w:tcBorders>
          </w:tcPr>
          <w:p>
            <w:pPr>
              <w:jc w:val="center"/>
              <w:ind w:right="1083"/>
              <w:spacing w:after="0"/>
              <w:rPr>
                <w:sz w:val="20"/>
                <w:szCs w:val="20"/>
                <w:color w:val="auto"/>
              </w:rPr>
            </w:pPr>
            <w:r>
              <w:rPr>
                <w:rFonts w:ascii="Times New Roman" w:cs="Times New Roman" w:eastAsia="Times New Roman" w:hAnsi="Times New Roman"/>
                <w:sz w:val="12"/>
                <w:szCs w:val="12"/>
                <w:color w:val="auto"/>
              </w:rPr>
              <w:t>Nasdaq Global Market</w:t>
            </w:r>
          </w:p>
        </w:tc>
      </w:tr>
    </w:tbl>
    <w:p>
      <w:pPr>
        <w:spacing w:after="0" w:line="187" w:lineRule="exact"/>
        <w:rPr>
          <w:sz w:val="24"/>
          <w:szCs w:val="24"/>
          <w:color w:val="auto"/>
        </w:rPr>
      </w:pPr>
    </w:p>
    <w:p>
      <w:pPr>
        <w:ind w:right="80"/>
        <w:spacing w:after="0" w:line="159"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1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color w:val="auto"/>
        </w:rPr>
        <w:t>Indicate by check mark whether the registrant has submitted electronically every Interactive Data File required to be submitted</w:t>
      </w:r>
    </w:p>
    <w:p>
      <w:pPr>
        <w:spacing w:after="0" w:line="122" w:lineRule="exact"/>
        <w:rPr>
          <w:sz w:val="24"/>
          <w:szCs w:val="24"/>
          <w:color w:val="auto"/>
        </w:rPr>
      </w:pPr>
    </w:p>
    <w:p>
      <w:pPr>
        <w:spacing w:after="0" w:line="138" w:lineRule="exact"/>
        <w:tabs>
          <w:tab w:leader="none" w:pos="8660" w:val="left"/>
          <w:tab w:leader="none" w:pos="9160" w:val="left"/>
        </w:tabs>
        <w:rPr>
          <w:sz w:val="20"/>
          <w:szCs w:val="20"/>
          <w:color w:val="auto"/>
        </w:rPr>
      </w:pPr>
      <w:r>
        <w:rPr>
          <w:rFonts w:ascii="Times New Roman" w:cs="Times New Roman" w:eastAsia="Times New Roman" w:hAnsi="Times New Roman"/>
          <w:sz w:val="12"/>
          <w:szCs w:val="12"/>
          <w:color w:val="auto"/>
        </w:rPr>
        <w:t>pursuant to Rule 405 of Regulation S-T (§232.405 of this chapter) during the preceding 12 months (or for such shorter period that the registrant was required to submit such files).</w:t>
        <w:tab/>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ab/>
        <w:t xml:space="preserve">No </w:t>
      </w:r>
      <w:r>
        <w:rPr>
          <w:rFonts w:ascii="MS PGothic" w:cs="MS PGothic" w:eastAsia="MS PGothic" w:hAnsi="MS PGothic"/>
          <w:sz w:val="12"/>
          <w:szCs w:val="12"/>
          <w:color w:val="auto"/>
        </w:rPr>
        <w:t>☐</w:t>
      </w:r>
    </w:p>
    <w:p>
      <w:pPr>
        <w:spacing w:after="0" w:line="200" w:lineRule="exact"/>
        <w:rPr>
          <w:sz w:val="24"/>
          <w:szCs w:val="24"/>
          <w:color w:val="auto"/>
        </w:rPr>
      </w:pP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w:t>
      </w:r>
    </w:p>
    <w:p>
      <w:pPr>
        <w:spacing w:after="0" w:line="15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40" w:type="dxa"/>
        <w:tblCellMar>
          <w:top w:w="0" w:type="dxa"/>
          <w:left w:w="0" w:type="dxa"/>
          <w:bottom w:w="0" w:type="dxa"/>
          <w:right w:w="0" w:type="dxa"/>
        </w:tblCellMar>
      </w:tblPr>
      <w:tr>
        <w:trPr>
          <w:trHeight w:val="180"/>
        </w:trPr>
        <w:tc>
          <w:tcPr>
            <w:tcW w:w="130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1020" w:type="dxa"/>
            <w:vAlign w:val="bottom"/>
          </w:tcPr>
          <w:p>
            <w:pPr>
              <w:ind w:left="220"/>
              <w:spacing w:after="0" w:line="121" w:lineRule="exact"/>
              <w:rPr>
                <w:sz w:val="20"/>
                <w:szCs w:val="20"/>
                <w:color w:val="auto"/>
              </w:rPr>
            </w:pPr>
            <w:r>
              <w:rPr>
                <w:rFonts w:ascii="MS PGothic" w:cs="MS PGothic" w:eastAsia="MS PGothic" w:hAnsi="MS PGothic"/>
                <w:sz w:val="12"/>
                <w:szCs w:val="12"/>
                <w:color w:val="auto"/>
              </w:rPr>
              <w:t>☐</w:t>
            </w:r>
          </w:p>
        </w:tc>
        <w:tc>
          <w:tcPr>
            <w:tcW w:w="2120" w:type="dxa"/>
            <w:vAlign w:val="bottom"/>
          </w:tcPr>
          <w:p>
            <w:pPr>
              <w:ind w:left="700"/>
              <w:spacing w:after="0"/>
              <w:rPr>
                <w:sz w:val="20"/>
                <w:szCs w:val="20"/>
                <w:color w:val="auto"/>
              </w:rPr>
            </w:pPr>
            <w:r>
              <w:rPr>
                <w:rFonts w:ascii="Times New Roman" w:cs="Times New Roman" w:eastAsia="Times New Roman" w:hAnsi="Times New Roman"/>
                <w:sz w:val="12"/>
                <w:szCs w:val="12"/>
                <w:color w:val="auto"/>
              </w:rPr>
              <w:t>Accelerated filer</w:t>
            </w:r>
          </w:p>
        </w:tc>
        <w:tc>
          <w:tcPr>
            <w:tcW w:w="220" w:type="dxa"/>
            <w:vAlign w:val="bottom"/>
          </w:tcPr>
          <w:p>
            <w:pPr>
              <w:ind w:left="1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0"/>
        </w:trPr>
        <w:tc>
          <w:tcPr>
            <w:tcW w:w="130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1020" w:type="dxa"/>
            <w:vAlign w:val="bottom"/>
          </w:tcPr>
          <w:p>
            <w:pPr>
              <w:ind w:left="220"/>
              <w:spacing w:after="0" w:line="121" w:lineRule="exact"/>
              <w:rPr>
                <w:sz w:val="20"/>
                <w:szCs w:val="20"/>
                <w:color w:val="auto"/>
              </w:rPr>
            </w:pPr>
            <w:r>
              <w:rPr>
                <w:rFonts w:ascii="MS PGothic" w:cs="MS PGothic" w:eastAsia="MS PGothic" w:hAnsi="MS PGothic"/>
                <w:sz w:val="12"/>
                <w:szCs w:val="12"/>
                <w:color w:val="auto"/>
              </w:rPr>
              <w:t>☐</w:t>
            </w:r>
          </w:p>
        </w:tc>
        <w:tc>
          <w:tcPr>
            <w:tcW w:w="2120" w:type="dxa"/>
            <w:vAlign w:val="bottom"/>
          </w:tcPr>
          <w:p>
            <w:pPr>
              <w:ind w:left="70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220" w:type="dxa"/>
            <w:vAlign w:val="bottom"/>
          </w:tcPr>
          <w:p>
            <w:pPr>
              <w:ind w:left="1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01"/>
        </w:trPr>
        <w:tc>
          <w:tcPr>
            <w:tcW w:w="1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120" w:type="dxa"/>
            <w:vAlign w:val="bottom"/>
          </w:tcPr>
          <w:p>
            <w:pPr>
              <w:ind w:left="700"/>
              <w:spacing w:after="0"/>
              <w:rPr>
                <w:sz w:val="20"/>
                <w:szCs w:val="20"/>
                <w:color w:val="auto"/>
              </w:rPr>
            </w:pPr>
            <w:r>
              <w:rPr>
                <w:rFonts w:ascii="Times New Roman" w:cs="Times New Roman" w:eastAsia="Times New Roman" w:hAnsi="Times New Roman"/>
                <w:sz w:val="12"/>
                <w:szCs w:val="12"/>
                <w:color w:val="auto"/>
              </w:rPr>
              <w:t>Emerging growth company</w:t>
            </w:r>
          </w:p>
        </w:tc>
        <w:tc>
          <w:tcPr>
            <w:tcW w:w="220" w:type="dxa"/>
            <w:vAlign w:val="bottom"/>
          </w:tcPr>
          <w:p>
            <w:pPr>
              <w:ind w:left="12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187" w:lineRule="exact"/>
        <w:rPr>
          <w:sz w:val="24"/>
          <w:szCs w:val="24"/>
          <w:color w:val="auto"/>
        </w:rPr>
      </w:pPr>
    </w:p>
    <w:p>
      <w:pPr>
        <w:ind w:right="80" w:firstLine="3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1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the registrant is a shell company (as defined in Rule 12b-2 of the Exchange Act).</w:t>
      </w:r>
    </w:p>
    <w:p>
      <w:pPr>
        <w:spacing w:after="0" w:line="122" w:lineRule="exact"/>
        <w:rPr>
          <w:sz w:val="24"/>
          <w:szCs w:val="24"/>
          <w:color w:val="auto"/>
        </w:rPr>
      </w:pPr>
    </w:p>
    <w:p>
      <w:pPr>
        <w:ind w:left="20"/>
        <w:spacing w:after="0" w:line="138" w:lineRule="exact"/>
        <w:tabs>
          <w:tab w:leader="none" w:pos="460" w:val="left"/>
        </w:tabs>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ab/>
        <w:t xml:space="preserve">No </w:t>
      </w:r>
      <w:r>
        <w:rPr>
          <w:rFonts w:ascii="MS PGothic" w:cs="MS PGothic" w:eastAsia="MS PGothic" w:hAnsi="MS PGothic"/>
          <w:sz w:val="12"/>
          <w:szCs w:val="12"/>
          <w:color w:val="auto"/>
        </w:rPr>
        <w:t>☒</w:t>
      </w:r>
    </w:p>
    <w:p>
      <w:pPr>
        <w:spacing w:after="0" w:line="17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color w:val="auto"/>
        </w:rPr>
        <w:t>As of August 2, 2024, the number of the registrant's Common Stock outstanding was 76,831,649.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409575</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70" w:right="299" w:bottom="1440" w:gutter="0" w:footer="0" w:header="0"/>
        </w:sectPr>
      </w:pPr>
    </w:p>
    <w:bookmarkStart w:id="1" w:name="page2"/>
    <w:bookmarkEnd w:id="1"/>
    <w:p>
      <w:pPr>
        <w:jc w:val="center"/>
        <w:ind w:right="-199"/>
        <w:spacing w:after="0"/>
        <w:rPr>
          <w:sz w:val="20"/>
          <w:szCs w:val="20"/>
          <w:color w:val="auto"/>
        </w:rPr>
      </w:pPr>
      <w:r>
        <w:rPr>
          <w:rFonts w:ascii="Times New Roman" w:cs="Times New Roman" w:eastAsia="Times New Roman" w:hAnsi="Times New Roman"/>
          <w:sz w:val="12"/>
          <w:szCs w:val="1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0" w:type="dxa"/>
            <w:vAlign w:val="bottom"/>
          </w:tcPr>
          <w:p>
            <w:pPr>
              <w:spacing w:after="0"/>
              <w:rPr>
                <w:sz w:val="11"/>
                <w:szCs w:val="11"/>
                <w:color w:val="auto"/>
              </w:rPr>
            </w:pPr>
          </w:p>
        </w:tc>
        <w:tc>
          <w:tcPr>
            <w:tcW w:w="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color w:val="auto"/>
              </w:rPr>
              <w:t>Page</w:t>
            </w:r>
          </w:p>
        </w:tc>
      </w:tr>
      <w:tr>
        <w:trPr>
          <w:trHeight w:val="124"/>
        </w:trPr>
        <w:tc>
          <w:tcPr>
            <w:tcW w:w="1480" w:type="dxa"/>
            <w:vAlign w:val="bottom"/>
            <w:tcBorders>
              <w:bottom w:val="single" w:sz="8" w:color="0000FF"/>
            </w:tcBorders>
            <w:gridSpan w:val="15"/>
          </w:tcPr>
          <w:p>
            <w:pPr>
              <w:spacing w:after="0" w:line="124" w:lineRule="exact"/>
              <w:rPr>
                <w:sz w:val="20"/>
                <w:szCs w:val="20"/>
                <w:color w:val="auto"/>
              </w:rPr>
            </w:pPr>
            <w:r>
              <w:rPr>
                <w:rFonts w:ascii="Times New Roman" w:cs="Times New Roman" w:eastAsia="Times New Roman" w:hAnsi="Times New Roman"/>
                <w:sz w:val="11"/>
                <w:szCs w:val="11"/>
                <w:color w:val="0000FF"/>
                <w:w w:val="92"/>
              </w:rPr>
              <w:t>Commonly Used or Defined Terms</w:t>
            </w:r>
          </w:p>
        </w:tc>
        <w:tc>
          <w:tcPr>
            <w:tcW w:w="9380" w:type="dxa"/>
            <w:vAlign w:val="bottom"/>
            <w:gridSpan w:val="13"/>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gridSpan w:val="2"/>
          </w:tcPr>
          <w:p>
            <w:pPr>
              <w:jc w:val="center"/>
              <w:ind w:right="80"/>
              <w:spacing w:after="0" w:line="124" w:lineRule="exact"/>
              <w:rPr>
                <w:sz w:val="20"/>
                <w:szCs w:val="20"/>
                <w:color w:val="auto"/>
              </w:rPr>
            </w:pPr>
            <w:r>
              <w:rPr>
                <w:rFonts w:ascii="Times New Roman" w:cs="Times New Roman" w:eastAsia="Times New Roman" w:hAnsi="Times New Roman"/>
                <w:sz w:val="11"/>
                <w:szCs w:val="11"/>
                <w:u w:val="single" w:color="auto"/>
                <w:color w:val="0000FF"/>
                <w:w w:val="97"/>
              </w:rPr>
              <w:t>ii</w:t>
            </w:r>
          </w:p>
        </w:tc>
      </w:tr>
      <w:tr>
        <w:trPr>
          <w:trHeight w:val="124"/>
        </w:trPr>
        <w:tc>
          <w:tcPr>
            <w:tcW w:w="1740" w:type="dxa"/>
            <w:vAlign w:val="bottom"/>
            <w:tcBorders>
              <w:bottom w:val="single" w:sz="8" w:color="0000FF"/>
            </w:tcBorders>
            <w:gridSpan w:val="16"/>
          </w:tcPr>
          <w:p>
            <w:pPr>
              <w:spacing w:after="0" w:line="124" w:lineRule="exact"/>
              <w:rPr>
                <w:sz w:val="20"/>
                <w:szCs w:val="20"/>
                <w:color w:val="auto"/>
              </w:rPr>
            </w:pPr>
            <w:r>
              <w:rPr>
                <w:rFonts w:ascii="Times New Roman" w:cs="Times New Roman" w:eastAsia="Times New Roman" w:hAnsi="Times New Roman"/>
                <w:sz w:val="11"/>
                <w:szCs w:val="11"/>
                <w:color w:val="0000FF"/>
                <w:w w:val="96"/>
              </w:rPr>
              <w:t>PART I. FINANCIAL INFORMATION</w:t>
            </w:r>
          </w:p>
        </w:tc>
        <w:tc>
          <w:tcPr>
            <w:tcW w:w="9120" w:type="dxa"/>
            <w:vAlign w:val="bottom"/>
            <w:gridSpan w:val="12"/>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u w:val="single" w:color="auto"/>
                <w:color w:val="0000FF"/>
              </w:rPr>
              <w:t>1</w:t>
            </w:r>
          </w:p>
        </w:tc>
        <w:tc>
          <w:tcPr>
            <w:tcW w:w="60" w:type="dxa"/>
            <w:vAlign w:val="bottom"/>
          </w:tcPr>
          <w:p>
            <w:pPr>
              <w:spacing w:after="0"/>
              <w:rPr>
                <w:sz w:val="10"/>
                <w:szCs w:val="10"/>
                <w:color w:val="auto"/>
              </w:rPr>
            </w:pPr>
          </w:p>
        </w:tc>
      </w:tr>
      <w:tr>
        <w:trPr>
          <w:trHeight w:val="124"/>
        </w:trPr>
        <w:tc>
          <w:tcPr>
            <w:tcW w:w="140" w:type="dxa"/>
            <w:vAlign w:val="bottom"/>
          </w:tcPr>
          <w:p>
            <w:pPr>
              <w:spacing w:after="0"/>
              <w:rPr>
                <w:sz w:val="10"/>
                <w:szCs w:val="10"/>
                <w:color w:val="auto"/>
              </w:rPr>
            </w:pPr>
          </w:p>
        </w:tc>
        <w:tc>
          <w:tcPr>
            <w:tcW w:w="1180" w:type="dxa"/>
            <w:vAlign w:val="bottom"/>
            <w:tcBorders>
              <w:bottom w:val="single" w:sz="8" w:color="0000FF"/>
            </w:tcBorders>
            <w:gridSpan w:val="11"/>
          </w:tcPr>
          <w:p>
            <w:pPr>
              <w:spacing w:after="0" w:line="124" w:lineRule="exact"/>
              <w:rPr>
                <w:sz w:val="20"/>
                <w:szCs w:val="20"/>
                <w:color w:val="auto"/>
              </w:rPr>
            </w:pPr>
            <w:r>
              <w:rPr>
                <w:rFonts w:ascii="Times New Roman" w:cs="Times New Roman" w:eastAsia="Times New Roman" w:hAnsi="Times New Roman"/>
                <w:sz w:val="11"/>
                <w:szCs w:val="11"/>
                <w:color w:val="0000FF"/>
                <w:w w:val="92"/>
              </w:rPr>
              <w:t>Item 1. Financial Statements</w:t>
            </w:r>
          </w:p>
        </w:tc>
        <w:tc>
          <w:tcPr>
            <w:tcW w:w="9540" w:type="dxa"/>
            <w:vAlign w:val="bottom"/>
            <w:gridSpan w:val="16"/>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u w:val="single" w:color="auto"/>
                <w:color w:val="0000FF"/>
              </w:rPr>
              <w:t>1</w:t>
            </w:r>
          </w:p>
        </w:tc>
        <w:tc>
          <w:tcPr>
            <w:tcW w:w="60" w:type="dxa"/>
            <w:vAlign w:val="bottom"/>
          </w:tcPr>
          <w:p>
            <w:pPr>
              <w:spacing w:after="0"/>
              <w:rPr>
                <w:sz w:val="10"/>
                <w:szCs w:val="10"/>
                <w:color w:val="auto"/>
              </w:rPr>
            </w:pPr>
          </w:p>
        </w:tc>
      </w:tr>
      <w:tr>
        <w:trPr>
          <w:trHeight w:val="124"/>
        </w:trPr>
        <w:tc>
          <w:tcPr>
            <w:tcW w:w="140" w:type="dxa"/>
            <w:vAlign w:val="bottom"/>
          </w:tcPr>
          <w:p>
            <w:pPr>
              <w:spacing w:after="0"/>
              <w:rPr>
                <w:sz w:val="10"/>
                <w:szCs w:val="10"/>
                <w:color w:val="auto"/>
              </w:rPr>
            </w:pPr>
          </w:p>
        </w:tc>
        <w:tc>
          <w:tcPr>
            <w:tcW w:w="1680" w:type="dxa"/>
            <w:vAlign w:val="bottom"/>
            <w:tcBorders>
              <w:bottom w:val="single" w:sz="8" w:color="0000FF"/>
            </w:tcBorders>
            <w:gridSpan w:val="17"/>
          </w:tcPr>
          <w:p>
            <w:pPr>
              <w:spacing w:after="0" w:line="124" w:lineRule="exact"/>
              <w:rPr>
                <w:sz w:val="20"/>
                <w:szCs w:val="20"/>
                <w:color w:val="auto"/>
              </w:rPr>
            </w:pPr>
            <w:r>
              <w:rPr>
                <w:rFonts w:ascii="Times New Roman" w:cs="Times New Roman" w:eastAsia="Times New Roman" w:hAnsi="Times New Roman"/>
                <w:sz w:val="11"/>
                <w:szCs w:val="11"/>
                <w:color w:val="0000FF"/>
                <w:w w:val="94"/>
              </w:rPr>
              <w:t>Unaudited Consolidated Balance Sheets</w:t>
            </w:r>
          </w:p>
        </w:tc>
        <w:tc>
          <w:tcPr>
            <w:tcW w:w="9040" w:type="dxa"/>
            <w:vAlign w:val="bottom"/>
            <w:gridSpan w:val="10"/>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u w:val="single" w:color="auto"/>
                <w:color w:val="0000FF"/>
              </w:rPr>
              <w:t>1</w:t>
            </w:r>
          </w:p>
        </w:tc>
        <w:tc>
          <w:tcPr>
            <w:tcW w:w="60" w:type="dxa"/>
            <w:vAlign w:val="bottom"/>
          </w:tcPr>
          <w:p>
            <w:pPr>
              <w:spacing w:after="0"/>
              <w:rPr>
                <w:sz w:val="10"/>
                <w:szCs w:val="10"/>
                <w:color w:val="auto"/>
              </w:rPr>
            </w:pPr>
          </w:p>
        </w:tc>
      </w:tr>
      <w:tr>
        <w:trPr>
          <w:trHeight w:val="124"/>
        </w:trPr>
        <w:tc>
          <w:tcPr>
            <w:tcW w:w="140" w:type="dxa"/>
            <w:vAlign w:val="bottom"/>
          </w:tcPr>
          <w:p>
            <w:pPr>
              <w:spacing w:after="0"/>
              <w:rPr>
                <w:sz w:val="10"/>
                <w:szCs w:val="10"/>
                <w:color w:val="auto"/>
              </w:rPr>
            </w:pPr>
          </w:p>
        </w:tc>
        <w:tc>
          <w:tcPr>
            <w:tcW w:w="10720" w:type="dxa"/>
            <w:vAlign w:val="bottom"/>
            <w:gridSpan w:val="27"/>
          </w:tcPr>
          <w:p>
            <w:pPr>
              <w:spacing w:after="0" w:line="124" w:lineRule="exact"/>
              <w:rPr>
                <w:sz w:val="20"/>
                <w:szCs w:val="20"/>
                <w:color w:val="auto"/>
              </w:rPr>
            </w:pPr>
            <w:r>
              <w:rPr>
                <w:rFonts w:ascii="Times New Roman" w:cs="Times New Roman" w:eastAsia="Times New Roman" w:hAnsi="Times New Roman"/>
                <w:sz w:val="11"/>
                <w:szCs w:val="11"/>
                <w:color w:val="0000FF"/>
              </w:rPr>
              <w:t>Unaudited Consolidated Statements of Operations and Comprehensive Loss</w:t>
            </w: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u w:val="single" w:color="auto"/>
                <w:color w:val="0000FF"/>
              </w:rPr>
              <w:t>2</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720" w:type="dxa"/>
            <w:vAlign w:val="bottom"/>
            <w:gridSpan w:val="27"/>
          </w:tcPr>
          <w:p>
            <w:pPr>
              <w:spacing w:after="0" w:line="124" w:lineRule="exact"/>
              <w:rPr>
                <w:sz w:val="20"/>
                <w:szCs w:val="20"/>
                <w:color w:val="auto"/>
              </w:rPr>
            </w:pPr>
            <w:r>
              <w:rPr>
                <w:rFonts w:ascii="Times New Roman" w:cs="Times New Roman" w:eastAsia="Times New Roman" w:hAnsi="Times New Roman"/>
                <w:sz w:val="11"/>
                <w:szCs w:val="11"/>
                <w:color w:val="0000FF"/>
              </w:rPr>
              <w:t>Unaudited Consolidated Statements of Changes in Stockholders' Deficit and Non-Controlling Interest</w:t>
            </w: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u w:val="single" w:color="auto"/>
                <w:color w:val="0000FF"/>
              </w:rPr>
              <w:t>3</w:t>
            </w:r>
          </w:p>
        </w:tc>
        <w:tc>
          <w:tcPr>
            <w:tcW w:w="60" w:type="dxa"/>
            <w:vAlign w:val="bottom"/>
          </w:tcPr>
          <w:p>
            <w:pPr>
              <w:spacing w:after="0"/>
              <w:rPr>
                <w:sz w:val="10"/>
                <w:szCs w:val="10"/>
                <w:color w:val="auto"/>
              </w:rPr>
            </w:pPr>
          </w:p>
        </w:tc>
      </w:tr>
      <w:tr>
        <w:trPr>
          <w:trHeight w:val="124"/>
        </w:trPr>
        <w:tc>
          <w:tcPr>
            <w:tcW w:w="140" w:type="dxa"/>
            <w:vAlign w:val="bottom"/>
          </w:tcPr>
          <w:p>
            <w:pPr>
              <w:spacing w:after="0"/>
              <w:rPr>
                <w:sz w:val="10"/>
                <w:szCs w:val="10"/>
                <w:color w:val="auto"/>
              </w:rPr>
            </w:pPr>
          </w:p>
        </w:tc>
        <w:tc>
          <w:tcPr>
            <w:tcW w:w="2140" w:type="dxa"/>
            <w:vAlign w:val="bottom"/>
            <w:tcBorders>
              <w:top w:val="single" w:sz="8" w:color="0000FF"/>
              <w:bottom w:val="single" w:sz="8" w:color="0000FF"/>
            </w:tcBorders>
            <w:gridSpan w:val="19"/>
          </w:tcPr>
          <w:p>
            <w:pPr>
              <w:spacing w:after="0" w:line="124" w:lineRule="exact"/>
              <w:rPr>
                <w:sz w:val="20"/>
                <w:szCs w:val="20"/>
                <w:color w:val="auto"/>
              </w:rPr>
            </w:pPr>
            <w:r>
              <w:rPr>
                <w:rFonts w:ascii="Times New Roman" w:cs="Times New Roman" w:eastAsia="Times New Roman" w:hAnsi="Times New Roman"/>
                <w:sz w:val="11"/>
                <w:szCs w:val="11"/>
                <w:color w:val="0000FF"/>
                <w:w w:val="94"/>
              </w:rPr>
              <w:t>Unaudited Consolidated Statements of Cash Flows</w:t>
            </w:r>
          </w:p>
        </w:tc>
        <w:tc>
          <w:tcPr>
            <w:tcW w:w="2180" w:type="dxa"/>
            <w:vAlign w:val="bottom"/>
            <w:tcBorders>
              <w:top w:val="single" w:sz="8" w:color="0000FF"/>
            </w:tcBorders>
            <w:gridSpan w:val="7"/>
          </w:tcPr>
          <w:p>
            <w:pPr>
              <w:spacing w:after="0"/>
              <w:rPr>
                <w:sz w:val="10"/>
                <w:szCs w:val="10"/>
                <w:color w:val="auto"/>
              </w:rPr>
            </w:pPr>
          </w:p>
        </w:tc>
        <w:tc>
          <w:tcPr>
            <w:tcW w:w="6400" w:type="dxa"/>
            <w:vAlign w:val="bottom"/>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u w:val="single" w:color="auto"/>
                <w:color w:val="0000FF"/>
              </w:rPr>
              <w:t>5</w:t>
            </w:r>
          </w:p>
        </w:tc>
        <w:tc>
          <w:tcPr>
            <w:tcW w:w="60" w:type="dxa"/>
            <w:vAlign w:val="bottom"/>
          </w:tcPr>
          <w:p>
            <w:pPr>
              <w:spacing w:after="0"/>
              <w:rPr>
                <w:sz w:val="10"/>
                <w:szCs w:val="10"/>
                <w:color w:val="auto"/>
              </w:rPr>
            </w:pPr>
          </w:p>
        </w:tc>
      </w:tr>
      <w:tr>
        <w:trPr>
          <w:trHeight w:val="124"/>
        </w:trPr>
        <w:tc>
          <w:tcPr>
            <w:tcW w:w="140" w:type="dxa"/>
            <w:vAlign w:val="bottom"/>
          </w:tcPr>
          <w:p>
            <w:pPr>
              <w:spacing w:after="0"/>
              <w:rPr>
                <w:sz w:val="10"/>
                <w:szCs w:val="10"/>
                <w:color w:val="auto"/>
              </w:rPr>
            </w:pPr>
          </w:p>
        </w:tc>
        <w:tc>
          <w:tcPr>
            <w:tcW w:w="10720" w:type="dxa"/>
            <w:vAlign w:val="bottom"/>
            <w:gridSpan w:val="27"/>
          </w:tcPr>
          <w:p>
            <w:pPr>
              <w:spacing w:after="0" w:line="124" w:lineRule="exact"/>
              <w:rPr>
                <w:sz w:val="20"/>
                <w:szCs w:val="20"/>
                <w:color w:val="auto"/>
              </w:rPr>
            </w:pPr>
            <w:r>
              <w:rPr>
                <w:rFonts w:ascii="Times New Roman" w:cs="Times New Roman" w:eastAsia="Times New Roman" w:hAnsi="Times New Roman"/>
                <w:sz w:val="11"/>
                <w:szCs w:val="11"/>
                <w:color w:val="0000FF"/>
              </w:rPr>
              <w:t>Notes to Unaudited Consolidated Financial Statements</w:t>
            </w:r>
            <w:r>
              <w:rPr>
                <w:rFonts w:ascii="Times New Roman" w:cs="Times New Roman" w:eastAsia="Times New Roman" w:hAnsi="Times New Roman"/>
                <w:sz w:val="11"/>
                <w:szCs w:val="11"/>
                <w:color w:val="000000"/>
              </w:rPr>
              <w:t>:</w:t>
            </w: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u w:val="single" w:color="auto"/>
                <w:color w:val="0000FF"/>
              </w:rPr>
              <w:t>7</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0" w:type="dxa"/>
            <w:vAlign w:val="bottom"/>
            <w:tcBorders>
              <w:bottom w:val="single" w:sz="8" w:color="0000FF"/>
            </w:tcBorders>
          </w:tcPr>
          <w:p>
            <w:pPr>
              <w:spacing w:after="0" w:line="124" w:lineRule="exact"/>
              <w:rPr>
                <w:sz w:val="20"/>
                <w:szCs w:val="20"/>
                <w:color w:val="auto"/>
              </w:rPr>
            </w:pPr>
            <w:r>
              <w:rPr>
                <w:rFonts w:ascii="Times New Roman" w:cs="Times New Roman" w:eastAsia="Times New Roman" w:hAnsi="Times New Roman"/>
                <w:sz w:val="11"/>
                <w:szCs w:val="11"/>
                <w:color w:val="0000FF"/>
                <w:w w:val="96"/>
              </w:rPr>
              <w:t>1.</w:t>
            </w:r>
          </w:p>
        </w:tc>
        <w:tc>
          <w:tcPr>
            <w:tcW w:w="2520" w:type="dxa"/>
            <w:vAlign w:val="bottom"/>
            <w:tcBorders>
              <w:bottom w:val="single" w:sz="8" w:color="0000FF"/>
            </w:tcBorders>
            <w:gridSpan w:val="20"/>
          </w:tcPr>
          <w:p>
            <w:pPr>
              <w:ind w:left="20"/>
              <w:spacing w:after="0" w:line="124" w:lineRule="exact"/>
              <w:rPr>
                <w:sz w:val="20"/>
                <w:szCs w:val="20"/>
                <w:color w:val="auto"/>
              </w:rPr>
            </w:pPr>
            <w:r>
              <w:rPr>
                <w:rFonts w:ascii="Times New Roman" w:cs="Times New Roman" w:eastAsia="Times New Roman" w:hAnsi="Times New Roman"/>
                <w:sz w:val="11"/>
                <w:szCs w:val="11"/>
                <w:color w:val="0000FF"/>
                <w:w w:val="97"/>
              </w:rPr>
              <w:t>Basis of Presentation and Significant Accounting Policies</w:t>
            </w:r>
          </w:p>
        </w:tc>
        <w:tc>
          <w:tcPr>
            <w:tcW w:w="8100" w:type="dxa"/>
            <w:vAlign w:val="bottom"/>
            <w:gridSpan w:val="6"/>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u w:val="single" w:color="auto"/>
                <w:color w:val="0000FF"/>
              </w:rPr>
              <w:t>7</w:t>
            </w:r>
          </w:p>
        </w:tc>
        <w:tc>
          <w:tcPr>
            <w:tcW w:w="60" w:type="dxa"/>
            <w:vAlign w:val="bottom"/>
          </w:tcPr>
          <w:p>
            <w:pPr>
              <w:spacing w:after="0"/>
              <w:rPr>
                <w:sz w:val="10"/>
                <w:szCs w:val="10"/>
                <w:color w:val="auto"/>
              </w:rPr>
            </w:pPr>
          </w:p>
        </w:tc>
      </w:tr>
      <w:tr>
        <w:trPr>
          <w:trHeight w:val="124"/>
        </w:trPr>
        <w:tc>
          <w:tcPr>
            <w:tcW w:w="140" w:type="dxa"/>
            <w:vAlign w:val="bottom"/>
          </w:tcPr>
          <w:p>
            <w:pPr>
              <w:spacing w:after="0"/>
              <w:rPr>
                <w:sz w:val="10"/>
                <w:szCs w:val="10"/>
                <w:color w:val="auto"/>
              </w:rPr>
            </w:pPr>
          </w:p>
        </w:tc>
        <w:tc>
          <w:tcPr>
            <w:tcW w:w="100" w:type="dxa"/>
            <w:vAlign w:val="bottom"/>
          </w:tcPr>
          <w:p>
            <w:pPr>
              <w:spacing w:after="0" w:line="124" w:lineRule="exact"/>
              <w:rPr>
                <w:sz w:val="20"/>
                <w:szCs w:val="20"/>
                <w:color w:val="auto"/>
              </w:rPr>
            </w:pPr>
            <w:r>
              <w:rPr>
                <w:rFonts w:ascii="Times New Roman" w:cs="Times New Roman" w:eastAsia="Times New Roman" w:hAnsi="Times New Roman"/>
                <w:sz w:val="11"/>
                <w:szCs w:val="11"/>
                <w:color w:val="0000FF"/>
                <w:w w:val="96"/>
              </w:rPr>
              <w:t>2.</w:t>
            </w:r>
          </w:p>
        </w:tc>
        <w:tc>
          <w:tcPr>
            <w:tcW w:w="10620" w:type="dxa"/>
            <w:vAlign w:val="bottom"/>
            <w:gridSpan w:val="26"/>
          </w:tcPr>
          <w:p>
            <w:pPr>
              <w:ind w:left="20"/>
              <w:spacing w:after="0" w:line="124" w:lineRule="exact"/>
              <w:rPr>
                <w:sz w:val="20"/>
                <w:szCs w:val="20"/>
                <w:color w:val="auto"/>
              </w:rPr>
            </w:pPr>
            <w:r>
              <w:rPr>
                <w:rFonts w:ascii="Times New Roman" w:cs="Times New Roman" w:eastAsia="Times New Roman" w:hAnsi="Times New Roman"/>
                <w:sz w:val="11"/>
                <w:szCs w:val="11"/>
                <w:color w:val="0000FF"/>
              </w:rPr>
              <w:t>Acquisitions</w:t>
            </w: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u w:val="single" w:color="auto"/>
                <w:color w:val="0000FF"/>
              </w:rPr>
              <w:t>8</w:t>
            </w:r>
          </w:p>
        </w:tc>
        <w:tc>
          <w:tcPr>
            <w:tcW w:w="60" w:type="dxa"/>
            <w:vAlign w:val="bottom"/>
          </w:tcPr>
          <w:p>
            <w:pPr>
              <w:spacing w:after="0"/>
              <w:rPr>
                <w:sz w:val="10"/>
                <w:szCs w:val="10"/>
                <w:color w:val="auto"/>
              </w:rPr>
            </w:pPr>
          </w:p>
        </w:tc>
      </w:tr>
      <w:tr>
        <w:trPr>
          <w:trHeight w:val="124"/>
        </w:trPr>
        <w:tc>
          <w:tcPr>
            <w:tcW w:w="140" w:type="dxa"/>
            <w:vAlign w:val="bottom"/>
          </w:tcPr>
          <w:p>
            <w:pPr>
              <w:spacing w:after="0"/>
              <w:rPr>
                <w:sz w:val="10"/>
                <w:szCs w:val="10"/>
                <w:color w:val="auto"/>
              </w:rPr>
            </w:pPr>
          </w:p>
        </w:tc>
        <w:tc>
          <w:tcPr>
            <w:tcW w:w="100" w:type="dxa"/>
            <w:vAlign w:val="bottom"/>
            <w:tcBorders>
              <w:top w:val="single" w:sz="8" w:color="0000FF"/>
            </w:tcBorders>
          </w:tcPr>
          <w:p>
            <w:pPr>
              <w:spacing w:after="0" w:line="124" w:lineRule="exact"/>
              <w:rPr>
                <w:sz w:val="20"/>
                <w:szCs w:val="20"/>
                <w:color w:val="auto"/>
              </w:rPr>
            </w:pPr>
            <w:r>
              <w:rPr>
                <w:rFonts w:ascii="Times New Roman" w:cs="Times New Roman" w:eastAsia="Times New Roman" w:hAnsi="Times New Roman"/>
                <w:sz w:val="11"/>
                <w:szCs w:val="11"/>
                <w:color w:val="0000FF"/>
                <w:w w:val="96"/>
              </w:rPr>
              <w:t>3.</w:t>
            </w:r>
          </w:p>
        </w:tc>
        <w:tc>
          <w:tcPr>
            <w:tcW w:w="440" w:type="dxa"/>
            <w:vAlign w:val="bottom"/>
            <w:tcBorders>
              <w:top w:val="single" w:sz="8" w:color="0000FF"/>
            </w:tcBorders>
            <w:gridSpan w:val="2"/>
          </w:tcPr>
          <w:p>
            <w:pPr>
              <w:ind w:left="20"/>
              <w:spacing w:after="0" w:line="124" w:lineRule="exact"/>
              <w:rPr>
                <w:sz w:val="20"/>
                <w:szCs w:val="20"/>
                <w:color w:val="auto"/>
              </w:rPr>
            </w:pPr>
            <w:r>
              <w:rPr>
                <w:rFonts w:ascii="Times New Roman" w:cs="Times New Roman" w:eastAsia="Times New Roman" w:hAnsi="Times New Roman"/>
                <w:sz w:val="11"/>
                <w:szCs w:val="11"/>
                <w:color w:val="0000FF"/>
                <w:w w:val="93"/>
              </w:rPr>
              <w:t>Revenues</w:t>
            </w:r>
          </w:p>
        </w:tc>
        <w:tc>
          <w:tcPr>
            <w:tcW w:w="120" w:type="dxa"/>
            <w:vAlign w:val="bottom"/>
            <w:tcBorders>
              <w:top w:val="single" w:sz="8" w:color="0000FF"/>
            </w:tcBorders>
            <w:gridSpan w:val="2"/>
          </w:tcPr>
          <w:p>
            <w:pPr>
              <w:spacing w:after="0"/>
              <w:rPr>
                <w:sz w:val="10"/>
                <w:szCs w:val="10"/>
                <w:color w:val="auto"/>
              </w:rPr>
            </w:pPr>
          </w:p>
        </w:tc>
        <w:tc>
          <w:tcPr>
            <w:tcW w:w="10060" w:type="dxa"/>
            <w:vAlign w:val="bottom"/>
            <w:gridSpan w:val="22"/>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10</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0" w:type="dxa"/>
            <w:vAlign w:val="bottom"/>
          </w:tcPr>
          <w:p>
            <w:pPr>
              <w:spacing w:after="0" w:line="124" w:lineRule="exact"/>
              <w:rPr>
                <w:sz w:val="20"/>
                <w:szCs w:val="20"/>
                <w:color w:val="auto"/>
              </w:rPr>
            </w:pPr>
            <w:r>
              <w:rPr>
                <w:rFonts w:ascii="Times New Roman" w:cs="Times New Roman" w:eastAsia="Times New Roman" w:hAnsi="Times New Roman"/>
                <w:sz w:val="11"/>
                <w:szCs w:val="11"/>
                <w:color w:val="0000FF"/>
                <w:w w:val="96"/>
              </w:rPr>
              <w:t>4.</w:t>
            </w:r>
          </w:p>
        </w:tc>
        <w:tc>
          <w:tcPr>
            <w:tcW w:w="2780" w:type="dxa"/>
            <w:vAlign w:val="bottom"/>
            <w:gridSpan w:val="22"/>
          </w:tcPr>
          <w:p>
            <w:pPr>
              <w:ind w:left="20"/>
              <w:spacing w:after="0" w:line="124" w:lineRule="exact"/>
              <w:rPr>
                <w:sz w:val="20"/>
                <w:szCs w:val="20"/>
                <w:color w:val="auto"/>
              </w:rPr>
            </w:pPr>
            <w:r>
              <w:rPr>
                <w:rFonts w:ascii="Times New Roman" w:cs="Times New Roman" w:eastAsia="Times New Roman" w:hAnsi="Times New Roman"/>
                <w:sz w:val="11"/>
                <w:szCs w:val="11"/>
                <w:color w:val="0000FF"/>
                <w:w w:val="94"/>
              </w:rPr>
              <w:t>Settlement Assets and Customer/Subscriber Account Obligations</w:t>
            </w:r>
          </w:p>
        </w:tc>
        <w:tc>
          <w:tcPr>
            <w:tcW w:w="7840" w:type="dxa"/>
            <w:vAlign w:val="bottom"/>
            <w:gridSpan w:val="4"/>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11</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tcBorders>
              <w:left w:val="single" w:sz="8" w:color="0000FF"/>
            </w:tcBorders>
            <w:gridSpan w:val="2"/>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0" w:type="dxa"/>
            <w:vAlign w:val="bottom"/>
          </w:tcPr>
          <w:p>
            <w:pPr>
              <w:spacing w:after="0" w:line="124" w:lineRule="exact"/>
              <w:rPr>
                <w:sz w:val="20"/>
                <w:szCs w:val="20"/>
                <w:color w:val="auto"/>
              </w:rPr>
            </w:pPr>
            <w:r>
              <w:rPr>
                <w:rFonts w:ascii="Times New Roman" w:cs="Times New Roman" w:eastAsia="Times New Roman" w:hAnsi="Times New Roman"/>
                <w:sz w:val="11"/>
                <w:szCs w:val="11"/>
                <w:color w:val="0000FF"/>
                <w:w w:val="96"/>
              </w:rPr>
              <w:t>5.</w:t>
            </w:r>
          </w:p>
        </w:tc>
        <w:tc>
          <w:tcPr>
            <w:tcW w:w="780" w:type="dxa"/>
            <w:vAlign w:val="bottom"/>
            <w:gridSpan w:val="7"/>
          </w:tcPr>
          <w:p>
            <w:pPr>
              <w:ind w:left="20"/>
              <w:spacing w:after="0" w:line="124" w:lineRule="exact"/>
              <w:rPr>
                <w:sz w:val="20"/>
                <w:szCs w:val="20"/>
                <w:color w:val="auto"/>
              </w:rPr>
            </w:pPr>
            <w:r>
              <w:rPr>
                <w:rFonts w:ascii="Times New Roman" w:cs="Times New Roman" w:eastAsia="Times New Roman" w:hAnsi="Times New Roman"/>
                <w:sz w:val="11"/>
                <w:szCs w:val="11"/>
                <w:color w:val="0000FF"/>
                <w:w w:val="95"/>
              </w:rPr>
              <w:t>Notes Receivable</w:t>
            </w:r>
          </w:p>
        </w:tc>
        <w:tc>
          <w:tcPr>
            <w:tcW w:w="2000" w:type="dxa"/>
            <w:vAlign w:val="bottom"/>
            <w:gridSpan w:val="15"/>
          </w:tcPr>
          <w:p>
            <w:pPr>
              <w:spacing w:after="0"/>
              <w:rPr>
                <w:sz w:val="10"/>
                <w:szCs w:val="10"/>
                <w:color w:val="auto"/>
              </w:rPr>
            </w:pPr>
          </w:p>
        </w:tc>
        <w:tc>
          <w:tcPr>
            <w:tcW w:w="7840" w:type="dxa"/>
            <w:vAlign w:val="bottom"/>
            <w:gridSpan w:val="4"/>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13</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0" w:type="dxa"/>
            <w:vAlign w:val="bottom"/>
          </w:tcPr>
          <w:p>
            <w:pPr>
              <w:spacing w:after="0" w:line="124" w:lineRule="exact"/>
              <w:rPr>
                <w:sz w:val="20"/>
                <w:szCs w:val="20"/>
                <w:color w:val="auto"/>
              </w:rPr>
            </w:pPr>
            <w:r>
              <w:rPr>
                <w:rFonts w:ascii="Times New Roman" w:cs="Times New Roman" w:eastAsia="Times New Roman" w:hAnsi="Times New Roman"/>
                <w:sz w:val="11"/>
                <w:szCs w:val="11"/>
                <w:color w:val="0000FF"/>
                <w:w w:val="96"/>
              </w:rPr>
              <w:t>6.</w:t>
            </w:r>
          </w:p>
        </w:tc>
        <w:tc>
          <w:tcPr>
            <w:tcW w:w="10620" w:type="dxa"/>
            <w:vAlign w:val="bottom"/>
            <w:gridSpan w:val="26"/>
          </w:tcPr>
          <w:p>
            <w:pPr>
              <w:ind w:left="20"/>
              <w:spacing w:after="0" w:line="124" w:lineRule="exact"/>
              <w:rPr>
                <w:sz w:val="20"/>
                <w:szCs w:val="20"/>
                <w:color w:val="auto"/>
              </w:rPr>
            </w:pPr>
            <w:r>
              <w:rPr>
                <w:rFonts w:ascii="Times New Roman" w:cs="Times New Roman" w:eastAsia="Times New Roman" w:hAnsi="Times New Roman"/>
                <w:sz w:val="11"/>
                <w:szCs w:val="11"/>
                <w:color w:val="0000FF"/>
              </w:rPr>
              <w:t>Property, Equipment and Software</w:t>
            </w: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14</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0" w:type="dxa"/>
            <w:vAlign w:val="bottom"/>
          </w:tcPr>
          <w:p>
            <w:pPr>
              <w:spacing w:after="0" w:line="124" w:lineRule="exact"/>
              <w:rPr>
                <w:sz w:val="20"/>
                <w:szCs w:val="20"/>
                <w:color w:val="auto"/>
              </w:rPr>
            </w:pPr>
            <w:r>
              <w:rPr>
                <w:rFonts w:ascii="Times New Roman" w:cs="Times New Roman" w:eastAsia="Times New Roman" w:hAnsi="Times New Roman"/>
                <w:sz w:val="11"/>
                <w:szCs w:val="11"/>
                <w:color w:val="0000FF"/>
                <w:w w:val="96"/>
              </w:rPr>
              <w:t>7.</w:t>
            </w:r>
          </w:p>
        </w:tc>
        <w:tc>
          <w:tcPr>
            <w:tcW w:w="1660" w:type="dxa"/>
            <w:vAlign w:val="bottom"/>
            <w:gridSpan w:val="17"/>
          </w:tcPr>
          <w:p>
            <w:pPr>
              <w:ind w:left="20"/>
              <w:spacing w:after="0" w:line="124" w:lineRule="exact"/>
              <w:rPr>
                <w:sz w:val="20"/>
                <w:szCs w:val="20"/>
                <w:color w:val="auto"/>
              </w:rPr>
            </w:pPr>
            <w:r>
              <w:rPr>
                <w:rFonts w:ascii="Times New Roman" w:cs="Times New Roman" w:eastAsia="Times New Roman" w:hAnsi="Times New Roman"/>
                <w:sz w:val="11"/>
                <w:szCs w:val="11"/>
                <w:color w:val="0000FF"/>
                <w:w w:val="97"/>
              </w:rPr>
              <w:t>Goodwill and Other Intangible Assets</w:t>
            </w:r>
          </w:p>
        </w:tc>
        <w:tc>
          <w:tcPr>
            <w:tcW w:w="8960" w:type="dxa"/>
            <w:vAlign w:val="bottom"/>
            <w:gridSpan w:val="9"/>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15</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0" w:type="dxa"/>
            <w:vAlign w:val="bottom"/>
          </w:tcPr>
          <w:p>
            <w:pPr>
              <w:spacing w:after="0" w:line="124" w:lineRule="exact"/>
              <w:rPr>
                <w:sz w:val="20"/>
                <w:szCs w:val="20"/>
                <w:color w:val="auto"/>
              </w:rPr>
            </w:pPr>
            <w:r>
              <w:rPr>
                <w:rFonts w:ascii="Times New Roman" w:cs="Times New Roman" w:eastAsia="Times New Roman" w:hAnsi="Times New Roman"/>
                <w:sz w:val="11"/>
                <w:szCs w:val="11"/>
                <w:color w:val="0000FF"/>
                <w:w w:val="96"/>
              </w:rPr>
              <w:t>8.</w:t>
            </w:r>
          </w:p>
        </w:tc>
        <w:tc>
          <w:tcPr>
            <w:tcW w:w="800" w:type="dxa"/>
            <w:vAlign w:val="bottom"/>
            <w:gridSpan w:val="8"/>
          </w:tcPr>
          <w:p>
            <w:pPr>
              <w:ind w:left="20"/>
              <w:spacing w:after="0" w:line="124" w:lineRule="exact"/>
              <w:rPr>
                <w:sz w:val="20"/>
                <w:szCs w:val="20"/>
                <w:color w:val="auto"/>
              </w:rPr>
            </w:pPr>
            <w:r>
              <w:rPr>
                <w:rFonts w:ascii="Times New Roman" w:cs="Times New Roman" w:eastAsia="Times New Roman" w:hAnsi="Times New Roman"/>
                <w:sz w:val="11"/>
                <w:szCs w:val="11"/>
                <w:color w:val="0000FF"/>
              </w:rPr>
              <w:t>Debt Obligations</w:t>
            </w:r>
          </w:p>
        </w:tc>
        <w:tc>
          <w:tcPr>
            <w:tcW w:w="860" w:type="dxa"/>
            <w:vAlign w:val="bottom"/>
            <w:gridSpan w:val="9"/>
          </w:tcPr>
          <w:p>
            <w:pPr>
              <w:spacing w:after="0"/>
              <w:rPr>
                <w:sz w:val="10"/>
                <w:szCs w:val="10"/>
                <w:color w:val="auto"/>
              </w:rPr>
            </w:pPr>
          </w:p>
        </w:tc>
        <w:tc>
          <w:tcPr>
            <w:tcW w:w="8960" w:type="dxa"/>
            <w:vAlign w:val="bottom"/>
            <w:gridSpan w:val="9"/>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16</w:t>
            </w:r>
          </w:p>
        </w:tc>
        <w:tc>
          <w:tcPr>
            <w:tcW w:w="60" w:type="dxa"/>
            <w:vAlign w:val="bottom"/>
          </w:tcPr>
          <w:p>
            <w:pPr>
              <w:spacing w:after="0"/>
              <w:rPr>
                <w:sz w:val="10"/>
                <w:szCs w:val="10"/>
                <w:color w:val="auto"/>
              </w:rPr>
            </w:pPr>
          </w:p>
        </w:tc>
      </w:tr>
      <w:tr>
        <w:trPr>
          <w:trHeight w:val="20"/>
        </w:trPr>
        <w:tc>
          <w:tcPr>
            <w:tcW w:w="240" w:type="dxa"/>
            <w:vAlign w:val="bottom"/>
            <w:gridSpan w:val="2"/>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0" w:type="dxa"/>
            <w:vAlign w:val="bottom"/>
          </w:tcPr>
          <w:p>
            <w:pPr>
              <w:spacing w:after="0" w:line="124" w:lineRule="exact"/>
              <w:rPr>
                <w:sz w:val="20"/>
                <w:szCs w:val="20"/>
                <w:color w:val="auto"/>
              </w:rPr>
            </w:pPr>
            <w:r>
              <w:rPr>
                <w:rFonts w:ascii="Times New Roman" w:cs="Times New Roman" w:eastAsia="Times New Roman" w:hAnsi="Times New Roman"/>
                <w:sz w:val="11"/>
                <w:szCs w:val="11"/>
                <w:color w:val="0000FF"/>
                <w:w w:val="96"/>
              </w:rPr>
              <w:t>9.</w:t>
            </w:r>
          </w:p>
        </w:tc>
        <w:tc>
          <w:tcPr>
            <w:tcW w:w="2160" w:type="dxa"/>
            <w:vAlign w:val="bottom"/>
            <w:gridSpan w:val="19"/>
          </w:tcPr>
          <w:p>
            <w:pPr>
              <w:ind w:left="20"/>
              <w:spacing w:after="0" w:line="124" w:lineRule="exact"/>
              <w:rPr>
                <w:sz w:val="20"/>
                <w:szCs w:val="20"/>
                <w:color w:val="auto"/>
              </w:rPr>
            </w:pPr>
            <w:r>
              <w:rPr>
                <w:rFonts w:ascii="Times New Roman" w:cs="Times New Roman" w:eastAsia="Times New Roman" w:hAnsi="Times New Roman"/>
                <w:sz w:val="11"/>
                <w:szCs w:val="11"/>
                <w:color w:val="0000FF"/>
                <w:w w:val="95"/>
              </w:rPr>
              <w:t>Redeemable Senior Preferred Stock and Warrants</w:t>
            </w:r>
          </w:p>
        </w:tc>
        <w:tc>
          <w:tcPr>
            <w:tcW w:w="8460" w:type="dxa"/>
            <w:vAlign w:val="bottom"/>
            <w:gridSpan w:val="7"/>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18</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780" w:type="dxa"/>
            <w:vAlign w:val="bottom"/>
            <w:gridSpan w:val="6"/>
          </w:tcPr>
          <w:p>
            <w:pPr>
              <w:spacing w:after="0" w:line="124" w:lineRule="exact"/>
              <w:rPr>
                <w:sz w:val="20"/>
                <w:szCs w:val="20"/>
                <w:color w:val="auto"/>
              </w:rPr>
            </w:pPr>
            <w:r>
              <w:rPr>
                <w:rFonts w:ascii="Times New Roman" w:cs="Times New Roman" w:eastAsia="Times New Roman" w:hAnsi="Times New Roman"/>
                <w:sz w:val="11"/>
                <w:szCs w:val="11"/>
                <w:color w:val="0000FF"/>
                <w:w w:val="96"/>
              </w:rPr>
              <w:t>10. Income Taxes</w:t>
            </w:r>
          </w:p>
        </w:tc>
        <w:tc>
          <w:tcPr>
            <w:tcW w:w="1480" w:type="dxa"/>
            <w:vAlign w:val="bottom"/>
            <w:gridSpan w:val="14"/>
          </w:tcPr>
          <w:p>
            <w:pPr>
              <w:spacing w:after="0"/>
              <w:rPr>
                <w:sz w:val="10"/>
                <w:szCs w:val="10"/>
                <w:color w:val="auto"/>
              </w:rPr>
            </w:pPr>
          </w:p>
        </w:tc>
        <w:tc>
          <w:tcPr>
            <w:tcW w:w="8460" w:type="dxa"/>
            <w:vAlign w:val="bottom"/>
            <w:gridSpan w:val="7"/>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20</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60" w:type="dxa"/>
            <w:vAlign w:val="bottom"/>
            <w:gridSpan w:val="10"/>
          </w:tcPr>
          <w:p>
            <w:pPr>
              <w:spacing w:after="0" w:line="124" w:lineRule="exact"/>
              <w:rPr>
                <w:sz w:val="20"/>
                <w:szCs w:val="20"/>
                <w:color w:val="auto"/>
              </w:rPr>
            </w:pPr>
            <w:r>
              <w:rPr>
                <w:rFonts w:ascii="Times New Roman" w:cs="Times New Roman" w:eastAsia="Times New Roman" w:hAnsi="Times New Roman"/>
                <w:sz w:val="11"/>
                <w:szCs w:val="11"/>
                <w:color w:val="0000FF"/>
                <w:w w:val="93"/>
              </w:rPr>
              <w:t>11. Stockholders' Deficit</w:t>
            </w:r>
          </w:p>
        </w:tc>
        <w:tc>
          <w:tcPr>
            <w:tcW w:w="9660" w:type="dxa"/>
            <w:vAlign w:val="bottom"/>
            <w:gridSpan w:val="17"/>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20</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340" w:type="dxa"/>
            <w:vAlign w:val="bottom"/>
            <w:gridSpan w:val="14"/>
          </w:tcPr>
          <w:p>
            <w:pPr>
              <w:spacing w:after="0" w:line="124" w:lineRule="exact"/>
              <w:rPr>
                <w:sz w:val="20"/>
                <w:szCs w:val="20"/>
                <w:color w:val="auto"/>
              </w:rPr>
            </w:pPr>
            <w:r>
              <w:rPr>
                <w:rFonts w:ascii="Times New Roman" w:cs="Times New Roman" w:eastAsia="Times New Roman" w:hAnsi="Times New Roman"/>
                <w:sz w:val="11"/>
                <w:szCs w:val="11"/>
                <w:color w:val="0000FF"/>
                <w:w w:val="95"/>
              </w:rPr>
              <w:t>12. Stock-based Compensation</w:t>
            </w:r>
          </w:p>
        </w:tc>
        <w:tc>
          <w:tcPr>
            <w:tcW w:w="9380" w:type="dxa"/>
            <w:vAlign w:val="bottom"/>
            <w:gridSpan w:val="13"/>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20</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340" w:type="dxa"/>
            <w:vAlign w:val="bottom"/>
            <w:gridSpan w:val="14"/>
          </w:tcPr>
          <w:p>
            <w:pPr>
              <w:spacing w:after="0" w:line="124" w:lineRule="exact"/>
              <w:rPr>
                <w:sz w:val="20"/>
                <w:szCs w:val="20"/>
                <w:color w:val="auto"/>
              </w:rPr>
            </w:pPr>
            <w:r>
              <w:rPr>
                <w:rFonts w:ascii="Times New Roman" w:cs="Times New Roman" w:eastAsia="Times New Roman" w:hAnsi="Times New Roman"/>
                <w:sz w:val="11"/>
                <w:szCs w:val="11"/>
                <w:color w:val="0000FF"/>
                <w:w w:val="96"/>
              </w:rPr>
              <w:t>13. Related Party Transactions</w:t>
            </w:r>
          </w:p>
        </w:tc>
        <w:tc>
          <w:tcPr>
            <w:tcW w:w="9380" w:type="dxa"/>
            <w:vAlign w:val="bottom"/>
            <w:gridSpan w:val="13"/>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21</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720" w:type="dxa"/>
            <w:vAlign w:val="bottom"/>
            <w:gridSpan w:val="27"/>
          </w:tcPr>
          <w:p>
            <w:pPr>
              <w:spacing w:after="0" w:line="124" w:lineRule="exact"/>
              <w:rPr>
                <w:sz w:val="20"/>
                <w:szCs w:val="20"/>
                <w:color w:val="auto"/>
              </w:rPr>
            </w:pPr>
            <w:r>
              <w:rPr>
                <w:rFonts w:ascii="Times New Roman" w:cs="Times New Roman" w:eastAsia="Times New Roman" w:hAnsi="Times New Roman"/>
                <w:sz w:val="11"/>
                <w:szCs w:val="11"/>
                <w:color w:val="0000FF"/>
              </w:rPr>
              <w:t>14. Commitments and Contingencies</w:t>
            </w: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22</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620" w:type="dxa"/>
            <w:vAlign w:val="bottom"/>
            <w:gridSpan w:val="4"/>
          </w:tcPr>
          <w:p>
            <w:pPr>
              <w:spacing w:after="0" w:line="124" w:lineRule="exact"/>
              <w:rPr>
                <w:sz w:val="20"/>
                <w:szCs w:val="20"/>
                <w:color w:val="auto"/>
              </w:rPr>
            </w:pPr>
            <w:r>
              <w:rPr>
                <w:rFonts w:ascii="Times New Roman" w:cs="Times New Roman" w:eastAsia="Times New Roman" w:hAnsi="Times New Roman"/>
                <w:sz w:val="11"/>
                <w:szCs w:val="11"/>
                <w:color w:val="0000FF"/>
                <w:w w:val="94"/>
              </w:rPr>
              <w:t>15. Fair Value</w:t>
            </w:r>
          </w:p>
        </w:tc>
        <w:tc>
          <w:tcPr>
            <w:tcW w:w="980" w:type="dxa"/>
            <w:vAlign w:val="bottom"/>
            <w:gridSpan w:val="11"/>
          </w:tcPr>
          <w:p>
            <w:pPr>
              <w:spacing w:after="0"/>
              <w:rPr>
                <w:sz w:val="10"/>
                <w:szCs w:val="10"/>
                <w:color w:val="auto"/>
              </w:rPr>
            </w:pPr>
          </w:p>
        </w:tc>
        <w:tc>
          <w:tcPr>
            <w:tcW w:w="9120" w:type="dxa"/>
            <w:vAlign w:val="bottom"/>
            <w:gridSpan w:val="12"/>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24</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240" w:type="dxa"/>
            <w:vAlign w:val="bottom"/>
            <w:gridSpan w:val="12"/>
          </w:tcPr>
          <w:p>
            <w:pPr>
              <w:spacing w:after="0" w:line="124" w:lineRule="exact"/>
              <w:rPr>
                <w:sz w:val="20"/>
                <w:szCs w:val="20"/>
                <w:color w:val="auto"/>
              </w:rPr>
            </w:pPr>
            <w:r>
              <w:rPr>
                <w:rFonts w:ascii="Times New Roman" w:cs="Times New Roman" w:eastAsia="Times New Roman" w:hAnsi="Times New Roman"/>
                <w:sz w:val="11"/>
                <w:szCs w:val="11"/>
                <w:color w:val="0000FF"/>
              </w:rPr>
              <w:t>16. Segment Information</w:t>
            </w:r>
          </w:p>
        </w:tc>
        <w:tc>
          <w:tcPr>
            <w:tcW w:w="9480" w:type="dxa"/>
            <w:vAlign w:val="bottom"/>
            <w:gridSpan w:val="15"/>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25</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720" w:type="dxa"/>
            <w:vAlign w:val="bottom"/>
            <w:gridSpan w:val="27"/>
          </w:tcPr>
          <w:p>
            <w:pPr>
              <w:spacing w:after="0" w:line="124" w:lineRule="exact"/>
              <w:rPr>
                <w:sz w:val="20"/>
                <w:szCs w:val="20"/>
                <w:color w:val="auto"/>
              </w:rPr>
            </w:pPr>
            <w:r>
              <w:rPr>
                <w:rFonts w:ascii="Times New Roman" w:cs="Times New Roman" w:eastAsia="Times New Roman" w:hAnsi="Times New Roman"/>
                <w:sz w:val="11"/>
                <w:szCs w:val="11"/>
                <w:color w:val="0000FF"/>
              </w:rPr>
              <w:t>17. Loss per Common Share</w:t>
            </w: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26</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720" w:type="dxa"/>
            <w:vAlign w:val="bottom"/>
            <w:gridSpan w:val="27"/>
          </w:tcPr>
          <w:p>
            <w:pPr>
              <w:spacing w:after="0" w:line="124" w:lineRule="exact"/>
              <w:rPr>
                <w:sz w:val="20"/>
                <w:szCs w:val="20"/>
                <w:color w:val="auto"/>
              </w:rPr>
            </w:pPr>
            <w:r>
              <w:rPr>
                <w:rFonts w:ascii="Times New Roman" w:cs="Times New Roman" w:eastAsia="Times New Roman" w:hAnsi="Times New Roman"/>
                <w:sz w:val="11"/>
                <w:szCs w:val="11"/>
                <w:color w:val="0000FF"/>
              </w:rPr>
              <w:t>Item 2. Management's Discussion and Analysis of Financial Condition and Results of Operations</w:t>
            </w: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27</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4"/>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120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4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2860" w:type="dxa"/>
            <w:vAlign w:val="bottom"/>
            <w:gridSpan w:val="22"/>
          </w:tcPr>
          <w:p>
            <w:pPr>
              <w:spacing w:after="0" w:line="124" w:lineRule="exact"/>
              <w:rPr>
                <w:sz w:val="20"/>
                <w:szCs w:val="20"/>
                <w:color w:val="auto"/>
              </w:rPr>
            </w:pPr>
            <w:r>
              <w:rPr>
                <w:rFonts w:ascii="Times New Roman" w:cs="Times New Roman" w:eastAsia="Times New Roman" w:hAnsi="Times New Roman"/>
                <w:sz w:val="11"/>
                <w:szCs w:val="11"/>
                <w:color w:val="0000FF"/>
                <w:w w:val="95"/>
              </w:rPr>
              <w:t>Item 3. Qualitative and Quantitative Disclosures about Market Risk</w:t>
            </w:r>
          </w:p>
        </w:tc>
        <w:tc>
          <w:tcPr>
            <w:tcW w:w="7860" w:type="dxa"/>
            <w:vAlign w:val="bottom"/>
            <w:gridSpan w:val="5"/>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38</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4"/>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1200" w:type="dxa"/>
            <w:vAlign w:val="bottom"/>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40" w:type="dxa"/>
            <w:vAlign w:val="bottom"/>
            <w:gridSpan w:val="4"/>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340" w:type="dxa"/>
            <w:vAlign w:val="bottom"/>
            <w:gridSpan w:val="14"/>
          </w:tcPr>
          <w:p>
            <w:pPr>
              <w:spacing w:after="0" w:line="124" w:lineRule="exact"/>
              <w:rPr>
                <w:sz w:val="20"/>
                <w:szCs w:val="20"/>
                <w:color w:val="auto"/>
              </w:rPr>
            </w:pPr>
            <w:r>
              <w:rPr>
                <w:rFonts w:ascii="Times New Roman" w:cs="Times New Roman" w:eastAsia="Times New Roman" w:hAnsi="Times New Roman"/>
                <w:sz w:val="11"/>
                <w:szCs w:val="11"/>
                <w:color w:val="0000FF"/>
                <w:w w:val="91"/>
              </w:rPr>
              <w:t>Item 4. Controls and Procedures</w:t>
            </w:r>
          </w:p>
        </w:tc>
        <w:tc>
          <w:tcPr>
            <w:tcW w:w="1520" w:type="dxa"/>
            <w:vAlign w:val="bottom"/>
            <w:gridSpan w:val="8"/>
          </w:tcPr>
          <w:p>
            <w:pPr>
              <w:spacing w:after="0"/>
              <w:rPr>
                <w:sz w:val="10"/>
                <w:szCs w:val="10"/>
                <w:color w:val="auto"/>
              </w:rPr>
            </w:pPr>
          </w:p>
        </w:tc>
        <w:tc>
          <w:tcPr>
            <w:tcW w:w="7860" w:type="dxa"/>
            <w:vAlign w:val="bottom"/>
            <w:gridSpan w:val="5"/>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38</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4"/>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20" w:type="dxa"/>
            <w:vAlign w:val="bottom"/>
            <w:gridSpan w:val="7"/>
          </w:tcPr>
          <w:p>
            <w:pPr>
              <w:spacing w:after="0" w:line="20" w:lineRule="exact"/>
              <w:rPr>
                <w:sz w:val="1"/>
                <w:szCs w:val="1"/>
                <w:color w:val="auto"/>
              </w:rPr>
            </w:pPr>
          </w:p>
        </w:tc>
        <w:tc>
          <w:tcPr>
            <w:tcW w:w="7840" w:type="dxa"/>
            <w:vAlign w:val="bottom"/>
            <w:gridSpan w:val="4"/>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0860" w:type="dxa"/>
            <w:vAlign w:val="bottom"/>
            <w:gridSpan w:val="28"/>
          </w:tcPr>
          <w:p>
            <w:pPr>
              <w:spacing w:after="0" w:line="124" w:lineRule="exact"/>
              <w:rPr>
                <w:sz w:val="20"/>
                <w:szCs w:val="20"/>
                <w:color w:val="auto"/>
              </w:rPr>
            </w:pPr>
            <w:r>
              <w:rPr>
                <w:rFonts w:ascii="Times New Roman" w:cs="Times New Roman" w:eastAsia="Times New Roman" w:hAnsi="Times New Roman"/>
                <w:sz w:val="11"/>
                <w:szCs w:val="11"/>
                <w:color w:val="0000FF"/>
              </w:rPr>
              <w:t>PART II. OTHER INFORMATION</w:t>
            </w: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40</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4"/>
            <w:shd w:val="clear" w:color="auto" w:fill="0000FF"/>
          </w:tcPr>
          <w:p>
            <w:pPr>
              <w:spacing w:after="0" w:line="20" w:lineRule="exact"/>
              <w:rPr>
                <w:sz w:val="1"/>
                <w:szCs w:val="1"/>
                <w:color w:val="auto"/>
              </w:rPr>
            </w:pPr>
          </w:p>
        </w:tc>
        <w:tc>
          <w:tcPr>
            <w:tcW w:w="320" w:type="dxa"/>
            <w:vAlign w:val="bottom"/>
            <w:tcBorders>
              <w:left w:val="single" w:sz="8" w:color="0000FF"/>
            </w:tcBorders>
            <w:gridSpan w:val="2"/>
          </w:tcPr>
          <w:p>
            <w:pPr>
              <w:spacing w:after="0" w:line="20" w:lineRule="exact"/>
              <w:rPr>
                <w:sz w:val="1"/>
                <w:szCs w:val="1"/>
                <w:color w:val="auto"/>
              </w:rPr>
            </w:pPr>
          </w:p>
        </w:tc>
        <w:tc>
          <w:tcPr>
            <w:tcW w:w="1220" w:type="dxa"/>
            <w:vAlign w:val="bottom"/>
            <w:gridSpan w:val="7"/>
          </w:tcPr>
          <w:p>
            <w:pPr>
              <w:spacing w:after="0" w:line="20" w:lineRule="exact"/>
              <w:rPr>
                <w:sz w:val="1"/>
                <w:szCs w:val="1"/>
                <w:color w:val="auto"/>
              </w:rPr>
            </w:pPr>
          </w:p>
        </w:tc>
        <w:tc>
          <w:tcPr>
            <w:tcW w:w="7840" w:type="dxa"/>
            <w:vAlign w:val="bottom"/>
            <w:gridSpan w:val="4"/>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60" w:type="dxa"/>
            <w:vAlign w:val="bottom"/>
            <w:gridSpan w:val="10"/>
          </w:tcPr>
          <w:p>
            <w:pPr>
              <w:spacing w:after="0" w:line="124" w:lineRule="exact"/>
              <w:rPr>
                <w:sz w:val="20"/>
                <w:szCs w:val="20"/>
                <w:color w:val="auto"/>
              </w:rPr>
            </w:pPr>
            <w:r>
              <w:rPr>
                <w:rFonts w:ascii="Times New Roman" w:cs="Times New Roman" w:eastAsia="Times New Roman" w:hAnsi="Times New Roman"/>
                <w:sz w:val="11"/>
                <w:szCs w:val="11"/>
                <w:color w:val="0000FF"/>
                <w:w w:val="88"/>
              </w:rPr>
              <w:t>Item 1. Legal Proceedings</w:t>
            </w:r>
          </w:p>
        </w:tc>
        <w:tc>
          <w:tcPr>
            <w:tcW w:w="280" w:type="dxa"/>
            <w:vAlign w:val="bottom"/>
            <w:gridSpan w:val="4"/>
          </w:tcPr>
          <w:p>
            <w:pPr>
              <w:spacing w:after="0"/>
              <w:rPr>
                <w:sz w:val="10"/>
                <w:szCs w:val="10"/>
                <w:color w:val="auto"/>
              </w:rPr>
            </w:pPr>
          </w:p>
        </w:tc>
        <w:tc>
          <w:tcPr>
            <w:tcW w:w="9380" w:type="dxa"/>
            <w:vAlign w:val="bottom"/>
            <w:gridSpan w:val="13"/>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40</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20" w:type="dxa"/>
            <w:vAlign w:val="bottom"/>
            <w:gridSpan w:val="7"/>
          </w:tcPr>
          <w:p>
            <w:pPr>
              <w:spacing w:after="0" w:line="20" w:lineRule="exact"/>
              <w:rPr>
                <w:sz w:val="1"/>
                <w:szCs w:val="1"/>
                <w:color w:val="auto"/>
              </w:rPr>
            </w:pPr>
          </w:p>
        </w:tc>
        <w:tc>
          <w:tcPr>
            <w:tcW w:w="7840" w:type="dxa"/>
            <w:vAlign w:val="bottom"/>
            <w:gridSpan w:val="4"/>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900" w:type="dxa"/>
            <w:vAlign w:val="bottom"/>
            <w:gridSpan w:val="9"/>
          </w:tcPr>
          <w:p>
            <w:pPr>
              <w:spacing w:after="0" w:line="124" w:lineRule="exact"/>
              <w:rPr>
                <w:sz w:val="20"/>
                <w:szCs w:val="20"/>
                <w:color w:val="auto"/>
              </w:rPr>
            </w:pPr>
            <w:r>
              <w:rPr>
                <w:rFonts w:ascii="Times New Roman" w:cs="Times New Roman" w:eastAsia="Times New Roman" w:hAnsi="Times New Roman"/>
                <w:sz w:val="11"/>
                <w:szCs w:val="11"/>
                <w:color w:val="0000FF"/>
                <w:w w:val="90"/>
              </w:rPr>
              <w:t>Item 1A. Risk Factors</w:t>
            </w:r>
          </w:p>
        </w:tc>
        <w:tc>
          <w:tcPr>
            <w:tcW w:w="160" w:type="dxa"/>
            <w:vAlign w:val="bottom"/>
          </w:tcPr>
          <w:p>
            <w:pPr>
              <w:spacing w:after="0"/>
              <w:rPr>
                <w:sz w:val="10"/>
                <w:szCs w:val="10"/>
                <w:color w:val="auto"/>
              </w:rPr>
            </w:pPr>
          </w:p>
        </w:tc>
        <w:tc>
          <w:tcPr>
            <w:tcW w:w="9660" w:type="dxa"/>
            <w:vAlign w:val="bottom"/>
            <w:gridSpan w:val="17"/>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40</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20" w:type="dxa"/>
            <w:vAlign w:val="bottom"/>
            <w:gridSpan w:val="7"/>
          </w:tcPr>
          <w:p>
            <w:pPr>
              <w:spacing w:after="0" w:line="20" w:lineRule="exact"/>
              <w:rPr>
                <w:sz w:val="1"/>
                <w:szCs w:val="1"/>
                <w:color w:val="auto"/>
              </w:rPr>
            </w:pPr>
          </w:p>
        </w:tc>
        <w:tc>
          <w:tcPr>
            <w:tcW w:w="7840" w:type="dxa"/>
            <w:vAlign w:val="bottom"/>
            <w:gridSpan w:val="4"/>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2880" w:type="dxa"/>
            <w:vAlign w:val="bottom"/>
            <w:gridSpan w:val="23"/>
          </w:tcPr>
          <w:p>
            <w:pPr>
              <w:spacing w:after="0" w:line="124" w:lineRule="exact"/>
              <w:rPr>
                <w:sz w:val="20"/>
                <w:szCs w:val="20"/>
                <w:color w:val="auto"/>
              </w:rPr>
            </w:pPr>
            <w:r>
              <w:rPr>
                <w:rFonts w:ascii="Times New Roman" w:cs="Times New Roman" w:eastAsia="Times New Roman" w:hAnsi="Times New Roman"/>
                <w:sz w:val="11"/>
                <w:szCs w:val="11"/>
                <w:color w:val="0000FF"/>
                <w:w w:val="94"/>
              </w:rPr>
              <w:t>Item 2. Unregistered Sales of Equity Securities and Use of Proceeds</w:t>
            </w:r>
          </w:p>
        </w:tc>
        <w:tc>
          <w:tcPr>
            <w:tcW w:w="7840" w:type="dxa"/>
            <w:vAlign w:val="bottom"/>
            <w:gridSpan w:val="4"/>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40</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40" w:type="dxa"/>
            <w:vAlign w:val="bottom"/>
            <w:gridSpan w:val="6"/>
            <w:shd w:val="clear" w:color="auto" w:fill="0000FF"/>
          </w:tcPr>
          <w:p>
            <w:pPr>
              <w:spacing w:after="0" w:line="20" w:lineRule="exact"/>
              <w:rPr>
                <w:sz w:val="1"/>
                <w:szCs w:val="1"/>
                <w:color w:val="auto"/>
              </w:rPr>
            </w:pPr>
          </w:p>
        </w:tc>
        <w:tc>
          <w:tcPr>
            <w:tcW w:w="280" w:type="dxa"/>
            <w:vAlign w:val="bottom"/>
            <w:tcBorders>
              <w:left w:val="single" w:sz="8" w:color="0000FF"/>
            </w:tcBorders>
            <w:gridSpan w:val="4"/>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1220" w:type="dxa"/>
            <w:vAlign w:val="bottom"/>
            <w:gridSpan w:val="7"/>
            <w:shd w:val="clear" w:color="auto" w:fill="0000FF"/>
          </w:tcPr>
          <w:p>
            <w:pPr>
              <w:spacing w:after="0" w:line="20" w:lineRule="exact"/>
              <w:rPr>
                <w:sz w:val="1"/>
                <w:szCs w:val="1"/>
                <w:color w:val="auto"/>
              </w:rPr>
            </w:pPr>
          </w:p>
        </w:tc>
        <w:tc>
          <w:tcPr>
            <w:tcW w:w="7840" w:type="dxa"/>
            <w:vAlign w:val="bottom"/>
            <w:gridSpan w:val="4"/>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2880" w:type="dxa"/>
            <w:vAlign w:val="bottom"/>
            <w:gridSpan w:val="23"/>
          </w:tcPr>
          <w:p>
            <w:pPr>
              <w:spacing w:after="0" w:line="124" w:lineRule="exact"/>
              <w:rPr>
                <w:sz w:val="20"/>
                <w:szCs w:val="20"/>
                <w:color w:val="auto"/>
              </w:rPr>
            </w:pPr>
            <w:r>
              <w:rPr>
                <w:rFonts w:ascii="Times New Roman" w:cs="Times New Roman" w:eastAsia="Times New Roman" w:hAnsi="Times New Roman"/>
                <w:sz w:val="11"/>
                <w:szCs w:val="11"/>
                <w:color w:val="0000FF"/>
              </w:rPr>
              <w:t>Item 3. Defaults Upon Senior Securities</w:t>
            </w:r>
          </w:p>
        </w:tc>
        <w:tc>
          <w:tcPr>
            <w:tcW w:w="7840" w:type="dxa"/>
            <w:vAlign w:val="bottom"/>
            <w:gridSpan w:val="4"/>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40</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40" w:type="dxa"/>
            <w:vAlign w:val="bottom"/>
            <w:gridSpan w:val="6"/>
            <w:shd w:val="clear" w:color="auto" w:fill="0000FF"/>
          </w:tcPr>
          <w:p>
            <w:pPr>
              <w:spacing w:after="0" w:line="20" w:lineRule="exact"/>
              <w:rPr>
                <w:sz w:val="1"/>
                <w:szCs w:val="1"/>
                <w:color w:val="auto"/>
              </w:rPr>
            </w:pPr>
          </w:p>
        </w:tc>
        <w:tc>
          <w:tcPr>
            <w:tcW w:w="280" w:type="dxa"/>
            <w:vAlign w:val="bottom"/>
            <w:tcBorders>
              <w:left w:val="single" w:sz="8" w:color="0000FF"/>
            </w:tcBorders>
            <w:gridSpan w:val="4"/>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9060" w:type="dxa"/>
            <w:vAlign w:val="bottom"/>
            <w:gridSpan w:val="11"/>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340" w:type="dxa"/>
            <w:vAlign w:val="bottom"/>
            <w:gridSpan w:val="14"/>
          </w:tcPr>
          <w:p>
            <w:pPr>
              <w:spacing w:after="0" w:line="124" w:lineRule="exact"/>
              <w:rPr>
                <w:sz w:val="20"/>
                <w:szCs w:val="20"/>
                <w:color w:val="auto"/>
              </w:rPr>
            </w:pPr>
            <w:r>
              <w:rPr>
                <w:rFonts w:ascii="Times New Roman" w:cs="Times New Roman" w:eastAsia="Times New Roman" w:hAnsi="Times New Roman"/>
                <w:sz w:val="11"/>
                <w:szCs w:val="11"/>
                <w:color w:val="0000FF"/>
                <w:w w:val="91"/>
              </w:rPr>
              <w:t>Item 4. Mine Safety Disclosures</w:t>
            </w:r>
          </w:p>
        </w:tc>
        <w:tc>
          <w:tcPr>
            <w:tcW w:w="320" w:type="dxa"/>
            <w:vAlign w:val="bottom"/>
            <w:gridSpan w:val="2"/>
          </w:tcPr>
          <w:p>
            <w:pPr>
              <w:spacing w:after="0"/>
              <w:rPr>
                <w:sz w:val="10"/>
                <w:szCs w:val="10"/>
                <w:color w:val="auto"/>
              </w:rPr>
            </w:pPr>
          </w:p>
        </w:tc>
        <w:tc>
          <w:tcPr>
            <w:tcW w:w="9060" w:type="dxa"/>
            <w:vAlign w:val="bottom"/>
            <w:gridSpan w:val="11"/>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40</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40" w:type="dxa"/>
            <w:vAlign w:val="bottom"/>
            <w:gridSpan w:val="6"/>
            <w:shd w:val="clear" w:color="auto" w:fill="0000FF"/>
          </w:tcPr>
          <w:p>
            <w:pPr>
              <w:spacing w:after="0" w:line="20" w:lineRule="exact"/>
              <w:rPr>
                <w:sz w:val="1"/>
                <w:szCs w:val="1"/>
                <w:color w:val="auto"/>
              </w:rPr>
            </w:pPr>
          </w:p>
        </w:tc>
        <w:tc>
          <w:tcPr>
            <w:tcW w:w="280" w:type="dxa"/>
            <w:vAlign w:val="bottom"/>
            <w:tcBorders>
              <w:left w:val="single" w:sz="8" w:color="0000FF"/>
            </w:tcBorders>
            <w:gridSpan w:val="4"/>
            <w:shd w:val="clear" w:color="auto" w:fill="0000FF"/>
          </w:tcPr>
          <w:p>
            <w:pPr>
              <w:spacing w:after="0" w:line="20" w:lineRule="exact"/>
              <w:rPr>
                <w:sz w:val="1"/>
                <w:szCs w:val="1"/>
                <w:color w:val="auto"/>
              </w:rPr>
            </w:pPr>
          </w:p>
        </w:tc>
        <w:tc>
          <w:tcPr>
            <w:tcW w:w="9380" w:type="dxa"/>
            <w:vAlign w:val="bottom"/>
            <w:gridSpan w:val="13"/>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60" w:type="dxa"/>
            <w:vAlign w:val="bottom"/>
            <w:gridSpan w:val="10"/>
          </w:tcPr>
          <w:p>
            <w:pPr>
              <w:spacing w:after="0" w:line="124" w:lineRule="exact"/>
              <w:rPr>
                <w:sz w:val="20"/>
                <w:szCs w:val="20"/>
                <w:color w:val="auto"/>
              </w:rPr>
            </w:pPr>
            <w:r>
              <w:rPr>
                <w:rFonts w:ascii="Times New Roman" w:cs="Times New Roman" w:eastAsia="Times New Roman" w:hAnsi="Times New Roman"/>
                <w:sz w:val="11"/>
                <w:szCs w:val="11"/>
                <w:color w:val="0000FF"/>
                <w:w w:val="89"/>
              </w:rPr>
              <w:t>Item 5. Other Information</w:t>
            </w:r>
          </w:p>
        </w:tc>
        <w:tc>
          <w:tcPr>
            <w:tcW w:w="280" w:type="dxa"/>
            <w:vAlign w:val="bottom"/>
            <w:gridSpan w:val="4"/>
          </w:tcPr>
          <w:p>
            <w:pPr>
              <w:spacing w:after="0"/>
              <w:rPr>
                <w:sz w:val="10"/>
                <w:szCs w:val="10"/>
                <w:color w:val="auto"/>
              </w:rPr>
            </w:pPr>
          </w:p>
        </w:tc>
        <w:tc>
          <w:tcPr>
            <w:tcW w:w="9380" w:type="dxa"/>
            <w:vAlign w:val="bottom"/>
            <w:gridSpan w:val="13"/>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41</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40" w:type="dxa"/>
            <w:vAlign w:val="bottom"/>
            <w:gridSpan w:val="6"/>
            <w:shd w:val="clear" w:color="auto" w:fill="0000FF"/>
          </w:tcPr>
          <w:p>
            <w:pPr>
              <w:spacing w:after="0" w:line="20" w:lineRule="exact"/>
              <w:rPr>
                <w:sz w:val="1"/>
                <w:szCs w:val="1"/>
                <w:color w:val="auto"/>
              </w:rPr>
            </w:pPr>
          </w:p>
        </w:tc>
        <w:tc>
          <w:tcPr>
            <w:tcW w:w="9660" w:type="dxa"/>
            <w:vAlign w:val="bottom"/>
            <w:gridSpan w:val="17"/>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60" w:type="dxa"/>
            <w:vAlign w:val="bottom"/>
            <w:gridSpan w:val="10"/>
          </w:tcPr>
          <w:p>
            <w:pPr>
              <w:spacing w:after="0" w:line="124" w:lineRule="exact"/>
              <w:rPr>
                <w:sz w:val="20"/>
                <w:szCs w:val="20"/>
                <w:color w:val="auto"/>
              </w:rPr>
            </w:pPr>
            <w:r>
              <w:rPr>
                <w:rFonts w:ascii="Times New Roman" w:cs="Times New Roman" w:eastAsia="Times New Roman" w:hAnsi="Times New Roman"/>
                <w:sz w:val="11"/>
                <w:szCs w:val="11"/>
                <w:color w:val="0000FF"/>
              </w:rPr>
              <w:t>Item 6. Exhibits</w:t>
            </w:r>
          </w:p>
        </w:tc>
        <w:tc>
          <w:tcPr>
            <w:tcW w:w="9660" w:type="dxa"/>
            <w:vAlign w:val="bottom"/>
            <w:gridSpan w:val="17"/>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41</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100" w:type="dxa"/>
            <w:vAlign w:val="bottom"/>
            <w:gridSpan w:val="23"/>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460" w:type="dxa"/>
            <w:vAlign w:val="bottom"/>
            <w:gridSpan w:val="3"/>
          </w:tcPr>
          <w:p>
            <w:pPr>
              <w:spacing w:after="0" w:line="124" w:lineRule="exact"/>
              <w:rPr>
                <w:sz w:val="20"/>
                <w:szCs w:val="20"/>
                <w:color w:val="auto"/>
              </w:rPr>
            </w:pPr>
            <w:r>
              <w:rPr>
                <w:rFonts w:ascii="Times New Roman" w:cs="Times New Roman" w:eastAsia="Times New Roman" w:hAnsi="Times New Roman"/>
                <w:sz w:val="11"/>
                <w:szCs w:val="11"/>
                <w:color w:val="0000FF"/>
                <w:w w:val="94"/>
              </w:rPr>
              <w:t>Signatures</w:t>
            </w:r>
          </w:p>
        </w:tc>
        <w:tc>
          <w:tcPr>
            <w:tcW w:w="10400" w:type="dxa"/>
            <w:vAlign w:val="bottom"/>
            <w:gridSpan w:val="25"/>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43</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080"/>
          </w:cols>
          <w:pgMar w:left="300" w:top="1025" w:right="5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Commonly Used or Defined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Term</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Definition</w:t>
            </w:r>
          </w:p>
        </w:tc>
      </w:tr>
      <w:tr>
        <w:trPr>
          <w:trHeight w:val="142"/>
        </w:trPr>
        <w:tc>
          <w:tcPr>
            <w:tcW w:w="3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2018 Plan</w:t>
            </w:r>
          </w:p>
        </w:tc>
        <w:tc>
          <w:tcPr>
            <w:tcW w:w="60" w:type="dxa"/>
            <w:vAlign w:val="bottom"/>
            <w:tcBorders>
              <w:top w:val="single" w:sz="8" w:color="CCEEFF"/>
            </w:tcBorders>
            <w:shd w:val="clear" w:color="auto" w:fill="CCEEFF"/>
          </w:tcPr>
          <w:p>
            <w:pPr>
              <w:spacing w:after="0"/>
              <w:rPr>
                <w:sz w:val="12"/>
                <w:szCs w:val="12"/>
                <w:color w:val="auto"/>
              </w:rPr>
            </w:pPr>
          </w:p>
        </w:tc>
        <w:tc>
          <w:tcPr>
            <w:tcW w:w="8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2018 Equity Incentive Plan</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2021 Stock Purchase Plan</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Priority Technology Holdings, Inc. 2021 Employee Stock Purchase Plan</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2021 Share Repurchase Program</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Priority Technology Holdings, Inc. 2021 Share Repurchase Program</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AOCI</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Accumulated other comprehensive income/loss</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AP</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Accounts payable</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ASC</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Accounting Standards Codification</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APIC</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Additional paid-in capital</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Amended Certificate of Designation</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Amended and Restated Certificate of Designation of Senior Preferred Stock effective as of June 30, 2023</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ASU</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Accounting Standards Update</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B2B</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Business-to-business</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B2C</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Business-to-consumer</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CEO</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Chief Executive Officer</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CFO</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Chief Financial Officer</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Common Stock</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The Company's Common Stock, par value $0.001</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CODM</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Chief operating decision maker</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2024 Credit Agreement</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Credit and Guaranty Agreement with Truist Bank dated as of May 16, 2024</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2021 Credit Agreement</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Credit and Guaranty Agreement with Truist Bank dated as of April 27, 2021 (as amended)</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EAETR</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212529"/>
              </w:rPr>
              <w:t>Estimated annual effective tax rate</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ESPP</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Employee Stock Purchase Plan</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Exchange Act</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Securities Exchange Act of 1934</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FASB</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Financial Accounting Standards Board</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FDIC</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Federal Deposit Insurance Corporation</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FBO</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 the benefit of</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FI</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Financial institution</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Finxera</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Finxera Holdings, Inc.</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GAAP</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U.S. Generally Accepted Accounting Principles</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ISO</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Independent sales organization</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ISV</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Independent software vendor</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LIBOR</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London Interbank Offered Rate</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NCI</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Non-controlling interests in consolidated subsidiaries</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PHOT</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Priority Hospitality Technology, LLC</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Plastiq</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Acquisition of Plastiq, Inc. and certain of its affiliates</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PRTH</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Priority Technology Holdings, Inc.</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2024 Revolving credit facility</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$70.0 million line issued under the 2024 Credit Agreement</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2021 Revolving credit facility</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$65.0 million line issued under the 2021 Credit Agreement</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Securities and Exchange Commission</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SOFR</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Secured Overnight Financing Rate</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SMB</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Small to medium-sized businesses</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2021 Term facility</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$620.0 million senior secured term loan facility issued under the 2021 Credit Agreement (including $320.0 million delayed draw facility)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Priority Technology Holdings, Inc.</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Unaudited Consolidated Balance Sheets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i w:val="1"/>
          <w:iCs w:val="1"/>
          <w:color w:val="auto"/>
        </w:rPr>
        <w:t>(in thousands, except share data)</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PART I. FINANCIAL INFORMATION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 Financial Statements</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166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530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June 30, 2024</w:t>
            </w:r>
          </w:p>
        </w:tc>
        <w:tc>
          <w:tcPr>
            <w:tcW w:w="58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December 31, 2023</w:t>
            </w:r>
          </w:p>
        </w:tc>
      </w:tr>
      <w:tr>
        <w:trPr>
          <w:trHeight w:val="133"/>
        </w:trPr>
        <w:tc>
          <w:tcPr>
            <w:tcW w:w="7340" w:type="dxa"/>
            <w:vAlign w:val="bottom"/>
            <w:gridSpan w:val="3"/>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b w:val="1"/>
                <w:bCs w:val="1"/>
                <w:color w:val="auto"/>
              </w:rPr>
              <w:t>Assets</w:t>
            </w:r>
          </w:p>
        </w:tc>
        <w:tc>
          <w:tcPr>
            <w:tcW w:w="1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r>
      <w:tr>
        <w:trPr>
          <w:trHeight w:val="153"/>
        </w:trPr>
        <w:tc>
          <w:tcPr>
            <w:tcW w:w="734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Current assets:</w:t>
            </w:r>
          </w:p>
        </w:tc>
        <w:tc>
          <w:tcPr>
            <w:tcW w:w="1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153"/>
        </w:trPr>
        <w:tc>
          <w:tcPr>
            <w:tcW w:w="73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340" w:type="dxa"/>
            <w:vAlign w:val="bottom"/>
            <w:shd w:val="clear" w:color="auto" w:fill="CCEEFF"/>
          </w:tcPr>
          <w:p>
            <w:pPr>
              <w:jc w:val="right"/>
              <w:ind w:right="122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34,626</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39,604</w:t>
            </w:r>
          </w:p>
        </w:tc>
      </w:tr>
      <w:tr>
        <w:trPr>
          <w:trHeight w:val="153"/>
        </w:trPr>
        <w:tc>
          <w:tcPr>
            <w:tcW w:w="734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Restricted cash</w:t>
            </w:r>
          </w:p>
        </w:tc>
        <w:tc>
          <w:tcPr>
            <w:tcW w:w="13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12,625</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11,923</w:t>
            </w:r>
          </w:p>
        </w:tc>
      </w:tr>
      <w:tr>
        <w:trPr>
          <w:trHeight w:val="153"/>
        </w:trPr>
        <w:tc>
          <w:tcPr>
            <w:tcW w:w="73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Accounts receivable, net of allowances of $6,209 and $5,289, respectively</w:t>
            </w:r>
          </w:p>
        </w:tc>
        <w:tc>
          <w:tcPr>
            <w:tcW w:w="13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65,746</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58,551</w:t>
            </w:r>
          </w:p>
        </w:tc>
      </w:tr>
      <w:tr>
        <w:trPr>
          <w:trHeight w:val="153"/>
        </w:trPr>
        <w:tc>
          <w:tcPr>
            <w:tcW w:w="734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13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19,479</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13,273</w:t>
            </w:r>
          </w:p>
        </w:tc>
      </w:tr>
      <w:tr>
        <w:trPr>
          <w:trHeight w:val="153"/>
        </w:trPr>
        <w:tc>
          <w:tcPr>
            <w:tcW w:w="73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Current portion of notes receivable, net of allowance of $0 and $0, respectively</w:t>
            </w:r>
          </w:p>
        </w:tc>
        <w:tc>
          <w:tcPr>
            <w:tcW w:w="13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2,188</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1,468</w:t>
            </w:r>
          </w:p>
        </w:tc>
      </w:tr>
      <w:tr>
        <w:trPr>
          <w:trHeight w:val="153"/>
        </w:trPr>
        <w:tc>
          <w:tcPr>
            <w:tcW w:w="734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2"/>
                <w:szCs w:val="12"/>
                <w:color w:val="auto"/>
              </w:rPr>
              <w:t>Settlement assets and customer/subscriber account balances</w:t>
            </w:r>
          </w:p>
        </w:tc>
        <w:tc>
          <w:tcPr>
            <w:tcW w:w="13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802,394</w:t>
            </w:r>
          </w:p>
        </w:tc>
        <w:tc>
          <w:tcPr>
            <w:tcW w:w="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756,475</w:t>
            </w:r>
          </w:p>
        </w:tc>
      </w:tr>
      <w:tr>
        <w:trPr>
          <w:trHeight w:val="142"/>
        </w:trPr>
        <w:tc>
          <w:tcPr>
            <w:tcW w:w="7340" w:type="dxa"/>
            <w:vAlign w:val="bottom"/>
            <w:gridSpan w:val="3"/>
            <w:shd w:val="clear" w:color="auto" w:fill="CCEEFF"/>
          </w:tcPr>
          <w:p>
            <w:pPr>
              <w:ind w:left="320"/>
              <w:spacing w:after="0" w:line="135" w:lineRule="exact"/>
              <w:rPr>
                <w:sz w:val="20"/>
                <w:szCs w:val="20"/>
                <w:color w:val="auto"/>
              </w:rPr>
            </w:pPr>
            <w:r>
              <w:rPr>
                <w:rFonts w:ascii="Times New Roman" w:cs="Times New Roman" w:eastAsia="Times New Roman" w:hAnsi="Times New Roman"/>
                <w:sz w:val="12"/>
                <w:szCs w:val="12"/>
                <w:color w:val="auto"/>
              </w:rPr>
              <w:t>Total current assets</w:t>
            </w:r>
          </w:p>
        </w:tc>
        <w:tc>
          <w:tcPr>
            <w:tcW w:w="13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937,058</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881,294</w:t>
            </w:r>
          </w:p>
        </w:tc>
      </w:tr>
      <w:tr>
        <w:trPr>
          <w:trHeight w:val="153"/>
        </w:trPr>
        <w:tc>
          <w:tcPr>
            <w:tcW w:w="734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Notes receivable, less current portion</w:t>
            </w:r>
          </w:p>
        </w:tc>
        <w:tc>
          <w:tcPr>
            <w:tcW w:w="13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4,998</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3,728</w:t>
            </w:r>
          </w:p>
        </w:tc>
      </w:tr>
      <w:tr>
        <w:trPr>
          <w:trHeight w:val="153"/>
        </w:trPr>
        <w:tc>
          <w:tcPr>
            <w:tcW w:w="7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Property, equipment and software, net</w:t>
            </w:r>
          </w:p>
        </w:tc>
        <w:tc>
          <w:tcPr>
            <w:tcW w:w="13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49,800</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44,680</w:t>
            </w:r>
          </w:p>
        </w:tc>
      </w:tr>
      <w:tr>
        <w:trPr>
          <w:trHeight w:val="153"/>
        </w:trPr>
        <w:tc>
          <w:tcPr>
            <w:tcW w:w="734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Goodwill</w:t>
            </w:r>
          </w:p>
        </w:tc>
        <w:tc>
          <w:tcPr>
            <w:tcW w:w="13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376,091</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376,103</w:t>
            </w:r>
          </w:p>
        </w:tc>
      </w:tr>
      <w:tr>
        <w:trPr>
          <w:trHeight w:val="153"/>
        </w:trPr>
        <w:tc>
          <w:tcPr>
            <w:tcW w:w="7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Intangible assets, net</w:t>
            </w:r>
          </w:p>
        </w:tc>
        <w:tc>
          <w:tcPr>
            <w:tcW w:w="13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258,632</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273,350</w:t>
            </w:r>
          </w:p>
        </w:tc>
      </w:tr>
      <w:tr>
        <w:trPr>
          <w:trHeight w:val="153"/>
        </w:trPr>
        <w:tc>
          <w:tcPr>
            <w:tcW w:w="734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Deferred income taxes, net</w:t>
            </w:r>
          </w:p>
        </w:tc>
        <w:tc>
          <w:tcPr>
            <w:tcW w:w="13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25,556</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22,533</w:t>
            </w:r>
          </w:p>
        </w:tc>
      </w:tr>
      <w:tr>
        <w:trPr>
          <w:trHeight w:val="153"/>
        </w:trPr>
        <w:tc>
          <w:tcPr>
            <w:tcW w:w="7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noncurrent assets</w:t>
            </w:r>
          </w:p>
        </w:tc>
        <w:tc>
          <w:tcPr>
            <w:tcW w:w="134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21,294</w:t>
            </w:r>
          </w:p>
        </w:tc>
        <w:tc>
          <w:tcPr>
            <w:tcW w:w="6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13,649</w:t>
            </w:r>
          </w:p>
        </w:tc>
      </w:tr>
      <w:tr>
        <w:trPr>
          <w:trHeight w:val="158"/>
        </w:trPr>
        <w:tc>
          <w:tcPr>
            <w:tcW w:w="7340" w:type="dxa"/>
            <w:vAlign w:val="bottom"/>
            <w:tcBorders>
              <w:bottom w:val="single" w:sz="8" w:color="CCEEFF"/>
            </w:tcBorders>
            <w:gridSpan w:val="3"/>
          </w:tcPr>
          <w:p>
            <w:pPr>
              <w:ind w:left="380"/>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1340" w:type="dxa"/>
            <w:vAlign w:val="bottom"/>
            <w:tcBorders>
              <w:bottom w:val="single" w:sz="8" w:color="auto"/>
            </w:tcBorders>
          </w:tcPr>
          <w:p>
            <w:pPr>
              <w:jc w:val="right"/>
              <w:ind w:right="122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1,673,429</w:t>
            </w:r>
          </w:p>
        </w:tc>
        <w:tc>
          <w:tcPr>
            <w:tcW w:w="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1,615,337</w:t>
            </w:r>
          </w:p>
        </w:tc>
      </w:tr>
      <w:tr>
        <w:trPr>
          <w:trHeight w:val="135"/>
        </w:trPr>
        <w:tc>
          <w:tcPr>
            <w:tcW w:w="7340" w:type="dxa"/>
            <w:vAlign w:val="bottom"/>
            <w:gridSpan w:val="3"/>
            <w:shd w:val="clear" w:color="auto" w:fill="CCEEFF"/>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Liabilities, Redeemable Senior Preferred Stock, Redeemable NCI, and Stockholders' Deficit</w:t>
            </w:r>
          </w:p>
        </w:tc>
        <w:tc>
          <w:tcPr>
            <w:tcW w:w="1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r>
      <w:tr>
        <w:trPr>
          <w:trHeight w:val="153"/>
        </w:trPr>
        <w:tc>
          <w:tcPr>
            <w:tcW w:w="734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Current liabilities:</w:t>
            </w:r>
          </w:p>
        </w:tc>
        <w:tc>
          <w:tcPr>
            <w:tcW w:w="1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153"/>
        </w:trPr>
        <w:tc>
          <w:tcPr>
            <w:tcW w:w="73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1340" w:type="dxa"/>
            <w:vAlign w:val="bottom"/>
            <w:shd w:val="clear" w:color="auto" w:fill="CCEEFF"/>
          </w:tcPr>
          <w:p>
            <w:pPr>
              <w:jc w:val="right"/>
              <w:ind w:right="122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66,724</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52,643</w:t>
            </w:r>
          </w:p>
        </w:tc>
      </w:tr>
      <w:tr>
        <w:trPr>
          <w:trHeight w:val="153"/>
        </w:trPr>
        <w:tc>
          <w:tcPr>
            <w:tcW w:w="734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Accrued residual commissions</w:t>
            </w:r>
          </w:p>
        </w:tc>
        <w:tc>
          <w:tcPr>
            <w:tcW w:w="13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36,091</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33,025</w:t>
            </w:r>
          </w:p>
        </w:tc>
      </w:tr>
      <w:tr>
        <w:trPr>
          <w:trHeight w:val="153"/>
        </w:trPr>
        <w:tc>
          <w:tcPr>
            <w:tcW w:w="73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Customer deposits and advance payments</w:t>
            </w:r>
          </w:p>
        </w:tc>
        <w:tc>
          <w:tcPr>
            <w:tcW w:w="13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3,569</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3,934</w:t>
            </w:r>
          </w:p>
        </w:tc>
      </w:tr>
      <w:tr>
        <w:trPr>
          <w:trHeight w:val="153"/>
        </w:trPr>
        <w:tc>
          <w:tcPr>
            <w:tcW w:w="734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Current portion of long-term debt</w:t>
            </w:r>
          </w:p>
        </w:tc>
        <w:tc>
          <w:tcPr>
            <w:tcW w:w="13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8,350</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6,712</w:t>
            </w:r>
          </w:p>
        </w:tc>
      </w:tr>
      <w:tr>
        <w:trPr>
          <w:trHeight w:val="153"/>
        </w:trPr>
        <w:tc>
          <w:tcPr>
            <w:tcW w:w="73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Settlement and customer/subscriber account obligations</w:t>
            </w:r>
          </w:p>
        </w:tc>
        <w:tc>
          <w:tcPr>
            <w:tcW w:w="134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798,753</w:t>
            </w:r>
          </w:p>
        </w:tc>
        <w:tc>
          <w:tcPr>
            <w:tcW w:w="6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755,754</w:t>
            </w:r>
          </w:p>
        </w:tc>
      </w:tr>
      <w:tr>
        <w:trPr>
          <w:trHeight w:val="142"/>
        </w:trPr>
        <w:tc>
          <w:tcPr>
            <w:tcW w:w="7340" w:type="dxa"/>
            <w:vAlign w:val="bottom"/>
            <w:gridSpan w:val="3"/>
          </w:tcPr>
          <w:p>
            <w:pPr>
              <w:ind w:left="320"/>
              <w:spacing w:after="0" w:line="135" w:lineRule="exact"/>
              <w:rPr>
                <w:sz w:val="20"/>
                <w:szCs w:val="20"/>
                <w:color w:val="auto"/>
              </w:rPr>
            </w:pPr>
            <w:r>
              <w:rPr>
                <w:rFonts w:ascii="Times New Roman" w:cs="Times New Roman" w:eastAsia="Times New Roman" w:hAnsi="Times New Roman"/>
                <w:sz w:val="12"/>
                <w:szCs w:val="12"/>
                <w:color w:val="auto"/>
              </w:rPr>
              <w:t>Total current liabilities</w:t>
            </w:r>
          </w:p>
        </w:tc>
        <w:tc>
          <w:tcPr>
            <w:tcW w:w="13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913,487</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852,068</w:t>
            </w:r>
          </w:p>
        </w:tc>
      </w:tr>
      <w:tr>
        <w:trPr>
          <w:trHeight w:val="153"/>
        </w:trPr>
        <w:tc>
          <w:tcPr>
            <w:tcW w:w="7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Long-term debt, net of current portion, discounts and debt issuance costs</w:t>
            </w:r>
          </w:p>
        </w:tc>
        <w:tc>
          <w:tcPr>
            <w:tcW w:w="13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809,045</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631,965</w:t>
            </w:r>
          </w:p>
        </w:tc>
      </w:tr>
      <w:tr>
        <w:trPr>
          <w:trHeight w:val="153"/>
        </w:trPr>
        <w:tc>
          <w:tcPr>
            <w:tcW w:w="73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2"/>
                <w:szCs w:val="12"/>
                <w:color w:val="auto"/>
              </w:rPr>
              <w:t>Other noncurrent liabilities</w:t>
            </w:r>
          </w:p>
        </w:tc>
        <w:tc>
          <w:tcPr>
            <w:tcW w:w="13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15,488</w:t>
            </w:r>
          </w:p>
        </w:tc>
        <w:tc>
          <w:tcPr>
            <w:tcW w:w="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18,763</w:t>
            </w:r>
          </w:p>
        </w:tc>
      </w:tr>
      <w:tr>
        <w:trPr>
          <w:trHeight w:val="142"/>
        </w:trPr>
        <w:tc>
          <w:tcPr>
            <w:tcW w:w="734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13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1,738,020</w:t>
            </w:r>
          </w:p>
        </w:tc>
        <w:tc>
          <w:tcPr>
            <w:tcW w:w="6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1,502,796</w:t>
            </w:r>
          </w:p>
        </w:tc>
      </w:tr>
      <w:tr>
        <w:trPr>
          <w:trHeight w:val="106"/>
        </w:trPr>
        <w:tc>
          <w:tcPr>
            <w:tcW w:w="7340" w:type="dxa"/>
            <w:vAlign w:val="bottom"/>
            <w:gridSpan w:val="3"/>
          </w:tcPr>
          <w:p>
            <w:pPr>
              <w:ind w:left="20"/>
              <w:spacing w:after="0" w:line="106" w:lineRule="exact"/>
              <w:rPr>
                <w:sz w:val="20"/>
                <w:szCs w:val="20"/>
                <w:color w:val="auto"/>
              </w:rPr>
            </w:pPr>
            <w:r>
              <w:rPr>
                <w:rFonts w:ascii="Times New Roman" w:cs="Times New Roman" w:eastAsia="Times New Roman" w:hAnsi="Times New Roman"/>
                <w:sz w:val="12"/>
                <w:szCs w:val="12"/>
                <w:color w:val="auto"/>
              </w:rPr>
              <w:t>Commitments and contingencies (</w:t>
            </w:r>
            <w:r>
              <w:rPr>
                <w:rFonts w:ascii="Times New Roman" w:cs="Times New Roman" w:eastAsia="Times New Roman" w:hAnsi="Times New Roman"/>
                <w:sz w:val="12"/>
                <w:szCs w:val="12"/>
                <w:color w:val="0000FF"/>
              </w:rPr>
              <w:t>Note 14</w:t>
            </w:r>
            <w:r>
              <w:rPr>
                <w:rFonts w:ascii="Times New Roman" w:cs="Times New Roman" w:eastAsia="Times New Roman" w:hAnsi="Times New Roman"/>
                <w:sz w:val="12"/>
                <w:szCs w:val="12"/>
                <w:color w:val="auto"/>
              </w:rPr>
              <w:t>)</w:t>
            </w:r>
          </w:p>
        </w:tc>
        <w:tc>
          <w:tcPr>
            <w:tcW w:w="1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40" w:type="dxa"/>
            <w:vAlign w:val="bottom"/>
          </w:tcPr>
          <w:p>
            <w:pPr>
              <w:spacing w:after="0"/>
              <w:rPr>
                <w:sz w:val="9"/>
                <w:szCs w:val="9"/>
                <w:color w:val="auto"/>
              </w:rPr>
            </w:pPr>
          </w:p>
        </w:tc>
      </w:tr>
      <w:tr>
        <w:trPr>
          <w:trHeight w:val="27"/>
        </w:trPr>
        <w:tc>
          <w:tcPr>
            <w:tcW w:w="166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5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153"/>
        </w:trPr>
        <w:tc>
          <w:tcPr>
            <w:tcW w:w="7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Redeemable senior preferred stock, net of discounts and issuance costs:</w:t>
            </w:r>
          </w:p>
        </w:tc>
        <w:tc>
          <w:tcPr>
            <w:tcW w:w="13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r>
      <w:tr>
        <w:trPr>
          <w:trHeight w:val="117"/>
        </w:trPr>
        <w:tc>
          <w:tcPr>
            <w:tcW w:w="7340" w:type="dxa"/>
            <w:vAlign w:val="bottom"/>
            <w:gridSpan w:val="3"/>
          </w:tcPr>
          <w:p>
            <w:pPr>
              <w:ind w:left="20"/>
              <w:spacing w:after="0" w:line="117" w:lineRule="exact"/>
              <w:rPr>
                <w:sz w:val="20"/>
                <w:szCs w:val="20"/>
                <w:color w:val="auto"/>
              </w:rPr>
            </w:pPr>
            <w:r>
              <w:rPr>
                <w:rFonts w:ascii="Times New Roman" w:cs="Times New Roman" w:eastAsia="Times New Roman" w:hAnsi="Times New Roman"/>
                <w:sz w:val="12"/>
                <w:szCs w:val="12"/>
                <w:color w:val="auto"/>
              </w:rPr>
              <w:t>Redeemable senior preferred stock, $0.001 par value; 250,000 shares authorized; 225,000 shares issued at June 30, 2024 and December 31, 2023;</w:t>
            </w:r>
          </w:p>
        </w:tc>
        <w:tc>
          <w:tcPr>
            <w:tcW w:w="1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40" w:type="dxa"/>
            <w:vAlign w:val="bottom"/>
          </w:tcPr>
          <w:p>
            <w:pPr>
              <w:spacing w:after="0"/>
              <w:rPr>
                <w:sz w:val="10"/>
                <w:szCs w:val="10"/>
                <w:color w:val="auto"/>
              </w:rPr>
            </w:pPr>
          </w:p>
        </w:tc>
      </w:tr>
      <w:tr>
        <w:trPr>
          <w:trHeight w:val="162"/>
        </w:trPr>
        <w:tc>
          <w:tcPr>
            <w:tcW w:w="734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88,064 and 225,000 shares outstanding at June 30, 2024 and December 31, 2023, respectively</w:t>
            </w:r>
          </w:p>
        </w:tc>
        <w:tc>
          <w:tcPr>
            <w:tcW w:w="13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105,684</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258,605</w:t>
            </w:r>
          </w:p>
        </w:tc>
      </w:tr>
      <w:tr>
        <w:trPr>
          <w:trHeight w:val="153"/>
        </w:trPr>
        <w:tc>
          <w:tcPr>
            <w:tcW w:w="7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Stockholders' deficit:</w:t>
            </w:r>
          </w:p>
        </w:tc>
        <w:tc>
          <w:tcPr>
            <w:tcW w:w="13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r>
      <w:tr>
        <w:trPr>
          <w:trHeight w:val="153"/>
        </w:trPr>
        <w:tc>
          <w:tcPr>
            <w:tcW w:w="734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Preferred stock, $0.001; 100,000,000 shares authorized; 0 issued or outstanding at June 30, 2024 and December 31, 2023</w:t>
            </w:r>
          </w:p>
        </w:tc>
        <w:tc>
          <w:tcPr>
            <w:tcW w:w="134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17"/>
        </w:trPr>
        <w:tc>
          <w:tcPr>
            <w:tcW w:w="7340" w:type="dxa"/>
            <w:vAlign w:val="bottom"/>
            <w:gridSpan w:val="3"/>
            <w:shd w:val="clear" w:color="auto" w:fill="CCEEFF"/>
          </w:tcPr>
          <w:p>
            <w:pPr>
              <w:ind w:left="100"/>
              <w:spacing w:after="0" w:line="117" w:lineRule="exact"/>
              <w:rPr>
                <w:sz w:val="20"/>
                <w:szCs w:val="20"/>
                <w:color w:val="auto"/>
              </w:rPr>
            </w:pPr>
            <w:r>
              <w:rPr>
                <w:rFonts w:ascii="Times New Roman" w:cs="Times New Roman" w:eastAsia="Times New Roman" w:hAnsi="Times New Roman"/>
                <w:sz w:val="12"/>
                <w:szCs w:val="12"/>
                <w:color w:val="auto"/>
              </w:rPr>
              <w:t>Common Stock, $0.001 par value; 1,000,000,000 shares authorized; 80,208,533 and 79,589,055 shares issued at June 30, 2024 and December 31,</w:t>
            </w:r>
          </w:p>
        </w:tc>
        <w:tc>
          <w:tcPr>
            <w:tcW w:w="1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640" w:type="dxa"/>
            <w:vAlign w:val="bottom"/>
            <w:shd w:val="clear" w:color="auto" w:fill="CCEEFF"/>
          </w:tcPr>
          <w:p>
            <w:pPr>
              <w:spacing w:after="0"/>
              <w:rPr>
                <w:sz w:val="10"/>
                <w:szCs w:val="10"/>
                <w:color w:val="auto"/>
              </w:rPr>
            </w:pPr>
          </w:p>
        </w:tc>
      </w:tr>
      <w:tr>
        <w:trPr>
          <w:trHeight w:val="162"/>
        </w:trPr>
        <w:tc>
          <w:tcPr>
            <w:tcW w:w="73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2023, respectively; and 75,967,543 and 76,956,889 shares outstanding at June 30, 2024 and December 31, 2023, respectively</w:t>
            </w:r>
          </w:p>
        </w:tc>
        <w:tc>
          <w:tcPr>
            <w:tcW w:w="13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w:t>
            </w:r>
          </w:p>
        </w:tc>
      </w:tr>
      <w:tr>
        <w:trPr>
          <w:trHeight w:val="153"/>
        </w:trPr>
        <w:tc>
          <w:tcPr>
            <w:tcW w:w="734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Treasury stock at cost, 4,240,990 and 2,632,166 shares at June 30, 2024 and December 31, 2023, respectively</w:t>
            </w:r>
          </w:p>
        </w:tc>
        <w:tc>
          <w:tcPr>
            <w:tcW w:w="13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(18,673)</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(12,815)</w:t>
            </w:r>
          </w:p>
        </w:tc>
      </w:tr>
      <w:tr>
        <w:trPr>
          <w:trHeight w:val="153"/>
        </w:trPr>
        <w:tc>
          <w:tcPr>
            <w:tcW w:w="73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13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734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13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r>
      <w:tr>
        <w:trPr>
          <w:trHeight w:val="153"/>
        </w:trPr>
        <w:tc>
          <w:tcPr>
            <w:tcW w:w="73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Accumulated deficit</w:t>
            </w:r>
          </w:p>
        </w:tc>
        <w:tc>
          <w:tcPr>
            <w:tcW w:w="134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(153,472)</w:t>
            </w:r>
          </w:p>
        </w:tc>
        <w:tc>
          <w:tcPr>
            <w:tcW w:w="6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(134,951)</w:t>
            </w:r>
          </w:p>
        </w:tc>
      </w:tr>
      <w:tr>
        <w:trPr>
          <w:trHeight w:val="142"/>
        </w:trPr>
        <w:tc>
          <w:tcPr>
            <w:tcW w:w="7340" w:type="dxa"/>
            <w:vAlign w:val="bottom"/>
            <w:gridSpan w:val="3"/>
          </w:tcPr>
          <w:p>
            <w:pPr>
              <w:ind w:left="240"/>
              <w:spacing w:after="0"/>
              <w:rPr>
                <w:sz w:val="20"/>
                <w:szCs w:val="20"/>
                <w:color w:val="auto"/>
              </w:rPr>
            </w:pPr>
            <w:r>
              <w:rPr>
                <w:rFonts w:ascii="Times New Roman" w:cs="Times New Roman" w:eastAsia="Times New Roman" w:hAnsi="Times New Roman"/>
                <w:sz w:val="12"/>
                <w:szCs w:val="12"/>
                <w:b w:val="1"/>
                <w:bCs w:val="1"/>
                <w:color w:val="auto"/>
              </w:rPr>
              <w:t>Total stockholders' deficit attributable to stockholders of PRTH</w:t>
            </w:r>
          </w:p>
        </w:tc>
        <w:tc>
          <w:tcPr>
            <w:tcW w:w="13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(172,107)</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(147,718)</w:t>
            </w:r>
          </w:p>
        </w:tc>
      </w:tr>
      <w:tr>
        <w:trPr>
          <w:trHeight w:val="153"/>
        </w:trPr>
        <w:tc>
          <w:tcPr>
            <w:tcW w:w="73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Non-controlling interests in consolidated subsidiaries</w:t>
            </w:r>
          </w:p>
        </w:tc>
        <w:tc>
          <w:tcPr>
            <w:tcW w:w="134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1,832</w:t>
            </w:r>
          </w:p>
        </w:tc>
        <w:tc>
          <w:tcPr>
            <w:tcW w:w="6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1,654</w:t>
            </w:r>
          </w:p>
        </w:tc>
      </w:tr>
      <w:tr>
        <w:trPr>
          <w:trHeight w:val="142"/>
        </w:trPr>
        <w:tc>
          <w:tcPr>
            <w:tcW w:w="7340" w:type="dxa"/>
            <w:vAlign w:val="bottom"/>
            <w:tcBorders>
              <w:bottom w:val="single" w:sz="8" w:color="CCEEFF"/>
            </w:tcBorders>
            <w:gridSpan w:val="3"/>
          </w:tcPr>
          <w:p>
            <w:pPr>
              <w:ind w:left="240"/>
              <w:spacing w:after="0"/>
              <w:rPr>
                <w:sz w:val="20"/>
                <w:szCs w:val="20"/>
                <w:color w:val="auto"/>
              </w:rPr>
            </w:pPr>
            <w:r>
              <w:rPr>
                <w:rFonts w:ascii="Times New Roman" w:cs="Times New Roman" w:eastAsia="Times New Roman" w:hAnsi="Times New Roman"/>
                <w:sz w:val="12"/>
                <w:szCs w:val="12"/>
                <w:b w:val="1"/>
                <w:bCs w:val="1"/>
                <w:color w:val="auto"/>
              </w:rPr>
              <w:t>Total stockholders' deficit</w:t>
            </w:r>
          </w:p>
        </w:tc>
        <w:tc>
          <w:tcPr>
            <w:tcW w:w="13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(170,275)</w:t>
            </w:r>
          </w:p>
        </w:tc>
        <w:tc>
          <w:tcPr>
            <w:tcW w:w="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(146,064)</w:t>
            </w:r>
          </w:p>
        </w:tc>
      </w:tr>
      <w:tr>
        <w:trPr>
          <w:trHeight w:val="158"/>
        </w:trPr>
        <w:tc>
          <w:tcPr>
            <w:tcW w:w="734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2"/>
                <w:szCs w:val="12"/>
                <w:b w:val="1"/>
                <w:bCs w:val="1"/>
                <w:color w:val="auto"/>
              </w:rPr>
              <w:t>Total liabilities, redeemable senior preferred stock, redeemable NCI and stockholders' deficit</w:t>
            </w:r>
          </w:p>
        </w:tc>
        <w:tc>
          <w:tcPr>
            <w:tcW w:w="1340" w:type="dxa"/>
            <w:vAlign w:val="bottom"/>
            <w:tcBorders>
              <w:bottom w:val="single" w:sz="8" w:color="auto"/>
            </w:tcBorders>
            <w:shd w:val="clear" w:color="auto" w:fill="CCEEFF"/>
          </w:tcPr>
          <w:p>
            <w:pPr>
              <w:jc w:val="right"/>
              <w:ind w:right="122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1,673,429</w:t>
            </w:r>
          </w:p>
        </w:tc>
        <w:tc>
          <w:tcPr>
            <w:tcW w:w="6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1,615,337</w:t>
            </w:r>
          </w:p>
        </w:tc>
      </w:tr>
    </w:tbl>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 xml:space="preserve">See </w:t>
      </w:r>
      <w:r>
        <w:rPr>
          <w:rFonts w:ascii="Times New Roman" w:cs="Times New Roman" w:eastAsia="Times New Roman" w:hAnsi="Times New Roman"/>
          <w:sz w:val="12"/>
          <w:szCs w:val="12"/>
          <w:u w:val="single" w:color="auto"/>
          <w:color w:val="0000FF"/>
        </w:rPr>
        <w:t>Notes to Unaudited Consolidated Financial Statements</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Priority Technology Holdings, Inc</w:t>
      </w:r>
      <w:r>
        <w:rPr>
          <w:rFonts w:ascii="Times New Roman" w:cs="Times New Roman" w:eastAsia="Times New Roman" w:hAnsi="Times New Roman"/>
          <w:sz w:val="12"/>
          <w:szCs w:val="12"/>
          <w:color w:val="auto"/>
        </w:rPr>
        <w: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 Consolidated Statements of Operations and Comprehensive Loss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(in thousands, except per share amounts)</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8"/>
              </w:rPr>
              <w:t>Three Months Ended</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Six Months Ended</w:t>
            </w:r>
          </w:p>
        </w:tc>
        <w:tc>
          <w:tcPr>
            <w:tcW w:w="780" w:type="dxa"/>
            <w:vAlign w:val="bottom"/>
          </w:tcPr>
          <w:p>
            <w:pPr>
              <w:spacing w:after="0"/>
              <w:rPr>
                <w:sz w:val="12"/>
                <w:szCs w:val="12"/>
                <w:color w:val="auto"/>
              </w:rPr>
            </w:pPr>
          </w:p>
        </w:tc>
      </w:tr>
      <w:tr>
        <w:trPr>
          <w:trHeight w:val="160"/>
        </w:trPr>
        <w:tc>
          <w:tcPr>
            <w:tcW w:w="594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ind w:right="306"/>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7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780" w:type="dxa"/>
            <w:vAlign w:val="bottom"/>
            <w:tcBorders>
              <w:bottom w:val="single" w:sz="8" w:color="auto"/>
            </w:tcBorders>
          </w:tcPr>
          <w:p>
            <w:pPr>
              <w:spacing w:after="0"/>
              <w:rPr>
                <w:sz w:val="13"/>
                <w:szCs w:val="13"/>
                <w:color w:val="auto"/>
              </w:rPr>
            </w:pPr>
          </w:p>
        </w:tc>
      </w:tr>
      <w:tr>
        <w:trPr>
          <w:trHeight w:val="144"/>
        </w:trPr>
        <w:tc>
          <w:tcPr>
            <w:tcW w:w="59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w w:val="99"/>
              </w:rPr>
              <w:t>2023</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242424"/>
              </w:rPr>
              <w:t>2024</w:t>
            </w:r>
          </w:p>
        </w:tc>
        <w:tc>
          <w:tcPr>
            <w:tcW w:w="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42"/>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Revenues</w:t>
            </w:r>
          </w:p>
        </w:tc>
        <w:tc>
          <w:tcPr>
            <w:tcW w:w="780" w:type="dxa"/>
            <w:vAlign w:val="bottom"/>
            <w:tcBorders>
              <w:bottom w:val="single" w:sz="8" w:color="auto"/>
            </w:tcBorders>
            <w:shd w:val="clear" w:color="auto" w:fill="CCEEFF"/>
          </w:tcPr>
          <w:p>
            <w:pPr>
              <w:jc w:val="right"/>
              <w:ind w:right="66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219,867</w:t>
            </w:r>
          </w:p>
        </w:tc>
        <w:tc>
          <w:tcPr>
            <w:tcW w:w="8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182,290</w:t>
            </w:r>
          </w:p>
        </w:tc>
        <w:tc>
          <w:tcPr>
            <w:tcW w:w="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425,586</w:t>
            </w:r>
          </w:p>
        </w:tc>
        <w:tc>
          <w:tcPr>
            <w:tcW w:w="8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367,318</w:t>
            </w:r>
          </w:p>
        </w:tc>
      </w:tr>
      <w:tr>
        <w:trPr>
          <w:trHeight w:val="133"/>
        </w:trPr>
        <w:tc>
          <w:tcPr>
            <w:tcW w:w="5940" w:type="dxa"/>
            <w:vAlign w:val="bottom"/>
          </w:tcPr>
          <w:p>
            <w:pPr>
              <w:ind w:left="20"/>
              <w:spacing w:after="0" w:line="133" w:lineRule="exact"/>
              <w:rPr>
                <w:sz w:val="20"/>
                <w:szCs w:val="20"/>
                <w:color w:val="auto"/>
              </w:rPr>
            </w:pPr>
            <w:r>
              <w:rPr>
                <w:rFonts w:ascii="Times New Roman" w:cs="Times New Roman" w:eastAsia="Times New Roman" w:hAnsi="Times New Roman"/>
                <w:sz w:val="12"/>
                <w:szCs w:val="12"/>
                <w:b w:val="1"/>
                <w:bCs w:val="1"/>
                <w:color w:val="auto"/>
              </w:rPr>
              <w:t>Operating expenses</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3"/>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Cost of revenue (excludes depreciation and amortization)</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138,118</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115,281</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267,416</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237,247</w:t>
            </w:r>
          </w:p>
        </w:tc>
      </w:tr>
      <w:tr>
        <w:trPr>
          <w:trHeight w:val="153"/>
        </w:trPr>
        <w:tc>
          <w:tcPr>
            <w:tcW w:w="59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Salary and employee benefits</w:t>
            </w:r>
          </w:p>
        </w:tc>
        <w:tc>
          <w:tcPr>
            <w:tcW w:w="7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22,119</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19,109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44,269</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38,157</w:t>
            </w:r>
          </w:p>
        </w:tc>
      </w:tr>
      <w:tr>
        <w:trPr>
          <w:trHeight w:val="153"/>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15,244</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17,980</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30,497</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36,028</w:t>
            </w:r>
          </w:p>
        </w:tc>
      </w:tr>
      <w:tr>
        <w:trPr>
          <w:trHeight w:val="153"/>
        </w:trPr>
        <w:tc>
          <w:tcPr>
            <w:tcW w:w="59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7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11,212</w:t>
            </w:r>
          </w:p>
        </w:tc>
        <w:tc>
          <w:tcPr>
            <w:tcW w:w="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10,787</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22,207</w:t>
            </w: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19,905</w:t>
            </w:r>
          </w:p>
        </w:tc>
      </w:tr>
      <w:tr>
        <w:trPr>
          <w:trHeight w:val="142"/>
        </w:trPr>
        <w:tc>
          <w:tcPr>
            <w:tcW w:w="594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2"/>
                <w:szCs w:val="12"/>
                <w:color w:val="auto"/>
              </w:rPr>
              <w:t>Total operating expenses</w:t>
            </w:r>
          </w:p>
        </w:tc>
        <w:tc>
          <w:tcPr>
            <w:tcW w:w="7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186,693</w:t>
            </w:r>
          </w:p>
        </w:tc>
        <w:tc>
          <w:tcPr>
            <w:tcW w:w="8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163,157</w:t>
            </w:r>
          </w:p>
        </w:tc>
        <w:tc>
          <w:tcPr>
            <w:tcW w:w="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364,389</w:t>
            </w:r>
          </w:p>
        </w:tc>
        <w:tc>
          <w:tcPr>
            <w:tcW w:w="8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331,337</w:t>
            </w:r>
          </w:p>
        </w:tc>
      </w:tr>
      <w:tr>
        <w:trPr>
          <w:trHeight w:val="142"/>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Operating income</w:t>
            </w:r>
          </w:p>
        </w:tc>
        <w:tc>
          <w:tcPr>
            <w:tcW w:w="7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33,174</w:t>
            </w:r>
          </w:p>
        </w:tc>
        <w:tc>
          <w:tcPr>
            <w:tcW w:w="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19,133</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61,197</w:t>
            </w:r>
          </w:p>
        </w:tc>
        <w:tc>
          <w:tcPr>
            <w:tcW w:w="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35,981</w:t>
            </w:r>
          </w:p>
        </w:tc>
      </w:tr>
      <w:tr>
        <w:trPr>
          <w:trHeight w:val="133"/>
        </w:trPr>
        <w:tc>
          <w:tcPr>
            <w:tcW w:w="594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b w:val="1"/>
                <w:bCs w:val="1"/>
                <w:color w:val="auto"/>
              </w:rPr>
              <w:t>Other (expense) income</w:t>
            </w:r>
          </w:p>
        </w:tc>
        <w:tc>
          <w:tcPr>
            <w:tcW w:w="7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53"/>
        </w:trPr>
        <w:tc>
          <w:tcPr>
            <w:tcW w:w="59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Interest expense</w:t>
            </w:r>
          </w:p>
        </w:tc>
        <w:tc>
          <w:tcPr>
            <w:tcW w:w="7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(21,710)</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(17,765)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(42,590)</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(35,464)</w:t>
            </w:r>
          </w:p>
        </w:tc>
      </w:tr>
      <w:tr>
        <w:trPr>
          <w:trHeight w:val="153"/>
        </w:trPr>
        <w:tc>
          <w:tcPr>
            <w:tcW w:w="5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Debt extinguishment and modification costs</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(8,623)</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(8,623)</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59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Other income, net</w:t>
            </w:r>
          </w:p>
        </w:tc>
        <w:tc>
          <w:tcPr>
            <w:tcW w:w="7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668</w:t>
            </w:r>
          </w:p>
        </w:tc>
        <w:tc>
          <w:tcPr>
            <w:tcW w:w="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375</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1,300</w:t>
            </w: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587</w:t>
            </w:r>
          </w:p>
        </w:tc>
      </w:tr>
      <w:tr>
        <w:trPr>
          <w:trHeight w:val="142"/>
        </w:trPr>
        <w:tc>
          <w:tcPr>
            <w:tcW w:w="594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2"/>
                <w:szCs w:val="12"/>
                <w:color w:val="auto"/>
              </w:rPr>
              <w:t>Total other expense, net</w:t>
            </w:r>
          </w:p>
        </w:tc>
        <w:tc>
          <w:tcPr>
            <w:tcW w:w="7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(29,665)</w:t>
            </w:r>
          </w:p>
        </w:tc>
        <w:tc>
          <w:tcPr>
            <w:tcW w:w="8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(17,390)</w:t>
            </w:r>
          </w:p>
        </w:tc>
        <w:tc>
          <w:tcPr>
            <w:tcW w:w="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(49,913)</w:t>
            </w:r>
          </w:p>
        </w:tc>
        <w:tc>
          <w:tcPr>
            <w:tcW w:w="8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(34,877)</w:t>
            </w:r>
          </w:p>
        </w:tc>
      </w:tr>
      <w:tr>
        <w:trPr>
          <w:trHeight w:val="142"/>
        </w:trPr>
        <w:tc>
          <w:tcPr>
            <w:tcW w:w="594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Income before income taxes</w:t>
            </w:r>
          </w:p>
        </w:tc>
        <w:tc>
          <w:tcPr>
            <w:tcW w:w="7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3,509</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1,743</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11,284</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1,104</w:t>
            </w:r>
          </w:p>
        </w:tc>
      </w:tr>
      <w:tr>
        <w:trPr>
          <w:trHeight w:val="15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Income tax expense</w:t>
            </w:r>
          </w:p>
        </w:tc>
        <w:tc>
          <w:tcPr>
            <w:tcW w:w="7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2,515</w:t>
            </w:r>
          </w:p>
        </w:tc>
        <w:tc>
          <w:tcPr>
            <w:tcW w:w="8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2,355</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5,097</w:t>
            </w:r>
          </w:p>
        </w:tc>
        <w:tc>
          <w:tcPr>
            <w:tcW w:w="8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2,222</w:t>
            </w:r>
          </w:p>
        </w:tc>
      </w:tr>
      <w:tr>
        <w:trPr>
          <w:trHeight w:val="142"/>
        </w:trPr>
        <w:tc>
          <w:tcPr>
            <w:tcW w:w="59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Net income (loss)</w:t>
            </w:r>
          </w:p>
        </w:tc>
        <w:tc>
          <w:tcPr>
            <w:tcW w:w="7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994</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(612)</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6,187</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(1,118)</w:t>
            </w:r>
          </w:p>
        </w:tc>
      </w:tr>
      <w:tr>
        <w:trPr>
          <w:trHeight w:val="153"/>
        </w:trPr>
        <w:tc>
          <w:tcPr>
            <w:tcW w:w="5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Less: Dividends and accretion attributable to redeemable senior preferred stockholders</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(18,565)</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(11,765)</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(31,227)</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(23,060)</w:t>
            </w:r>
          </w:p>
        </w:tc>
      </w:tr>
      <w:tr>
        <w:trPr>
          <w:trHeight w:val="153"/>
        </w:trPr>
        <w:tc>
          <w:tcPr>
            <w:tcW w:w="59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Less: Return on redeemable NCI in consolidated subsidiary</w:t>
            </w:r>
          </w:p>
        </w:tc>
        <w:tc>
          <w:tcPr>
            <w:tcW w:w="7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(639)</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2"/>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Net loss attributable to common stockholders</w:t>
            </w:r>
          </w:p>
        </w:tc>
        <w:tc>
          <w:tcPr>
            <w:tcW w:w="7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(17,629)</w:t>
            </w:r>
          </w:p>
        </w:tc>
        <w:tc>
          <w:tcPr>
            <w:tcW w:w="8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(12,377)</w:t>
            </w: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(25,679)</w:t>
            </w:r>
          </w:p>
        </w:tc>
        <w:tc>
          <w:tcPr>
            <w:tcW w:w="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(24,178)</w:t>
            </w:r>
          </w:p>
        </w:tc>
      </w:tr>
      <w:tr>
        <w:trPr>
          <w:trHeight w:val="153"/>
        </w:trPr>
        <w:tc>
          <w:tcPr>
            <w:tcW w:w="59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Other comprehensive loss</w:t>
            </w: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3"/>
        </w:trPr>
        <w:tc>
          <w:tcPr>
            <w:tcW w:w="5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Foreign currency translation adjustments</w:t>
            </w:r>
          </w:p>
        </w:tc>
        <w:tc>
          <w:tcPr>
            <w:tcW w:w="7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8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r>
      <w:tr>
        <w:trPr>
          <w:trHeight w:val="158"/>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Comprehensive loss</w:t>
            </w:r>
          </w:p>
        </w:tc>
        <w:tc>
          <w:tcPr>
            <w:tcW w:w="780" w:type="dxa"/>
            <w:vAlign w:val="bottom"/>
            <w:tcBorders>
              <w:bottom w:val="single" w:sz="8" w:color="auto"/>
            </w:tcBorders>
          </w:tcPr>
          <w:p>
            <w:pPr>
              <w:jc w:val="right"/>
              <w:ind w:right="6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(17,625)</w:t>
            </w:r>
          </w:p>
        </w:tc>
        <w:tc>
          <w:tcPr>
            <w:tcW w:w="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(12,370)</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(25,688)</w:t>
            </w: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(24,147)</w:t>
            </w:r>
          </w:p>
        </w:tc>
      </w:tr>
      <w:tr>
        <w:trPr>
          <w:trHeight w:val="153"/>
        </w:trPr>
        <w:tc>
          <w:tcPr>
            <w:tcW w:w="59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53"/>
        </w:trPr>
        <w:tc>
          <w:tcPr>
            <w:tcW w:w="59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Loss per common share:</w:t>
            </w: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3"/>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Basic and diluted</w:t>
            </w:r>
          </w:p>
        </w:tc>
        <w:tc>
          <w:tcPr>
            <w:tcW w:w="780" w:type="dxa"/>
            <w:vAlign w:val="bottom"/>
            <w:shd w:val="clear" w:color="auto" w:fill="CCEEFF"/>
          </w:tcPr>
          <w:p>
            <w:pPr>
              <w:jc w:val="right"/>
              <w:ind w:right="66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(0.23)</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(0.16)</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(0.33)</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(0.31)</w:t>
            </w:r>
          </w:p>
        </w:tc>
      </w:tr>
      <w:tr>
        <w:trPr>
          <w:trHeight w:val="171"/>
        </w:trPr>
        <w:tc>
          <w:tcPr>
            <w:tcW w:w="5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5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Weighted-average common shares outstanding:</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55"/>
        </w:trPr>
        <w:tc>
          <w:tcPr>
            <w:tcW w:w="59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Basic and diluted</w:t>
            </w:r>
          </w:p>
        </w:tc>
        <w:tc>
          <w:tcPr>
            <w:tcW w:w="7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77,736</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78,292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77,878</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78,213</w:t>
            </w:r>
          </w:p>
        </w:tc>
      </w:tr>
    </w:tbl>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xml:space="preserve">See </w:t>
      </w:r>
      <w:r>
        <w:rPr>
          <w:rFonts w:ascii="Times New Roman" w:cs="Times New Roman" w:eastAsia="Times New Roman" w:hAnsi="Times New Roman"/>
          <w:sz w:val="12"/>
          <w:szCs w:val="12"/>
          <w:u w:val="single" w:color="auto"/>
          <w:color w:val="0000FF"/>
        </w:rPr>
        <w:t>Notes to Unaudited Consolidated Financial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Priority Technology Holdings, Inc</w:t>
      </w:r>
      <w:r>
        <w:rPr>
          <w:rFonts w:ascii="Times New Roman" w:cs="Times New Roman" w:eastAsia="Times New Roman" w:hAnsi="Times New Roman"/>
          <w:sz w:val="12"/>
          <w:szCs w:val="12"/>
          <w:color w:val="auto"/>
        </w:rPr>
        <w:t>.</w:t>
      </w:r>
    </w:p>
    <w:p>
      <w:pPr>
        <w:spacing w:after="0" w:line="2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1"/>
          <w:szCs w:val="11"/>
          <w:b w:val="1"/>
          <w:bCs w:val="1"/>
          <w:color w:val="auto"/>
        </w:rPr>
        <w:t>Unaudited Consolidated Statements of Changes in Stockholders' Deficit and Non-Controlling Interest</w:t>
      </w:r>
    </w:p>
    <w:p>
      <w:pPr>
        <w:spacing w:after="0" w:line="1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2"/>
          <w:szCs w:val="12"/>
          <w:i w:val="1"/>
          <w:iCs w:val="1"/>
          <w:color w:val="auto"/>
        </w:rPr>
        <w:t>(in thousands)</w:t>
      </w:r>
    </w:p>
    <w:p>
      <w:pPr>
        <w:sectPr>
          <w:pgSz w:w="11900" w:h="16838" w:orient="portrait"/>
          <w:cols w:equalWidth="0" w:num="1">
            <w:col w:w="11260"/>
          </w:cols>
          <w:pgMar w:left="300" w:top="1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b w:val="1"/>
          <w:bCs w:val="1"/>
          <w:color w:val="auto"/>
        </w:rPr>
        <w:t>December 31, 2023</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1"/>
          <w:szCs w:val="11"/>
          <w:color w:val="auto"/>
        </w:rPr>
        <w:t>Equity-classified stock-based compensation</w:t>
      </w:r>
    </w:p>
    <w:p>
      <w:pPr>
        <w:spacing w:after="0" w:line="18" w:lineRule="exact"/>
        <w:rPr>
          <w:sz w:val="20"/>
          <w:szCs w:val="20"/>
          <w:color w:val="auto"/>
        </w:rPr>
      </w:pPr>
    </w:p>
    <w:p>
      <w:pPr>
        <w:ind w:left="120" w:right="540"/>
        <w:spacing w:after="0" w:line="273" w:lineRule="auto"/>
        <w:rPr>
          <w:sz w:val="20"/>
          <w:szCs w:val="20"/>
          <w:color w:val="auto"/>
        </w:rPr>
      </w:pPr>
      <w:r>
        <w:rPr>
          <w:rFonts w:ascii="Times New Roman" w:cs="Times New Roman" w:eastAsia="Times New Roman" w:hAnsi="Times New Roman"/>
          <w:sz w:val="11"/>
          <w:szCs w:val="11"/>
          <w:color w:val="auto"/>
        </w:rPr>
        <w:t>ESPP compensation and vesting of stock-based compensation Shares withheld for taxes</w:t>
      </w:r>
    </w:p>
    <w:p>
      <w:pPr>
        <w:ind w:left="120" w:right="1140"/>
        <w:spacing w:after="0" w:line="300" w:lineRule="auto"/>
        <w:rPr>
          <w:sz w:val="20"/>
          <w:szCs w:val="20"/>
          <w:color w:val="auto"/>
        </w:rPr>
      </w:pPr>
      <w:r>
        <w:rPr>
          <w:rFonts w:ascii="Times New Roman" w:cs="Times New Roman" w:eastAsia="Times New Roman" w:hAnsi="Times New Roman"/>
          <w:sz w:val="10"/>
          <w:szCs w:val="10"/>
          <w:color w:val="auto"/>
        </w:rPr>
        <w:t>Exchange for PHOT redeemable NCI Dividends on redeemable senior preferred stock Accretion of redeemable senior preferred stock</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color w:val="auto"/>
        </w:rPr>
        <w:t>Issuance of profit interests/common equity in subsidiaries</w:t>
      </w:r>
    </w:p>
    <w:p>
      <w:pPr>
        <w:spacing w:after="0" w:line="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1"/>
          <w:szCs w:val="11"/>
          <w:color w:val="auto"/>
        </w:rPr>
        <w:t>Foreign currency translation adjustment</w:t>
      </w:r>
    </w:p>
    <w:p>
      <w:pPr>
        <w:spacing w:after="0" w:line="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1"/>
          <w:szCs w:val="11"/>
          <w:color w:val="auto"/>
        </w:rPr>
        <w:t>Reclassification of negative additional paid in capital</w:t>
      </w:r>
    </w:p>
    <w:p>
      <w:pPr>
        <w:spacing w:after="0" w:line="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1"/>
          <w:szCs w:val="11"/>
          <w:color w:val="auto"/>
        </w:rPr>
        <w:t>Net income</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b w:val="1"/>
          <w:bCs w:val="1"/>
          <w:color w:val="auto"/>
        </w:rPr>
        <w:t>March 31, 2024</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1"/>
          <w:szCs w:val="11"/>
          <w:color w:val="auto"/>
        </w:rPr>
        <w:t>Equity-classified stock-based compensation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0"/>
          <w:szCs w:val="10"/>
          <w:color w:val="auto"/>
        </w:rPr>
        <w:t>ESPP compensation and vesting of stock-based compensation</w:t>
      </w:r>
    </w:p>
    <w:p>
      <w:pPr>
        <w:spacing w:after="0" w:line="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1"/>
          <w:szCs w:val="11"/>
          <w:color w:val="auto"/>
        </w:rPr>
        <w:t>Shares withheld for taxes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1"/>
          <w:szCs w:val="11"/>
          <w:color w:val="auto"/>
        </w:rPr>
        <w:t>Redemption of PHOT redeemable NCI</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1"/>
          <w:szCs w:val="11"/>
          <w:color w:val="auto"/>
        </w:rPr>
        <w:t>Return on PHOT redeemable NCI</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1"/>
          <w:szCs w:val="11"/>
          <w:color w:val="auto"/>
        </w:rPr>
        <w:t>Dividends on redeemable senior preferred stock</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1"/>
          <w:szCs w:val="11"/>
          <w:color w:val="auto"/>
        </w:rPr>
        <w:t>Accretion of redeemable senior preferred stock</w:t>
      </w:r>
    </w:p>
    <w:p>
      <w:pPr>
        <w:spacing w:after="0" w:line="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color w:val="auto"/>
        </w:rPr>
        <w:t>Issuance of profit interests/ common equity in subsidiaries</w:t>
      </w:r>
    </w:p>
    <w:p>
      <w:pPr>
        <w:spacing w:after="0" w:line="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1"/>
          <w:szCs w:val="11"/>
          <w:color w:val="auto"/>
        </w:rPr>
        <w:t>Foreign currency translation adjustment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1"/>
          <w:szCs w:val="11"/>
          <w:color w:val="auto"/>
        </w:rPr>
        <w:t>Reclassification of negative additional paid-in capital</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1"/>
          <w:szCs w:val="11"/>
          <w:color w:val="auto"/>
        </w:rPr>
        <w:t>Net income</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b w:val="1"/>
          <w:bCs w:val="1"/>
          <w:color w:val="auto"/>
        </w:rPr>
        <w:t>June 30, 2024</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040" w:type="dxa"/>
            <w:vAlign w:val="bottom"/>
            <w:gridSpan w:val="2"/>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280" w:type="dxa"/>
            <w:vAlign w:val="bottom"/>
          </w:tcPr>
          <w:p>
            <w:pPr>
              <w:spacing w:after="0"/>
              <w:rPr>
                <w:sz w:val="11"/>
                <w:szCs w:val="1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1040" w:type="dxa"/>
            <w:vAlign w:val="bottom"/>
            <w:gridSpan w:val="2"/>
            <w:vMerge w:val="restart"/>
          </w:tcPr>
          <w:p>
            <w:pPr>
              <w:jc w:val="right"/>
              <w:ind w:right="226"/>
              <w:spacing w:after="0" w:line="124" w:lineRule="exact"/>
              <w:rPr>
                <w:sz w:val="20"/>
                <w:szCs w:val="20"/>
                <w:color w:val="auto"/>
              </w:rPr>
            </w:pPr>
            <w:r>
              <w:rPr>
                <w:rFonts w:ascii="Times New Roman" w:cs="Times New Roman" w:eastAsia="Times New Roman" w:hAnsi="Times New Roman"/>
                <w:sz w:val="11"/>
                <w:szCs w:val="11"/>
                <w:b w:val="1"/>
                <w:bCs w:val="1"/>
                <w:color w:val="auto"/>
              </w:rPr>
              <w:t>Stock</w:t>
            </w:r>
          </w:p>
        </w:tc>
        <w:tc>
          <w:tcPr>
            <w:tcW w:w="280" w:type="dxa"/>
            <w:vAlign w:val="bottom"/>
          </w:tcPr>
          <w:p>
            <w:pPr>
              <w:spacing w:after="0"/>
              <w:rPr>
                <w:sz w:val="3"/>
                <w:szCs w:val="3"/>
                <w:color w:val="auto"/>
              </w:rPr>
            </w:pPr>
          </w:p>
        </w:tc>
        <w:tc>
          <w:tcPr>
            <w:tcW w:w="780" w:type="dxa"/>
            <w:vAlign w:val="bottom"/>
            <w:gridSpan w:val="2"/>
            <w:vMerge w:val="restart"/>
          </w:tcPr>
          <w:p>
            <w:pPr>
              <w:jc w:val="right"/>
              <w:ind w:right="26"/>
              <w:spacing w:after="0" w:line="124" w:lineRule="exact"/>
              <w:rPr>
                <w:sz w:val="20"/>
                <w:szCs w:val="20"/>
                <w:color w:val="auto"/>
              </w:rPr>
            </w:pPr>
            <w:r>
              <w:rPr>
                <w:rFonts w:ascii="Times New Roman" w:cs="Times New Roman" w:eastAsia="Times New Roman" w:hAnsi="Times New Roman"/>
                <w:sz w:val="11"/>
                <w:szCs w:val="11"/>
                <w:b w:val="1"/>
                <w:bCs w:val="1"/>
                <w:color w:val="auto"/>
              </w:rPr>
              <w:t>Stock</w:t>
            </w: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1040" w:type="dxa"/>
            <w:vAlign w:val="bottom"/>
            <w:tcBorders>
              <w:bottom w:val="single" w:sz="8" w:color="auto"/>
            </w:tcBorders>
            <w:gridSpan w:val="2"/>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vMerge w:val="continue"/>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jc w:val="right"/>
              <w:ind w:right="84"/>
              <w:spacing w:after="0" w:line="88"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100" w:type="dxa"/>
            <w:vAlign w:val="bottom"/>
          </w:tcPr>
          <w:p>
            <w:pPr>
              <w:spacing w:after="0"/>
              <w:rPr>
                <w:sz w:val="8"/>
                <w:szCs w:val="8"/>
                <w:color w:val="auto"/>
              </w:rPr>
            </w:pPr>
          </w:p>
        </w:tc>
        <w:tc>
          <w:tcPr>
            <w:tcW w:w="820" w:type="dxa"/>
            <w:vAlign w:val="bottom"/>
          </w:tcPr>
          <w:p>
            <w:pPr>
              <w:jc w:val="center"/>
              <w:ind w:right="26"/>
              <w:spacing w:after="0" w:line="88" w:lineRule="exact"/>
              <w:rPr>
                <w:sz w:val="20"/>
                <w:szCs w:val="20"/>
                <w:color w:val="auto"/>
              </w:rPr>
            </w:pPr>
            <w:r>
              <w:rPr>
                <w:rFonts w:ascii="Times New Roman" w:cs="Times New Roman" w:eastAsia="Times New Roman" w:hAnsi="Times New Roman"/>
                <w:sz w:val="10"/>
                <w:szCs w:val="10"/>
                <w:b w:val="1"/>
                <w:bCs w:val="1"/>
                <w:color w:val="auto"/>
              </w:rPr>
              <w:t>Attributable to</w:t>
            </w: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64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2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APIC</w:t>
            </w: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AOCI</w:t>
            </w: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8"/>
              </w:rPr>
              <w:t>Stockholders</w:t>
            </w: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b w:val="1"/>
                <w:bCs w:val="1"/>
                <w:color w:val="auto"/>
              </w:rPr>
              <w:t>NCIs</w:t>
            </w: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0"/>
        </w:trPr>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76,957</w:t>
            </w: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77</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2,632</w:t>
            </w:r>
          </w:p>
        </w:tc>
        <w:tc>
          <w:tcPr>
            <w:tcW w:w="2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5"/>
              </w:rPr>
              <w:t>(12,815)</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(134,951)</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(147,718)</w:t>
            </w:r>
          </w:p>
        </w:tc>
        <w:tc>
          <w:tcPr>
            <w:tcW w:w="1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1,654</w:t>
            </w: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(146,064)</w:t>
            </w:r>
          </w:p>
        </w:tc>
        <w:tc>
          <w:tcPr>
            <w:tcW w:w="0" w:type="dxa"/>
            <w:vAlign w:val="bottom"/>
          </w:tcPr>
          <w:p>
            <w:pPr>
              <w:spacing w:after="0"/>
              <w:rPr>
                <w:sz w:val="1"/>
                <w:szCs w:val="1"/>
                <w:color w:val="auto"/>
              </w:rPr>
            </w:pPr>
          </w:p>
        </w:tc>
      </w:tr>
      <w:tr>
        <w:trPr>
          <w:trHeight w:val="144"/>
        </w:trPr>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1,540</w:t>
            </w:r>
          </w:p>
        </w:tc>
        <w:tc>
          <w:tcPr>
            <w:tcW w:w="140" w:type="dxa"/>
            <w:vAlign w:val="bottom"/>
          </w:tcPr>
          <w:p>
            <w:pPr>
              <w:spacing w:after="0"/>
              <w:rPr>
                <w:sz w:val="12"/>
                <w:szCs w:val="12"/>
                <w:color w:val="auto"/>
              </w:rPr>
            </w:pP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1,540</w:t>
            </w: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1,540</w:t>
            </w:r>
          </w:p>
        </w:tc>
        <w:tc>
          <w:tcPr>
            <w:tcW w:w="0" w:type="dxa"/>
            <w:vAlign w:val="bottom"/>
          </w:tcPr>
          <w:p>
            <w:pPr>
              <w:spacing w:after="0"/>
              <w:rPr>
                <w:sz w:val="1"/>
                <w:szCs w:val="1"/>
                <w:color w:val="auto"/>
              </w:rPr>
            </w:pPr>
          </w:p>
        </w:tc>
      </w:tr>
      <w:tr>
        <w:trPr>
          <w:trHeight w:val="144"/>
        </w:trPr>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429</w:t>
            </w:r>
          </w:p>
        </w:tc>
        <w:tc>
          <w:tcPr>
            <w:tcW w:w="400" w:type="dxa"/>
            <w:vAlign w:val="bottom"/>
          </w:tcPr>
          <w:p>
            <w:pPr>
              <w:spacing w:after="0"/>
              <w:rPr>
                <w:sz w:val="12"/>
                <w:szCs w:val="12"/>
                <w:color w:val="auto"/>
              </w:rPr>
            </w:pP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w:t>
            </w:r>
          </w:p>
        </w:tc>
        <w:tc>
          <w:tcPr>
            <w:tcW w:w="140" w:type="dxa"/>
            <w:vAlign w:val="bottom"/>
          </w:tcPr>
          <w:p>
            <w:pPr>
              <w:spacing w:after="0"/>
              <w:rPr>
                <w:sz w:val="12"/>
                <w:szCs w:val="12"/>
                <w:color w:val="auto"/>
              </w:rPr>
            </w:pP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w:t>
            </w: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49</w:t>
            </w:r>
          </w:p>
        </w:tc>
        <w:tc>
          <w:tcPr>
            <w:tcW w:w="0" w:type="dxa"/>
            <w:vAlign w:val="bottom"/>
          </w:tcPr>
          <w:p>
            <w:pPr>
              <w:spacing w:after="0"/>
              <w:rPr>
                <w:sz w:val="1"/>
                <w:szCs w:val="1"/>
                <w:color w:val="auto"/>
              </w:rPr>
            </w:pPr>
          </w:p>
        </w:tc>
      </w:tr>
      <w:tr>
        <w:trPr>
          <w:trHeight w:val="144"/>
        </w:trPr>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(421)</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(421)</w:t>
            </w: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(421)</w:t>
            </w:r>
          </w:p>
        </w:tc>
        <w:tc>
          <w:tcPr>
            <w:tcW w:w="0" w:type="dxa"/>
            <w:vAlign w:val="bottom"/>
          </w:tcPr>
          <w:p>
            <w:pPr>
              <w:spacing w:after="0"/>
              <w:rPr>
                <w:sz w:val="1"/>
                <w:szCs w:val="1"/>
                <w:color w:val="auto"/>
              </w:rPr>
            </w:pPr>
          </w:p>
        </w:tc>
      </w:tr>
      <w:tr>
        <w:trPr>
          <w:trHeight w:val="144"/>
        </w:trPr>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(1,428)</w:t>
            </w:r>
          </w:p>
        </w:tc>
        <w:tc>
          <w:tcPr>
            <w:tcW w:w="400" w:type="dxa"/>
            <w:vAlign w:val="bottom"/>
          </w:tcPr>
          <w:p>
            <w:pPr>
              <w:spacing w:after="0"/>
              <w:rPr>
                <w:sz w:val="12"/>
                <w:szCs w:val="12"/>
                <w:color w:val="auto"/>
              </w:rPr>
            </w:pPr>
          </w:p>
        </w:tc>
        <w:tc>
          <w:tcPr>
            <w:tcW w:w="2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(1)</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1,428</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(5,255)</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(581)</w:t>
            </w:r>
          </w:p>
        </w:tc>
        <w:tc>
          <w:tcPr>
            <w:tcW w:w="140" w:type="dxa"/>
            <w:vAlign w:val="bottom"/>
          </w:tcPr>
          <w:p>
            <w:pPr>
              <w:spacing w:after="0"/>
              <w:rPr>
                <w:sz w:val="12"/>
                <w:szCs w:val="12"/>
                <w:color w:val="auto"/>
              </w:rPr>
            </w:pP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(5,837)</w:t>
            </w: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(5,837)</w:t>
            </w:r>
          </w:p>
        </w:tc>
        <w:tc>
          <w:tcPr>
            <w:tcW w:w="0" w:type="dxa"/>
            <w:vAlign w:val="bottom"/>
          </w:tcPr>
          <w:p>
            <w:pPr>
              <w:spacing w:after="0"/>
              <w:rPr>
                <w:sz w:val="1"/>
                <w:szCs w:val="1"/>
                <w:color w:val="auto"/>
              </w:rPr>
            </w:pPr>
          </w:p>
        </w:tc>
      </w:tr>
      <w:tr>
        <w:trPr>
          <w:trHeight w:val="144"/>
        </w:trPr>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(11,821)</w:t>
            </w:r>
          </w:p>
        </w:tc>
        <w:tc>
          <w:tcPr>
            <w:tcW w:w="140" w:type="dxa"/>
            <w:vAlign w:val="bottom"/>
          </w:tcPr>
          <w:p>
            <w:pPr>
              <w:spacing w:after="0"/>
              <w:rPr>
                <w:sz w:val="12"/>
                <w:szCs w:val="12"/>
                <w:color w:val="auto"/>
              </w:rPr>
            </w:pP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(11,821)</w:t>
            </w: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(11,821)</w:t>
            </w:r>
          </w:p>
        </w:tc>
        <w:tc>
          <w:tcPr>
            <w:tcW w:w="0" w:type="dxa"/>
            <w:vAlign w:val="bottom"/>
          </w:tcPr>
          <w:p>
            <w:pPr>
              <w:spacing w:after="0"/>
              <w:rPr>
                <w:sz w:val="1"/>
                <w:szCs w:val="1"/>
                <w:color w:val="auto"/>
              </w:rPr>
            </w:pPr>
          </w:p>
        </w:tc>
      </w:tr>
      <w:tr>
        <w:trPr>
          <w:trHeight w:val="144"/>
        </w:trPr>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(841)</w:t>
            </w:r>
          </w:p>
        </w:tc>
        <w:tc>
          <w:tcPr>
            <w:tcW w:w="140" w:type="dxa"/>
            <w:vAlign w:val="bottom"/>
          </w:tcPr>
          <w:p>
            <w:pPr>
              <w:spacing w:after="0"/>
              <w:rPr>
                <w:sz w:val="12"/>
                <w:szCs w:val="12"/>
                <w:color w:val="auto"/>
              </w:rPr>
            </w:pP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(841)</w:t>
            </w: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(841)</w:t>
            </w:r>
          </w:p>
        </w:tc>
        <w:tc>
          <w:tcPr>
            <w:tcW w:w="0" w:type="dxa"/>
            <w:vAlign w:val="bottom"/>
          </w:tcPr>
          <w:p>
            <w:pPr>
              <w:spacing w:after="0"/>
              <w:rPr>
                <w:sz w:val="1"/>
                <w:szCs w:val="1"/>
                <w:color w:val="auto"/>
              </w:rPr>
            </w:pPr>
          </w:p>
        </w:tc>
      </w:tr>
      <w:tr>
        <w:trPr>
          <w:trHeight w:val="144"/>
        </w:trPr>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w:t>
            </w:r>
          </w:p>
        </w:tc>
        <w:tc>
          <w:tcPr>
            <w:tcW w:w="20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93</w:t>
            </w:r>
          </w:p>
        </w:tc>
        <w:tc>
          <w:tcPr>
            <w:tcW w:w="0" w:type="dxa"/>
            <w:vAlign w:val="bottom"/>
          </w:tcPr>
          <w:p>
            <w:pPr>
              <w:spacing w:after="0"/>
              <w:rPr>
                <w:sz w:val="1"/>
                <w:szCs w:val="1"/>
                <w:color w:val="auto"/>
              </w:rPr>
            </w:pPr>
          </w:p>
        </w:tc>
      </w:tr>
      <w:tr>
        <w:trPr>
          <w:trHeight w:val="144"/>
        </w:trPr>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44"/>
        </w:trPr>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11,654</w:t>
            </w:r>
          </w:p>
        </w:tc>
        <w:tc>
          <w:tcPr>
            <w:tcW w:w="140" w:type="dxa"/>
            <w:vAlign w:val="bottom"/>
          </w:tcPr>
          <w:p>
            <w:pPr>
              <w:spacing w:after="0"/>
              <w:rPr>
                <w:sz w:val="12"/>
                <w:szCs w:val="12"/>
                <w:color w:val="auto"/>
              </w:rPr>
            </w:pP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(11,654)</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6"/>
        </w:trPr>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5,193</w:t>
            </w: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5,193</w:t>
            </w: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5,193</w:t>
            </w:r>
          </w:p>
        </w:tc>
        <w:tc>
          <w:tcPr>
            <w:tcW w:w="0" w:type="dxa"/>
            <w:vAlign w:val="bottom"/>
          </w:tcPr>
          <w:p>
            <w:pPr>
              <w:spacing w:after="0"/>
              <w:rPr>
                <w:sz w:val="1"/>
                <w:szCs w:val="1"/>
                <w:color w:val="auto"/>
              </w:rPr>
            </w:pPr>
          </w:p>
        </w:tc>
      </w:tr>
      <w:tr>
        <w:trPr>
          <w:trHeight w:val="133"/>
        </w:trPr>
        <w:tc>
          <w:tcPr>
            <w:tcW w:w="6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75,835</w:t>
            </w: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76</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4,183</w:t>
            </w:r>
          </w:p>
        </w:tc>
        <w:tc>
          <w:tcPr>
            <w:tcW w:w="24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5"/>
              </w:rPr>
              <w:t>(18,491)</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(42)</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(141,412)</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(159,869)</w:t>
            </w:r>
          </w:p>
        </w:tc>
        <w:tc>
          <w:tcPr>
            <w:tcW w:w="16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1,747</w:t>
            </w: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(158,122)</w:t>
            </w:r>
          </w:p>
        </w:tc>
        <w:tc>
          <w:tcPr>
            <w:tcW w:w="0" w:type="dxa"/>
            <w:vAlign w:val="bottom"/>
          </w:tcPr>
          <w:p>
            <w:pPr>
              <w:spacing w:after="0"/>
              <w:rPr>
                <w:sz w:val="1"/>
                <w:szCs w:val="1"/>
                <w:color w:val="auto"/>
              </w:rPr>
            </w:pPr>
          </w:p>
        </w:tc>
      </w:tr>
      <w:tr>
        <w:trPr>
          <w:trHeight w:val="153"/>
        </w:trPr>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3"/>
                <w:szCs w:val="13"/>
                <w:color w:val="auto"/>
              </w:rPr>
            </w:pP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1,744</w:t>
            </w:r>
          </w:p>
        </w:tc>
        <w:tc>
          <w:tcPr>
            <w:tcW w:w="14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1,744</w:t>
            </w: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1,744</w:t>
            </w:r>
          </w:p>
        </w:tc>
        <w:tc>
          <w:tcPr>
            <w:tcW w:w="0" w:type="dxa"/>
            <w:vAlign w:val="bottom"/>
          </w:tcPr>
          <w:p>
            <w:pPr>
              <w:spacing w:after="0"/>
              <w:rPr>
                <w:sz w:val="1"/>
                <w:szCs w:val="1"/>
                <w:color w:val="auto"/>
              </w:rPr>
            </w:pPr>
          </w:p>
        </w:tc>
      </w:tr>
      <w:tr>
        <w:trPr>
          <w:trHeight w:val="153"/>
        </w:trPr>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w:t>
            </w:r>
          </w:p>
        </w:tc>
        <w:tc>
          <w:tcPr>
            <w:tcW w:w="400" w:type="dxa"/>
            <w:vAlign w:val="bottom"/>
          </w:tcPr>
          <w:p>
            <w:pPr>
              <w:spacing w:after="0"/>
              <w:rPr>
                <w:sz w:val="13"/>
                <w:szCs w:val="13"/>
                <w:color w:val="auto"/>
              </w:rPr>
            </w:pP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14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w:t>
            </w: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60</w:t>
            </w:r>
          </w:p>
        </w:tc>
        <w:tc>
          <w:tcPr>
            <w:tcW w:w="0" w:type="dxa"/>
            <w:vAlign w:val="bottom"/>
          </w:tcPr>
          <w:p>
            <w:pPr>
              <w:spacing w:after="0"/>
              <w:rPr>
                <w:sz w:val="1"/>
                <w:szCs w:val="1"/>
                <w:color w:val="auto"/>
              </w:rPr>
            </w:pPr>
          </w:p>
        </w:tc>
      </w:tr>
      <w:tr>
        <w:trPr>
          <w:trHeight w:val="153"/>
        </w:trPr>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400" w:type="dxa"/>
            <w:vAlign w:val="bottom"/>
          </w:tcPr>
          <w:p>
            <w:pPr>
              <w:spacing w:after="0"/>
              <w:rPr>
                <w:sz w:val="13"/>
                <w:szCs w:val="13"/>
                <w:color w:val="auto"/>
              </w:rPr>
            </w:pP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2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(182)</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w:t>
            </w: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w:t>
            </w:r>
          </w:p>
        </w:tc>
        <w:tc>
          <w:tcPr>
            <w:tcW w:w="0" w:type="dxa"/>
            <w:vAlign w:val="bottom"/>
          </w:tcPr>
          <w:p>
            <w:pPr>
              <w:spacing w:after="0"/>
              <w:rPr>
                <w:sz w:val="1"/>
                <w:szCs w:val="1"/>
                <w:color w:val="auto"/>
              </w:rPr>
            </w:pPr>
          </w:p>
        </w:tc>
      </w:tr>
      <w:tr>
        <w:trPr>
          <w:trHeight w:val="153"/>
        </w:trPr>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3"/>
                <w:szCs w:val="13"/>
                <w:color w:val="auto"/>
              </w:rPr>
            </w:pP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3,765</w:t>
            </w:r>
          </w:p>
        </w:tc>
        <w:tc>
          <w:tcPr>
            <w:tcW w:w="14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3,765</w:t>
            </w: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2"/>
                <w:szCs w:val="12"/>
                <w:color w:val="auto"/>
              </w:rPr>
              <w:t>3,765</w:t>
            </w:r>
          </w:p>
        </w:tc>
        <w:tc>
          <w:tcPr>
            <w:tcW w:w="0" w:type="dxa"/>
            <w:vAlign w:val="bottom"/>
          </w:tcPr>
          <w:p>
            <w:pPr>
              <w:spacing w:after="0"/>
              <w:rPr>
                <w:sz w:val="1"/>
                <w:szCs w:val="1"/>
                <w:color w:val="auto"/>
              </w:rPr>
            </w:pPr>
          </w:p>
        </w:tc>
      </w:tr>
      <w:tr>
        <w:trPr>
          <w:trHeight w:val="153"/>
        </w:trPr>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3"/>
                <w:szCs w:val="13"/>
                <w:color w:val="auto"/>
              </w:rPr>
            </w:pP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14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0" w:type="dxa"/>
            <w:vAlign w:val="bottom"/>
          </w:tcPr>
          <w:p>
            <w:pPr>
              <w:spacing w:after="0"/>
              <w:rPr>
                <w:sz w:val="1"/>
                <w:szCs w:val="1"/>
                <w:color w:val="auto"/>
              </w:rPr>
            </w:pPr>
          </w:p>
        </w:tc>
      </w:tr>
      <w:tr>
        <w:trPr>
          <w:trHeight w:val="153"/>
        </w:trPr>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3"/>
                <w:szCs w:val="13"/>
                <w:color w:val="auto"/>
              </w:rPr>
            </w:pP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(8,426)</w:t>
            </w:r>
          </w:p>
        </w:tc>
        <w:tc>
          <w:tcPr>
            <w:tcW w:w="14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(8,426)</w:t>
            </w: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(8,426)</w:t>
            </w:r>
          </w:p>
        </w:tc>
        <w:tc>
          <w:tcPr>
            <w:tcW w:w="0" w:type="dxa"/>
            <w:vAlign w:val="bottom"/>
          </w:tcPr>
          <w:p>
            <w:pPr>
              <w:spacing w:after="0"/>
              <w:rPr>
                <w:sz w:val="1"/>
                <w:szCs w:val="1"/>
                <w:color w:val="auto"/>
              </w:rPr>
            </w:pPr>
          </w:p>
        </w:tc>
      </w:tr>
      <w:tr>
        <w:trPr>
          <w:trHeight w:val="153"/>
        </w:trPr>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3"/>
                <w:szCs w:val="13"/>
                <w:color w:val="auto"/>
              </w:rPr>
            </w:pP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(10,139)</w:t>
            </w:r>
          </w:p>
        </w:tc>
        <w:tc>
          <w:tcPr>
            <w:tcW w:w="14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(10,139)</w:t>
            </w: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(10,139)</w:t>
            </w:r>
          </w:p>
        </w:tc>
        <w:tc>
          <w:tcPr>
            <w:tcW w:w="0" w:type="dxa"/>
            <w:vAlign w:val="bottom"/>
          </w:tcPr>
          <w:p>
            <w:pPr>
              <w:spacing w:after="0"/>
              <w:rPr>
                <w:sz w:val="1"/>
                <w:szCs w:val="1"/>
                <w:color w:val="auto"/>
              </w:rPr>
            </w:pPr>
          </w:p>
        </w:tc>
      </w:tr>
      <w:tr>
        <w:trPr>
          <w:trHeight w:val="153"/>
        </w:trPr>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3"/>
                <w:szCs w:val="13"/>
                <w:color w:val="auto"/>
              </w:rPr>
            </w:pP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200" w:type="dxa"/>
            <w:vAlign w:val="bottom"/>
          </w:tcPr>
          <w:p>
            <w:pPr>
              <w:spacing w:after="0"/>
              <w:rPr>
                <w:sz w:val="13"/>
                <w:szCs w:val="13"/>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85</w:t>
            </w:r>
          </w:p>
        </w:tc>
        <w:tc>
          <w:tcPr>
            <w:tcW w:w="0" w:type="dxa"/>
            <w:vAlign w:val="bottom"/>
          </w:tcPr>
          <w:p>
            <w:pPr>
              <w:spacing w:after="0"/>
              <w:rPr>
                <w:sz w:val="1"/>
                <w:szCs w:val="1"/>
                <w:color w:val="auto"/>
              </w:rPr>
            </w:pPr>
          </w:p>
        </w:tc>
      </w:tr>
      <w:tr>
        <w:trPr>
          <w:trHeight w:val="153"/>
        </w:trPr>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3"/>
                <w:szCs w:val="13"/>
                <w:color w:val="auto"/>
              </w:rPr>
            </w:pP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53"/>
        </w:trPr>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3"/>
                <w:szCs w:val="13"/>
                <w:color w:val="auto"/>
              </w:rPr>
            </w:pP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13,054</w:t>
            </w:r>
          </w:p>
        </w:tc>
        <w:tc>
          <w:tcPr>
            <w:tcW w:w="14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(13,054)</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5"/>
        </w:trPr>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994</w:t>
            </w: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994</w:t>
            </w: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994</w:t>
            </w:r>
          </w:p>
        </w:tc>
        <w:tc>
          <w:tcPr>
            <w:tcW w:w="0" w:type="dxa"/>
            <w:vAlign w:val="bottom"/>
          </w:tcPr>
          <w:p>
            <w:pPr>
              <w:spacing w:after="0"/>
              <w:rPr>
                <w:sz w:val="1"/>
                <w:szCs w:val="1"/>
                <w:color w:val="auto"/>
              </w:rPr>
            </w:pPr>
          </w:p>
        </w:tc>
      </w:tr>
      <w:tr>
        <w:trPr>
          <w:trHeight w:val="131"/>
        </w:trPr>
        <w:tc>
          <w:tcPr>
            <w:tcW w:w="6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75,968</w:t>
            </w: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76</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4,240</w:t>
            </w:r>
          </w:p>
        </w:tc>
        <w:tc>
          <w:tcPr>
            <w:tcW w:w="24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5"/>
              </w:rPr>
              <w:t>(18,673)</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(38)</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(153,472)</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(172,107)</w:t>
            </w:r>
          </w:p>
        </w:tc>
        <w:tc>
          <w:tcPr>
            <w:tcW w:w="16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1,832</w:t>
            </w: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(170,275)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-2272665</wp:posOffset>
            </wp:positionV>
            <wp:extent cx="7120890" cy="971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0890" cy="97155"/>
                    </a:xfrm>
                    <a:prstGeom prst="rect">
                      <a:avLst/>
                    </a:prstGeom>
                    <a:noFill/>
                  </pic:spPr>
                </pic:pic>
              </a:graphicData>
            </a:graphic>
          </wp:anchor>
        </w:drawing>
        <w:drawing>
          <wp:anchor simplePos="0" relativeHeight="251657728" behindDoc="1" locked="0" layoutInCell="0" allowOverlap="1">
            <wp:simplePos x="0" y="0"/>
            <wp:positionH relativeFrom="column">
              <wp:posOffset>-2553970</wp:posOffset>
            </wp:positionH>
            <wp:positionV relativeFrom="paragraph">
              <wp:posOffset>-2084070</wp:posOffset>
            </wp:positionV>
            <wp:extent cx="7120890" cy="914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0890" cy="91440"/>
                    </a:xfrm>
                    <a:prstGeom prst="rect">
                      <a:avLst/>
                    </a:prstGeom>
                    <a:noFill/>
                  </pic:spPr>
                </pic:pic>
              </a:graphicData>
            </a:graphic>
          </wp:anchor>
        </w:drawing>
        <w:drawing>
          <wp:anchor simplePos="0" relativeHeight="251657728" behindDoc="1" locked="0" layoutInCell="0" allowOverlap="1">
            <wp:simplePos x="0" y="0"/>
            <wp:positionH relativeFrom="column">
              <wp:posOffset>-2553970</wp:posOffset>
            </wp:positionH>
            <wp:positionV relativeFrom="paragraph">
              <wp:posOffset>-1901190</wp:posOffset>
            </wp:positionV>
            <wp:extent cx="7120890" cy="914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0890" cy="91440"/>
                    </a:xfrm>
                    <a:prstGeom prst="rect">
                      <a:avLst/>
                    </a:prstGeom>
                    <a:noFill/>
                  </pic:spPr>
                </pic:pic>
              </a:graphicData>
            </a:graphic>
          </wp:anchor>
        </w:drawing>
        <w:drawing>
          <wp:anchor simplePos="0" relativeHeight="251657728" behindDoc="1" locked="0" layoutInCell="0" allowOverlap="1">
            <wp:simplePos x="0" y="0"/>
            <wp:positionH relativeFrom="column">
              <wp:posOffset>-2553970</wp:posOffset>
            </wp:positionH>
            <wp:positionV relativeFrom="paragraph">
              <wp:posOffset>-1718310</wp:posOffset>
            </wp:positionV>
            <wp:extent cx="7120890" cy="914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0890" cy="91440"/>
                    </a:xfrm>
                    <a:prstGeom prst="rect">
                      <a:avLst/>
                    </a:prstGeom>
                    <a:noFill/>
                  </pic:spPr>
                </pic:pic>
              </a:graphicData>
            </a:graphic>
          </wp:anchor>
        </w:drawing>
        <w:drawing>
          <wp:anchor simplePos="0" relativeHeight="251657728" behindDoc="1" locked="0" layoutInCell="0" allowOverlap="1">
            <wp:simplePos x="0" y="0"/>
            <wp:positionH relativeFrom="column">
              <wp:posOffset>-2553970</wp:posOffset>
            </wp:positionH>
            <wp:positionV relativeFrom="paragraph">
              <wp:posOffset>-1535430</wp:posOffset>
            </wp:positionV>
            <wp:extent cx="7120890" cy="914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0890" cy="91440"/>
                    </a:xfrm>
                    <a:prstGeom prst="rect">
                      <a:avLst/>
                    </a:prstGeom>
                    <a:noFill/>
                  </pic:spPr>
                </pic:pic>
              </a:graphicData>
            </a:graphic>
          </wp:anchor>
        </w:drawing>
        <w:drawing>
          <wp:anchor simplePos="0" relativeHeight="251657728" behindDoc="1" locked="0" layoutInCell="0" allowOverlap="1">
            <wp:simplePos x="0" y="0"/>
            <wp:positionH relativeFrom="column">
              <wp:posOffset>-2553970</wp:posOffset>
            </wp:positionH>
            <wp:positionV relativeFrom="paragraph">
              <wp:posOffset>-1352550</wp:posOffset>
            </wp:positionV>
            <wp:extent cx="7120890" cy="914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0890" cy="91440"/>
                    </a:xfrm>
                    <a:prstGeom prst="rect">
                      <a:avLst/>
                    </a:prstGeom>
                    <a:noFill/>
                  </pic:spPr>
                </pic:pic>
              </a:graphicData>
            </a:graphic>
          </wp:anchor>
        </w:drawing>
        <w:drawing>
          <wp:anchor simplePos="0" relativeHeight="251657728" behindDoc="1" locked="0" layoutInCell="0" allowOverlap="1">
            <wp:simplePos x="0" y="0"/>
            <wp:positionH relativeFrom="column">
              <wp:posOffset>-2553970</wp:posOffset>
            </wp:positionH>
            <wp:positionV relativeFrom="paragraph">
              <wp:posOffset>-1163955</wp:posOffset>
            </wp:positionV>
            <wp:extent cx="7120890" cy="971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0890" cy="97155"/>
                    </a:xfrm>
                    <a:prstGeom prst="rect">
                      <a:avLst/>
                    </a:prstGeom>
                    <a:noFill/>
                  </pic:spPr>
                </pic:pic>
              </a:graphicData>
            </a:graphic>
          </wp:anchor>
        </w:drawing>
        <w:drawing>
          <wp:anchor simplePos="0" relativeHeight="251657728" behindDoc="1" locked="0" layoutInCell="0" allowOverlap="1">
            <wp:simplePos x="0" y="0"/>
            <wp:positionH relativeFrom="column">
              <wp:posOffset>-2553970</wp:posOffset>
            </wp:positionH>
            <wp:positionV relativeFrom="paragraph">
              <wp:posOffset>-969645</wp:posOffset>
            </wp:positionV>
            <wp:extent cx="7120890" cy="97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0890" cy="97155"/>
                    </a:xfrm>
                    <a:prstGeom prst="rect">
                      <a:avLst/>
                    </a:prstGeom>
                    <a:noFill/>
                  </pic:spPr>
                </pic:pic>
              </a:graphicData>
            </a:graphic>
          </wp:anchor>
        </w:drawing>
        <w:drawing>
          <wp:anchor simplePos="0" relativeHeight="251657728" behindDoc="1" locked="0" layoutInCell="0" allowOverlap="1">
            <wp:simplePos x="0" y="0"/>
            <wp:positionH relativeFrom="column">
              <wp:posOffset>-2553970</wp:posOffset>
            </wp:positionH>
            <wp:positionV relativeFrom="paragraph">
              <wp:posOffset>-775335</wp:posOffset>
            </wp:positionV>
            <wp:extent cx="7120890" cy="971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0890" cy="97155"/>
                    </a:xfrm>
                    <a:prstGeom prst="rect">
                      <a:avLst/>
                    </a:prstGeom>
                    <a:noFill/>
                  </pic:spPr>
                </pic:pic>
              </a:graphicData>
            </a:graphic>
          </wp:anchor>
        </w:drawing>
        <w:drawing>
          <wp:anchor simplePos="0" relativeHeight="251657728" behindDoc="1" locked="0" layoutInCell="0" allowOverlap="1">
            <wp:simplePos x="0" y="0"/>
            <wp:positionH relativeFrom="column">
              <wp:posOffset>-2553970</wp:posOffset>
            </wp:positionH>
            <wp:positionV relativeFrom="paragraph">
              <wp:posOffset>-581025</wp:posOffset>
            </wp:positionV>
            <wp:extent cx="7120890" cy="971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0890" cy="97155"/>
                    </a:xfrm>
                    <a:prstGeom prst="rect">
                      <a:avLst/>
                    </a:prstGeom>
                    <a:noFill/>
                  </pic:spPr>
                </pic:pic>
              </a:graphicData>
            </a:graphic>
          </wp:anchor>
        </w:drawing>
        <w:drawing>
          <wp:anchor simplePos="0" relativeHeight="251657728" behindDoc="1" locked="0" layoutInCell="0" allowOverlap="1">
            <wp:simplePos x="0" y="0"/>
            <wp:positionH relativeFrom="column">
              <wp:posOffset>-2553970</wp:posOffset>
            </wp:positionH>
            <wp:positionV relativeFrom="paragraph">
              <wp:posOffset>-386715</wp:posOffset>
            </wp:positionV>
            <wp:extent cx="7120890" cy="971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0890" cy="97155"/>
                    </a:xfrm>
                    <a:prstGeom prst="rect">
                      <a:avLst/>
                    </a:prstGeom>
                    <a:noFill/>
                  </pic:spPr>
                </pic:pic>
              </a:graphicData>
            </a:graphic>
          </wp:anchor>
        </w:drawing>
        <w:drawing>
          <wp:anchor simplePos="0" relativeHeight="251657728" behindDoc="1" locked="0" layoutInCell="0" allowOverlap="1">
            <wp:simplePos x="0" y="0"/>
            <wp:positionH relativeFrom="column">
              <wp:posOffset>-2553970</wp:posOffset>
            </wp:positionH>
            <wp:positionV relativeFrom="paragraph">
              <wp:posOffset>-192405</wp:posOffset>
            </wp:positionV>
            <wp:extent cx="7120890" cy="971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0890" cy="971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40" w:space="720"/>
            <w:col w:w="7200"/>
          </w:cols>
          <w:pgMar w:left="300" w:top="12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Priority Technology Holdings, Inc</w:t>
      </w:r>
      <w:r>
        <w:rPr>
          <w:rFonts w:ascii="Times New Roman" w:cs="Times New Roman" w:eastAsia="Times New Roman" w:hAnsi="Times New Roman"/>
          <w:sz w:val="12"/>
          <w:szCs w:val="12"/>
          <w:color w:val="auto"/>
        </w:rPr>
        <w:t>.</w:t>
      </w:r>
    </w:p>
    <w:p>
      <w:pPr>
        <w:spacing w:after="0" w:line="2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1"/>
          <w:szCs w:val="11"/>
          <w:b w:val="1"/>
          <w:bCs w:val="1"/>
          <w:color w:val="auto"/>
        </w:rPr>
        <w:t>Unaudited Consolidated Statements of Changes in Stockholders' Deficit and Non-Controlling Interest</w:t>
      </w:r>
    </w:p>
    <w:p>
      <w:pPr>
        <w:spacing w:after="0" w:line="1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2"/>
          <w:szCs w:val="12"/>
          <w:i w:val="1"/>
          <w:iCs w:val="1"/>
          <w:color w:val="auto"/>
        </w:rPr>
        <w:t>(in thousands)</w:t>
      </w:r>
    </w:p>
    <w:p>
      <w:pPr>
        <w:sectPr>
          <w:pgSz w:w="11900" w:h="16838" w:orient="portrait"/>
          <w:cols w:equalWidth="0" w:num="1">
            <w:col w:w="11260"/>
          </w:cols>
          <w:pgMar w:left="300" w:top="1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b w:val="1"/>
          <w:bCs w:val="1"/>
          <w:color w:val="auto"/>
        </w:rPr>
        <w:t>December 31, 2022</w:t>
      </w:r>
    </w:p>
    <w:p>
      <w:pPr>
        <w:spacing w:after="0" w:line="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color w:val="auto"/>
        </w:rPr>
        <w:t>Equity-classified stock-based compensation</w:t>
      </w:r>
    </w:p>
    <w:p>
      <w:pPr>
        <w:spacing w:after="0" w:line="18" w:lineRule="exact"/>
        <w:rPr>
          <w:sz w:val="20"/>
          <w:szCs w:val="20"/>
          <w:color w:val="auto"/>
        </w:rPr>
      </w:pPr>
    </w:p>
    <w:p>
      <w:pPr>
        <w:ind w:left="140" w:right="520"/>
        <w:spacing w:after="0" w:line="273" w:lineRule="auto"/>
        <w:rPr>
          <w:sz w:val="20"/>
          <w:szCs w:val="20"/>
          <w:color w:val="auto"/>
        </w:rPr>
      </w:pPr>
      <w:r>
        <w:rPr>
          <w:rFonts w:ascii="Times New Roman" w:cs="Times New Roman" w:eastAsia="Times New Roman" w:hAnsi="Times New Roman"/>
          <w:sz w:val="11"/>
          <w:szCs w:val="11"/>
          <w:color w:val="auto"/>
        </w:rPr>
        <w:t>ESPP compensation and vesting of stock-based compensation Shares withheld for taxes</w:t>
      </w:r>
    </w:p>
    <w:p>
      <w:pPr>
        <w:jc w:val="both"/>
        <w:ind w:left="140" w:right="1140"/>
        <w:spacing w:after="0" w:line="273" w:lineRule="auto"/>
        <w:rPr>
          <w:sz w:val="20"/>
          <w:szCs w:val="20"/>
          <w:color w:val="auto"/>
        </w:rPr>
      </w:pPr>
      <w:r>
        <w:rPr>
          <w:rFonts w:ascii="Times New Roman" w:cs="Times New Roman" w:eastAsia="Times New Roman" w:hAnsi="Times New Roman"/>
          <w:sz w:val="11"/>
          <w:szCs w:val="11"/>
          <w:color w:val="auto"/>
        </w:rPr>
        <w:t>Dividends on redeemable senior preferred stock Accretion of redeemable senior preferred stock Adjustment to NCI</w:t>
      </w:r>
    </w:p>
    <w:p>
      <w:pPr>
        <w:ind w:left="140"/>
        <w:spacing w:after="0"/>
        <w:rPr>
          <w:sz w:val="20"/>
          <w:szCs w:val="20"/>
          <w:color w:val="auto"/>
        </w:rPr>
      </w:pPr>
      <w:r>
        <w:rPr>
          <w:rFonts w:ascii="Times New Roman" w:cs="Times New Roman" w:eastAsia="Times New Roman" w:hAnsi="Times New Roman"/>
          <w:sz w:val="11"/>
          <w:szCs w:val="11"/>
          <w:color w:val="auto"/>
        </w:rPr>
        <w:t>Foreign currency translation adjustment</w:t>
      </w:r>
    </w:p>
    <w:p>
      <w:pPr>
        <w:spacing w:after="0" w:line="1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color w:val="auto"/>
        </w:rPr>
        <w:t>Net loss</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b w:val="1"/>
          <w:bCs w:val="1"/>
          <w:color w:val="auto"/>
        </w:rPr>
        <w:t>March 31, 2023</w:t>
      </w:r>
    </w:p>
    <w:p>
      <w:pPr>
        <w:spacing w:after="0" w:line="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color w:val="auto"/>
        </w:rPr>
        <w:t>Equity-classified stock-based compensation</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0"/>
          <w:szCs w:val="10"/>
          <w:color w:val="auto"/>
        </w:rPr>
        <w:t>ESPP compensation and vesting of stock-based compensation</w:t>
      </w:r>
    </w:p>
    <w:p>
      <w:pPr>
        <w:spacing w:after="0" w:line="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color w:val="auto"/>
        </w:rPr>
        <w:t>Share repurchases and shares withheld for taxes</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color w:val="auto"/>
        </w:rPr>
        <w:t>Dividends on redeemable senior preferred stock</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color w:val="auto"/>
        </w:rPr>
        <w:t>Accretion of redeemable senior preferred stock</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color w:val="auto"/>
        </w:rPr>
        <w:t>Foreign currency translation adjustment</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color w:val="auto"/>
        </w:rPr>
        <w:t>Reclassification of negative additional paid-in capital</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color w:val="auto"/>
        </w:rPr>
        <w:t>Net income</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b w:val="1"/>
          <w:bCs w:val="1"/>
          <w:color w:val="auto"/>
        </w:rPr>
        <w:t>June 30, 2023</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040" w:type="dxa"/>
            <w:vAlign w:val="bottom"/>
            <w:gridSpan w:val="2"/>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280" w:type="dxa"/>
            <w:vAlign w:val="bottom"/>
          </w:tcPr>
          <w:p>
            <w:pPr>
              <w:spacing w:after="0"/>
              <w:rPr>
                <w:sz w:val="11"/>
                <w:szCs w:val="1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vMerge w:val="restart"/>
          </w:tcPr>
          <w:p>
            <w:pPr>
              <w:jc w:val="center"/>
              <w:ind w:right="44"/>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1040" w:type="dxa"/>
            <w:vAlign w:val="bottom"/>
            <w:gridSpan w:val="2"/>
            <w:vMerge w:val="restart"/>
          </w:tcPr>
          <w:p>
            <w:pPr>
              <w:jc w:val="right"/>
              <w:ind w:right="226"/>
              <w:spacing w:after="0" w:line="124" w:lineRule="exact"/>
              <w:rPr>
                <w:sz w:val="20"/>
                <w:szCs w:val="20"/>
                <w:color w:val="auto"/>
              </w:rPr>
            </w:pPr>
            <w:r>
              <w:rPr>
                <w:rFonts w:ascii="Times New Roman" w:cs="Times New Roman" w:eastAsia="Times New Roman" w:hAnsi="Times New Roman"/>
                <w:sz w:val="11"/>
                <w:szCs w:val="11"/>
                <w:b w:val="1"/>
                <w:bCs w:val="1"/>
                <w:color w:val="auto"/>
              </w:rPr>
              <w:t>Stock</w:t>
            </w:r>
          </w:p>
        </w:tc>
        <w:tc>
          <w:tcPr>
            <w:tcW w:w="280" w:type="dxa"/>
            <w:vAlign w:val="bottom"/>
          </w:tcPr>
          <w:p>
            <w:pPr>
              <w:spacing w:after="0"/>
              <w:rPr>
                <w:sz w:val="3"/>
                <w:szCs w:val="3"/>
                <w:color w:val="auto"/>
              </w:rPr>
            </w:pPr>
          </w:p>
        </w:tc>
        <w:tc>
          <w:tcPr>
            <w:tcW w:w="780" w:type="dxa"/>
            <w:vAlign w:val="bottom"/>
            <w:gridSpan w:val="2"/>
            <w:vMerge w:val="restart"/>
          </w:tcPr>
          <w:p>
            <w:pPr>
              <w:jc w:val="right"/>
              <w:ind w:right="26"/>
              <w:spacing w:after="0" w:line="124" w:lineRule="exact"/>
              <w:rPr>
                <w:sz w:val="20"/>
                <w:szCs w:val="20"/>
                <w:color w:val="auto"/>
              </w:rPr>
            </w:pPr>
            <w:r>
              <w:rPr>
                <w:rFonts w:ascii="Times New Roman" w:cs="Times New Roman" w:eastAsia="Times New Roman" w:hAnsi="Times New Roman"/>
                <w:sz w:val="11"/>
                <w:szCs w:val="11"/>
                <w:b w:val="1"/>
                <w:bCs w:val="1"/>
                <w:color w:val="auto"/>
              </w:rPr>
              <w:t>Stock</w:t>
            </w: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1040" w:type="dxa"/>
            <w:vAlign w:val="bottom"/>
            <w:tcBorders>
              <w:bottom w:val="single" w:sz="8" w:color="auto"/>
            </w:tcBorders>
            <w:gridSpan w:val="2"/>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vMerge w:val="continue"/>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jc w:val="right"/>
              <w:ind w:right="104"/>
              <w:spacing w:after="0" w:line="88"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80" w:type="dxa"/>
            <w:vAlign w:val="bottom"/>
          </w:tcPr>
          <w:p>
            <w:pPr>
              <w:spacing w:after="0"/>
              <w:rPr>
                <w:sz w:val="8"/>
                <w:szCs w:val="8"/>
                <w:color w:val="auto"/>
              </w:rPr>
            </w:pPr>
          </w:p>
        </w:tc>
        <w:tc>
          <w:tcPr>
            <w:tcW w:w="840" w:type="dxa"/>
            <w:vAlign w:val="bottom"/>
          </w:tcPr>
          <w:p>
            <w:pPr>
              <w:jc w:val="center"/>
              <w:ind w:right="44"/>
              <w:spacing w:after="0" w:line="88" w:lineRule="exact"/>
              <w:rPr>
                <w:sz w:val="20"/>
                <w:szCs w:val="20"/>
                <w:color w:val="auto"/>
              </w:rPr>
            </w:pPr>
            <w:r>
              <w:rPr>
                <w:rFonts w:ascii="Times New Roman" w:cs="Times New Roman" w:eastAsia="Times New Roman" w:hAnsi="Times New Roman"/>
                <w:sz w:val="10"/>
                <w:szCs w:val="10"/>
                <w:b w:val="1"/>
                <w:bCs w:val="1"/>
                <w:color w:val="auto"/>
              </w:rPr>
              <w:t>Attributable to</w:t>
            </w: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64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2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b w:val="1"/>
                <w:bCs w:val="1"/>
                <w:color w:val="auto"/>
              </w:rPr>
              <w:t>APIC</w:t>
            </w: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b w:val="1"/>
                <w:bCs w:val="1"/>
                <w:color w:val="auto"/>
              </w:rPr>
              <w:t>AOCI</w:t>
            </w: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1"/>
                <w:szCs w:val="11"/>
                <w:b w:val="1"/>
                <w:bCs w:val="1"/>
                <w:color w:val="auto"/>
                <w:w w:val="98"/>
              </w:rPr>
              <w:t>Stockholders</w:t>
            </w: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b w:val="1"/>
                <w:bCs w:val="1"/>
                <w:color w:val="auto"/>
              </w:rPr>
              <w:t>NCIs</w:t>
            </w: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0"/>
        </w:trPr>
        <w:tc>
          <w:tcPr>
            <w:tcW w:w="6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76,044</w:t>
            </w: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76</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2,341</w:t>
            </w:r>
          </w:p>
        </w:tc>
        <w:tc>
          <w:tcPr>
            <w:tcW w:w="2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5"/>
              </w:rPr>
              <w:t>(11,559)</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9,650</w:t>
            </w: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(102,208)</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(104,041)</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1,255</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(102,786)</w:t>
            </w:r>
          </w:p>
        </w:tc>
        <w:tc>
          <w:tcPr>
            <w:tcW w:w="0" w:type="dxa"/>
            <w:vAlign w:val="bottom"/>
          </w:tcPr>
          <w:p>
            <w:pPr>
              <w:spacing w:after="0"/>
              <w:rPr>
                <w:sz w:val="1"/>
                <w:szCs w:val="1"/>
                <w:color w:val="auto"/>
              </w:rPr>
            </w:pPr>
          </w:p>
        </w:tc>
      </w:tr>
      <w:tr>
        <w:trPr>
          <w:trHeight w:val="144"/>
        </w:trPr>
        <w:tc>
          <w:tcPr>
            <w:tcW w:w="6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1,936</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1,936</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1,936</w:t>
            </w:r>
          </w:p>
        </w:tc>
        <w:tc>
          <w:tcPr>
            <w:tcW w:w="0" w:type="dxa"/>
            <w:vAlign w:val="bottom"/>
          </w:tcPr>
          <w:p>
            <w:pPr>
              <w:spacing w:after="0"/>
              <w:rPr>
                <w:sz w:val="1"/>
                <w:szCs w:val="1"/>
                <w:color w:val="auto"/>
              </w:rPr>
            </w:pPr>
          </w:p>
        </w:tc>
      </w:tr>
      <w:tr>
        <w:trPr>
          <w:trHeight w:val="144"/>
        </w:trPr>
        <w:tc>
          <w:tcPr>
            <w:tcW w:w="6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517</w:t>
            </w:r>
          </w:p>
        </w:tc>
        <w:tc>
          <w:tcPr>
            <w:tcW w:w="400" w:type="dxa"/>
            <w:vAlign w:val="bottom"/>
          </w:tcPr>
          <w:p>
            <w:pPr>
              <w:spacing w:after="0"/>
              <w:rPr>
                <w:sz w:val="12"/>
                <w:szCs w:val="12"/>
                <w:color w:val="auto"/>
              </w:rPr>
            </w:pP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37</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37</w:t>
            </w:r>
          </w:p>
        </w:tc>
        <w:tc>
          <w:tcPr>
            <w:tcW w:w="0" w:type="dxa"/>
            <w:vAlign w:val="bottom"/>
          </w:tcPr>
          <w:p>
            <w:pPr>
              <w:spacing w:after="0"/>
              <w:rPr>
                <w:sz w:val="1"/>
                <w:szCs w:val="1"/>
                <w:color w:val="auto"/>
              </w:rPr>
            </w:pPr>
          </w:p>
        </w:tc>
      </w:tr>
      <w:tr>
        <w:trPr>
          <w:trHeight w:val="144"/>
        </w:trPr>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w:t>
            </w:r>
          </w:p>
        </w:tc>
        <w:tc>
          <w:tcPr>
            <w:tcW w:w="400" w:type="dxa"/>
            <w:vAlign w:val="bottom"/>
          </w:tcPr>
          <w:p>
            <w:pPr>
              <w:spacing w:after="0"/>
              <w:rPr>
                <w:sz w:val="12"/>
                <w:szCs w:val="12"/>
                <w:color w:val="auto"/>
              </w:rPr>
            </w:pP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w:t>
            </w:r>
          </w:p>
        </w:tc>
        <w:tc>
          <w:tcPr>
            <w:tcW w:w="2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(777)</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(777)</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(777)</w:t>
            </w:r>
          </w:p>
        </w:tc>
        <w:tc>
          <w:tcPr>
            <w:tcW w:w="0" w:type="dxa"/>
            <w:vAlign w:val="bottom"/>
          </w:tcPr>
          <w:p>
            <w:pPr>
              <w:spacing w:after="0"/>
              <w:rPr>
                <w:sz w:val="1"/>
                <w:szCs w:val="1"/>
                <w:color w:val="auto"/>
              </w:rPr>
            </w:pPr>
          </w:p>
        </w:tc>
      </w:tr>
      <w:tr>
        <w:trPr>
          <w:trHeight w:val="144"/>
        </w:trPr>
        <w:tc>
          <w:tcPr>
            <w:tcW w:w="6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(10,477)</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(10,477)</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(10,477)</w:t>
            </w:r>
          </w:p>
        </w:tc>
        <w:tc>
          <w:tcPr>
            <w:tcW w:w="0" w:type="dxa"/>
            <w:vAlign w:val="bottom"/>
          </w:tcPr>
          <w:p>
            <w:pPr>
              <w:spacing w:after="0"/>
              <w:rPr>
                <w:sz w:val="1"/>
                <w:szCs w:val="1"/>
                <w:color w:val="auto"/>
              </w:rPr>
            </w:pPr>
          </w:p>
        </w:tc>
      </w:tr>
      <w:tr>
        <w:trPr>
          <w:trHeight w:val="144"/>
        </w:trPr>
        <w:tc>
          <w:tcPr>
            <w:tcW w:w="6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(818)</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(818)</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(818)</w:t>
            </w:r>
          </w:p>
        </w:tc>
        <w:tc>
          <w:tcPr>
            <w:tcW w:w="0" w:type="dxa"/>
            <w:vAlign w:val="bottom"/>
          </w:tcPr>
          <w:p>
            <w:pPr>
              <w:spacing w:after="0"/>
              <w:rPr>
                <w:sz w:val="1"/>
                <w:szCs w:val="1"/>
                <w:color w:val="auto"/>
              </w:rPr>
            </w:pPr>
          </w:p>
        </w:tc>
      </w:tr>
      <w:tr>
        <w:trPr>
          <w:trHeight w:val="144"/>
        </w:trPr>
        <w:tc>
          <w:tcPr>
            <w:tcW w:w="6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(403)</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(403)</w:t>
            </w:r>
          </w:p>
        </w:tc>
        <w:tc>
          <w:tcPr>
            <w:tcW w:w="0" w:type="dxa"/>
            <w:vAlign w:val="bottom"/>
          </w:tcPr>
          <w:p>
            <w:pPr>
              <w:spacing w:after="0"/>
              <w:rPr>
                <w:sz w:val="1"/>
                <w:szCs w:val="1"/>
                <w:color w:val="auto"/>
              </w:rPr>
            </w:pPr>
          </w:p>
        </w:tc>
      </w:tr>
      <w:tr>
        <w:trPr>
          <w:trHeight w:val="144"/>
        </w:trPr>
        <w:tc>
          <w:tcPr>
            <w:tcW w:w="6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24</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24</w:t>
            </w:r>
          </w:p>
        </w:tc>
        <w:tc>
          <w:tcPr>
            <w:tcW w:w="0" w:type="dxa"/>
            <w:vAlign w:val="bottom"/>
          </w:tcPr>
          <w:p>
            <w:pPr>
              <w:spacing w:after="0"/>
              <w:rPr>
                <w:sz w:val="1"/>
                <w:szCs w:val="1"/>
                <w:color w:val="auto"/>
              </w:rPr>
            </w:pPr>
          </w:p>
        </w:tc>
      </w:tr>
      <w:tr>
        <w:trPr>
          <w:trHeight w:val="146"/>
        </w:trPr>
        <w:tc>
          <w:tcPr>
            <w:tcW w:w="6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(506)</w:t>
            </w: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(506)</w:t>
            </w: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(506)</w:t>
            </w:r>
          </w:p>
        </w:tc>
        <w:tc>
          <w:tcPr>
            <w:tcW w:w="0" w:type="dxa"/>
            <w:vAlign w:val="bottom"/>
          </w:tcPr>
          <w:p>
            <w:pPr>
              <w:spacing w:after="0"/>
              <w:rPr>
                <w:sz w:val="1"/>
                <w:szCs w:val="1"/>
                <w:color w:val="auto"/>
              </w:rPr>
            </w:pPr>
          </w:p>
        </w:tc>
      </w:tr>
      <w:tr>
        <w:trPr>
          <w:trHeight w:val="133"/>
        </w:trPr>
        <w:tc>
          <w:tcPr>
            <w:tcW w:w="640" w:type="dxa"/>
            <w:vAlign w:val="bottom"/>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76,404</w:t>
            </w: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76</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2,498</w:t>
            </w:r>
          </w:p>
        </w:tc>
        <w:tc>
          <w:tcPr>
            <w:tcW w:w="24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5"/>
              </w:rPr>
              <w:t>(12,336)</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328</w:t>
            </w: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24</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(102,714)</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(114,622)</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852</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(113,770)</w:t>
            </w:r>
          </w:p>
        </w:tc>
        <w:tc>
          <w:tcPr>
            <w:tcW w:w="0" w:type="dxa"/>
            <w:vAlign w:val="bottom"/>
          </w:tcPr>
          <w:p>
            <w:pPr>
              <w:spacing w:after="0"/>
              <w:rPr>
                <w:sz w:val="1"/>
                <w:szCs w:val="1"/>
                <w:color w:val="auto"/>
              </w:rPr>
            </w:pPr>
          </w:p>
        </w:tc>
      </w:tr>
      <w:tr>
        <w:trPr>
          <w:trHeight w:val="153"/>
        </w:trPr>
        <w:tc>
          <w:tcPr>
            <w:tcW w:w="64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3"/>
                <w:szCs w:val="13"/>
                <w:color w:val="auto"/>
              </w:rPr>
            </w:pP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42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1,746</w:t>
            </w:r>
          </w:p>
        </w:tc>
        <w:tc>
          <w:tcPr>
            <w:tcW w:w="140" w:type="dxa"/>
            <w:vAlign w:val="bottom"/>
          </w:tcPr>
          <w:p>
            <w:pPr>
              <w:spacing w:after="0"/>
              <w:rPr>
                <w:sz w:val="13"/>
                <w:szCs w:val="13"/>
                <w:color w:val="auto"/>
              </w:rPr>
            </w:pPr>
          </w:p>
        </w:tc>
        <w:tc>
          <w:tcPr>
            <w:tcW w:w="52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82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1,746</w:t>
            </w: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1,746</w:t>
            </w:r>
          </w:p>
        </w:tc>
        <w:tc>
          <w:tcPr>
            <w:tcW w:w="0" w:type="dxa"/>
            <w:vAlign w:val="bottom"/>
          </w:tcPr>
          <w:p>
            <w:pPr>
              <w:spacing w:after="0"/>
              <w:rPr>
                <w:sz w:val="1"/>
                <w:szCs w:val="1"/>
                <w:color w:val="auto"/>
              </w:rPr>
            </w:pPr>
          </w:p>
        </w:tc>
      </w:tr>
      <w:tr>
        <w:trPr>
          <w:trHeight w:val="153"/>
        </w:trPr>
        <w:tc>
          <w:tcPr>
            <w:tcW w:w="64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192</w:t>
            </w:r>
          </w:p>
        </w:tc>
        <w:tc>
          <w:tcPr>
            <w:tcW w:w="400" w:type="dxa"/>
            <w:vAlign w:val="bottom"/>
          </w:tcPr>
          <w:p>
            <w:pPr>
              <w:spacing w:after="0"/>
              <w:rPr>
                <w:sz w:val="13"/>
                <w:szCs w:val="13"/>
                <w:color w:val="auto"/>
              </w:rPr>
            </w:pP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42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82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43</w:t>
            </w: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43</w:t>
            </w:r>
          </w:p>
        </w:tc>
        <w:tc>
          <w:tcPr>
            <w:tcW w:w="0" w:type="dxa"/>
            <w:vAlign w:val="bottom"/>
          </w:tcPr>
          <w:p>
            <w:pPr>
              <w:spacing w:after="0"/>
              <w:rPr>
                <w:sz w:val="1"/>
                <w:szCs w:val="1"/>
                <w:color w:val="auto"/>
              </w:rPr>
            </w:pPr>
          </w:p>
        </w:tc>
      </w:tr>
      <w:tr>
        <w:trPr>
          <w:trHeight w:val="153"/>
        </w:trPr>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400" w:type="dxa"/>
            <w:vAlign w:val="bottom"/>
          </w:tcPr>
          <w:p>
            <w:pPr>
              <w:spacing w:after="0"/>
              <w:rPr>
                <w:sz w:val="13"/>
                <w:szCs w:val="13"/>
                <w:color w:val="auto"/>
              </w:rPr>
            </w:pP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2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(241)</w:t>
            </w: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82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(241)</w:t>
            </w: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(241)</w:t>
            </w:r>
          </w:p>
        </w:tc>
        <w:tc>
          <w:tcPr>
            <w:tcW w:w="0" w:type="dxa"/>
            <w:vAlign w:val="bottom"/>
          </w:tcPr>
          <w:p>
            <w:pPr>
              <w:spacing w:after="0"/>
              <w:rPr>
                <w:sz w:val="1"/>
                <w:szCs w:val="1"/>
                <w:color w:val="auto"/>
              </w:rPr>
            </w:pPr>
          </w:p>
        </w:tc>
      </w:tr>
      <w:tr>
        <w:trPr>
          <w:trHeight w:val="153"/>
        </w:trPr>
        <w:tc>
          <w:tcPr>
            <w:tcW w:w="64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3"/>
                <w:szCs w:val="13"/>
                <w:color w:val="auto"/>
              </w:rPr>
            </w:pP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42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(10,934)</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82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(10,934)</w:t>
            </w: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(10,934)</w:t>
            </w:r>
          </w:p>
        </w:tc>
        <w:tc>
          <w:tcPr>
            <w:tcW w:w="0" w:type="dxa"/>
            <w:vAlign w:val="bottom"/>
          </w:tcPr>
          <w:p>
            <w:pPr>
              <w:spacing w:after="0"/>
              <w:rPr>
                <w:sz w:val="1"/>
                <w:szCs w:val="1"/>
                <w:color w:val="auto"/>
              </w:rPr>
            </w:pPr>
          </w:p>
        </w:tc>
      </w:tr>
      <w:tr>
        <w:trPr>
          <w:trHeight w:val="153"/>
        </w:trPr>
        <w:tc>
          <w:tcPr>
            <w:tcW w:w="64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3"/>
                <w:szCs w:val="13"/>
                <w:color w:val="auto"/>
              </w:rPr>
            </w:pP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42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(831)</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82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(831)</w:t>
            </w: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(831)</w:t>
            </w:r>
          </w:p>
        </w:tc>
        <w:tc>
          <w:tcPr>
            <w:tcW w:w="0" w:type="dxa"/>
            <w:vAlign w:val="bottom"/>
          </w:tcPr>
          <w:p>
            <w:pPr>
              <w:spacing w:after="0"/>
              <w:rPr>
                <w:sz w:val="1"/>
                <w:szCs w:val="1"/>
                <w:color w:val="auto"/>
              </w:rPr>
            </w:pPr>
          </w:p>
        </w:tc>
      </w:tr>
      <w:tr>
        <w:trPr>
          <w:trHeight w:val="153"/>
        </w:trPr>
        <w:tc>
          <w:tcPr>
            <w:tcW w:w="64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3"/>
                <w:szCs w:val="13"/>
                <w:color w:val="auto"/>
              </w:rPr>
            </w:pP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42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20" w:type="dxa"/>
            <w:vAlign w:val="bottom"/>
          </w:tcPr>
          <w:p>
            <w:pPr>
              <w:spacing w:after="0"/>
              <w:rPr>
                <w:sz w:val="13"/>
                <w:szCs w:val="13"/>
                <w:color w:val="auto"/>
              </w:rPr>
            </w:pPr>
          </w:p>
        </w:tc>
        <w:tc>
          <w:tcPr>
            <w:tcW w:w="82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7</w:t>
            </w: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7</w:t>
            </w:r>
          </w:p>
        </w:tc>
        <w:tc>
          <w:tcPr>
            <w:tcW w:w="0" w:type="dxa"/>
            <w:vAlign w:val="bottom"/>
          </w:tcPr>
          <w:p>
            <w:pPr>
              <w:spacing w:after="0"/>
              <w:rPr>
                <w:sz w:val="1"/>
                <w:szCs w:val="1"/>
                <w:color w:val="auto"/>
              </w:rPr>
            </w:pPr>
          </w:p>
        </w:tc>
      </w:tr>
      <w:tr>
        <w:trPr>
          <w:trHeight w:val="153"/>
        </w:trPr>
        <w:tc>
          <w:tcPr>
            <w:tcW w:w="64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3"/>
                <w:szCs w:val="13"/>
                <w:color w:val="auto"/>
              </w:rPr>
            </w:pP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42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9,648</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(9,648)</w:t>
            </w:r>
          </w:p>
        </w:tc>
        <w:tc>
          <w:tcPr>
            <w:tcW w:w="8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5"/>
        </w:trPr>
        <w:tc>
          <w:tcPr>
            <w:tcW w:w="6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(612)</w:t>
            </w: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(612)</w:t>
            </w: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(612)</w:t>
            </w:r>
          </w:p>
        </w:tc>
        <w:tc>
          <w:tcPr>
            <w:tcW w:w="0" w:type="dxa"/>
            <w:vAlign w:val="bottom"/>
          </w:tcPr>
          <w:p>
            <w:pPr>
              <w:spacing w:after="0"/>
              <w:rPr>
                <w:sz w:val="1"/>
                <w:szCs w:val="1"/>
                <w:color w:val="auto"/>
              </w:rPr>
            </w:pPr>
          </w:p>
        </w:tc>
      </w:tr>
      <w:tr>
        <w:trPr>
          <w:trHeight w:val="131"/>
        </w:trPr>
        <w:tc>
          <w:tcPr>
            <w:tcW w:w="640" w:type="dxa"/>
            <w:vAlign w:val="bottom"/>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76,531</w:t>
            </w: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76</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2,563</w:t>
            </w:r>
          </w:p>
        </w:tc>
        <w:tc>
          <w:tcPr>
            <w:tcW w:w="24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5"/>
              </w:rPr>
              <w:t>(12,577)</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31</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(112,974)</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(125,444)</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852</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(124,592)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-1798320</wp:posOffset>
            </wp:positionV>
            <wp:extent cx="7126605" cy="971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6605" cy="97155"/>
                    </a:xfrm>
                    <a:prstGeom prst="rect">
                      <a:avLst/>
                    </a:prstGeom>
                    <a:noFill/>
                  </pic:spPr>
                </pic:pic>
              </a:graphicData>
            </a:graphic>
          </wp:anchor>
        </w:drawing>
        <w:drawing>
          <wp:anchor simplePos="0" relativeHeight="251657728" behindDoc="1" locked="0" layoutInCell="0" allowOverlap="1">
            <wp:simplePos x="0" y="0"/>
            <wp:positionH relativeFrom="column">
              <wp:posOffset>-2553970</wp:posOffset>
            </wp:positionH>
            <wp:positionV relativeFrom="paragraph">
              <wp:posOffset>-1609725</wp:posOffset>
            </wp:positionV>
            <wp:extent cx="7126605" cy="914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6605" cy="91440"/>
                    </a:xfrm>
                    <a:prstGeom prst="rect">
                      <a:avLst/>
                    </a:prstGeom>
                    <a:noFill/>
                  </pic:spPr>
                </pic:pic>
              </a:graphicData>
            </a:graphic>
          </wp:anchor>
        </w:drawing>
        <w:drawing>
          <wp:anchor simplePos="0" relativeHeight="251657728" behindDoc="1" locked="0" layoutInCell="0" allowOverlap="1">
            <wp:simplePos x="0" y="0"/>
            <wp:positionH relativeFrom="column">
              <wp:posOffset>-2553970</wp:posOffset>
            </wp:positionH>
            <wp:positionV relativeFrom="paragraph">
              <wp:posOffset>-1426845</wp:posOffset>
            </wp:positionV>
            <wp:extent cx="7126605" cy="914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6605" cy="91440"/>
                    </a:xfrm>
                    <a:prstGeom prst="rect">
                      <a:avLst/>
                    </a:prstGeom>
                    <a:noFill/>
                  </pic:spPr>
                </pic:pic>
              </a:graphicData>
            </a:graphic>
          </wp:anchor>
        </w:drawing>
        <w:drawing>
          <wp:anchor simplePos="0" relativeHeight="251657728" behindDoc="1" locked="0" layoutInCell="0" allowOverlap="1">
            <wp:simplePos x="0" y="0"/>
            <wp:positionH relativeFrom="column">
              <wp:posOffset>-2553970</wp:posOffset>
            </wp:positionH>
            <wp:positionV relativeFrom="paragraph">
              <wp:posOffset>-1243965</wp:posOffset>
            </wp:positionV>
            <wp:extent cx="7126605" cy="914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6605" cy="91440"/>
                    </a:xfrm>
                    <a:prstGeom prst="rect">
                      <a:avLst/>
                    </a:prstGeom>
                    <a:noFill/>
                  </pic:spPr>
                </pic:pic>
              </a:graphicData>
            </a:graphic>
          </wp:anchor>
        </w:drawing>
        <w:drawing>
          <wp:anchor simplePos="0" relativeHeight="251657728" behindDoc="1" locked="0" layoutInCell="0" allowOverlap="1">
            <wp:simplePos x="0" y="0"/>
            <wp:positionH relativeFrom="column">
              <wp:posOffset>-2553970</wp:posOffset>
            </wp:positionH>
            <wp:positionV relativeFrom="paragraph">
              <wp:posOffset>-1061085</wp:posOffset>
            </wp:positionV>
            <wp:extent cx="7126605" cy="914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26605" cy="91440"/>
                    </a:xfrm>
                    <a:prstGeom prst="rect">
                      <a:avLst/>
                    </a:prstGeom>
                    <a:noFill/>
                  </pic:spPr>
                </pic:pic>
              </a:graphicData>
            </a:graphic>
          </wp:anchor>
        </w:drawing>
        <w:drawing>
          <wp:anchor simplePos="0" relativeHeight="251657728" behindDoc="1" locked="0" layoutInCell="0" allowOverlap="1">
            <wp:simplePos x="0" y="0"/>
            <wp:positionH relativeFrom="column">
              <wp:posOffset>-2553970</wp:posOffset>
            </wp:positionH>
            <wp:positionV relativeFrom="paragraph">
              <wp:posOffset>-872490</wp:posOffset>
            </wp:positionV>
            <wp:extent cx="7126605" cy="971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26605" cy="97155"/>
                    </a:xfrm>
                    <a:prstGeom prst="rect">
                      <a:avLst/>
                    </a:prstGeom>
                    <a:noFill/>
                  </pic:spPr>
                </pic:pic>
              </a:graphicData>
            </a:graphic>
          </wp:anchor>
        </w:drawing>
        <w:drawing>
          <wp:anchor simplePos="0" relativeHeight="251657728" behindDoc="1" locked="0" layoutInCell="0" allowOverlap="1">
            <wp:simplePos x="0" y="0"/>
            <wp:positionH relativeFrom="column">
              <wp:posOffset>-2553970</wp:posOffset>
            </wp:positionH>
            <wp:positionV relativeFrom="paragraph">
              <wp:posOffset>-678180</wp:posOffset>
            </wp:positionV>
            <wp:extent cx="7126605" cy="971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26605" cy="97155"/>
                    </a:xfrm>
                    <a:prstGeom prst="rect">
                      <a:avLst/>
                    </a:prstGeom>
                    <a:noFill/>
                  </pic:spPr>
                </pic:pic>
              </a:graphicData>
            </a:graphic>
          </wp:anchor>
        </w:drawing>
        <w:drawing>
          <wp:anchor simplePos="0" relativeHeight="251657728" behindDoc="1" locked="0" layoutInCell="0" allowOverlap="1">
            <wp:simplePos x="0" y="0"/>
            <wp:positionH relativeFrom="column">
              <wp:posOffset>-2553970</wp:posOffset>
            </wp:positionH>
            <wp:positionV relativeFrom="paragraph">
              <wp:posOffset>-483870</wp:posOffset>
            </wp:positionV>
            <wp:extent cx="7126605" cy="971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26605" cy="97155"/>
                    </a:xfrm>
                    <a:prstGeom prst="rect">
                      <a:avLst/>
                    </a:prstGeom>
                    <a:noFill/>
                  </pic:spPr>
                </pic:pic>
              </a:graphicData>
            </a:graphic>
          </wp:anchor>
        </w:drawing>
        <w:drawing>
          <wp:anchor simplePos="0" relativeHeight="251657728" behindDoc="1" locked="0" layoutInCell="0" allowOverlap="1">
            <wp:simplePos x="0" y="0"/>
            <wp:positionH relativeFrom="column">
              <wp:posOffset>-2553970</wp:posOffset>
            </wp:positionH>
            <wp:positionV relativeFrom="paragraph">
              <wp:posOffset>-289560</wp:posOffset>
            </wp:positionV>
            <wp:extent cx="7126605" cy="971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26605" cy="97155"/>
                    </a:xfrm>
                    <a:prstGeom prst="rect">
                      <a:avLst/>
                    </a:prstGeom>
                    <a:noFill/>
                  </pic:spPr>
                </pic:pic>
              </a:graphicData>
            </a:graphic>
          </wp:anchor>
        </w:drawing>
        <w:drawing>
          <wp:anchor simplePos="0" relativeHeight="251657728" behindDoc="1" locked="0" layoutInCell="0" allowOverlap="1">
            <wp:simplePos x="0" y="0"/>
            <wp:positionH relativeFrom="column">
              <wp:posOffset>-2553970</wp:posOffset>
            </wp:positionH>
            <wp:positionV relativeFrom="paragraph">
              <wp:posOffset>-95250</wp:posOffset>
            </wp:positionV>
            <wp:extent cx="7126605" cy="971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26605" cy="971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40" w:space="720"/>
            <w:col w:w="7200"/>
          </w:cols>
          <w:pgMar w:left="300" w:top="129" w:right="339" w:bottom="1440" w:gutter="0" w:footer="0" w:header="0"/>
          <w:type w:val="continuous"/>
        </w:sect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 xml:space="preserve">See </w:t>
      </w:r>
      <w:r>
        <w:rPr>
          <w:rFonts w:ascii="Times New Roman" w:cs="Times New Roman" w:eastAsia="Times New Roman" w:hAnsi="Times New Roman"/>
          <w:sz w:val="12"/>
          <w:szCs w:val="12"/>
          <w:u w:val="single" w:color="auto"/>
          <w:color w:val="0000FF"/>
        </w:rPr>
        <w:t>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Priority Technology Holdings, Inc</w:t>
      </w:r>
      <w:r>
        <w:rPr>
          <w:rFonts w:ascii="Times New Roman" w:cs="Times New Roman" w:eastAsia="Times New Roman" w:hAnsi="Times New Roman"/>
          <w:sz w:val="12"/>
          <w:szCs w:val="12"/>
          <w:color w:val="auto"/>
        </w:rPr>
        <w: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 Consolidated Statements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90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c>
          <w:tcPr>
            <w:tcW w:w="1000" w:type="dxa"/>
            <w:vAlign w:val="bottom"/>
            <w:tcBorders>
              <w:bottom w:val="single" w:sz="8" w:color="auto"/>
            </w:tcBorders>
          </w:tcPr>
          <w:p>
            <w:pPr>
              <w:spacing w:after="0"/>
              <w:rPr>
                <w:sz w:val="12"/>
                <w:szCs w:val="12"/>
                <w:color w:val="auto"/>
              </w:rPr>
            </w:pPr>
          </w:p>
        </w:tc>
      </w:tr>
      <w:tr>
        <w:trPr>
          <w:trHeight w:val="134"/>
        </w:trPr>
        <w:tc>
          <w:tcPr>
            <w:tcW w:w="790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2024</w:t>
            </w: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666"/>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25"/>
        </w:trPr>
        <w:tc>
          <w:tcPr>
            <w:tcW w:w="7900" w:type="dxa"/>
            <w:vAlign w:val="bottom"/>
            <w:shd w:val="clear" w:color="auto" w:fill="CCEEFF"/>
          </w:tcPr>
          <w:p>
            <w:pPr>
              <w:ind w:left="20"/>
              <w:spacing w:after="0" w:line="123" w:lineRule="exact"/>
              <w:rPr>
                <w:sz w:val="20"/>
                <w:szCs w:val="20"/>
                <w:color w:val="auto"/>
              </w:rPr>
            </w:pPr>
            <w:r>
              <w:rPr>
                <w:rFonts w:ascii="Times New Roman" w:cs="Times New Roman" w:eastAsia="Times New Roman" w:hAnsi="Times New Roman"/>
                <w:sz w:val="11"/>
                <w:szCs w:val="11"/>
                <w:b w:val="1"/>
                <w:bCs w:val="1"/>
                <w:color w:val="auto"/>
              </w:rPr>
              <w:t>Cash flows from operating activities:</w:t>
            </w:r>
          </w:p>
        </w:tc>
        <w:tc>
          <w:tcPr>
            <w:tcW w:w="10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r>
      <w:tr>
        <w:trPr>
          <w:trHeight w:val="142"/>
        </w:trPr>
        <w:tc>
          <w:tcPr>
            <w:tcW w:w="79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Net income (loss)</w:t>
            </w:r>
          </w:p>
        </w:tc>
        <w:tc>
          <w:tcPr>
            <w:tcW w:w="1000" w:type="dxa"/>
            <w:vAlign w:val="bottom"/>
          </w:tcPr>
          <w:p>
            <w:pPr>
              <w:jc w:val="right"/>
              <w:ind w:right="88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6,187</w:t>
            </w:r>
          </w:p>
        </w:tc>
        <w:tc>
          <w:tcPr>
            <w:tcW w:w="80" w:type="dxa"/>
            <w:vAlign w:val="bottom"/>
          </w:tcPr>
          <w:p>
            <w:pPr>
              <w:spacing w:after="0"/>
              <w:rPr>
                <w:sz w:val="12"/>
                <w:szCs w:val="12"/>
                <w:color w:val="auto"/>
              </w:rPr>
            </w:pPr>
          </w:p>
        </w:tc>
        <w:tc>
          <w:tcPr>
            <w:tcW w:w="640" w:type="dxa"/>
            <w:vAlign w:val="bottom"/>
          </w:tcPr>
          <w:p>
            <w:pPr>
              <w:jc w:val="right"/>
              <w:ind w:right="5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(1,118)</w:t>
            </w:r>
          </w:p>
        </w:tc>
      </w:tr>
      <w:tr>
        <w:trPr>
          <w:trHeight w:val="146"/>
        </w:trPr>
        <w:tc>
          <w:tcPr>
            <w:tcW w:w="7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Adjustments to reconcile net income (loss) to net cash provided by operating activities:</w:t>
            </w:r>
          </w:p>
        </w:tc>
        <w:tc>
          <w:tcPr>
            <w:tcW w:w="10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42"/>
        </w:trPr>
        <w:tc>
          <w:tcPr>
            <w:tcW w:w="79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Depreciation and amortization of assets</w:t>
            </w:r>
          </w:p>
        </w:tc>
        <w:tc>
          <w:tcPr>
            <w:tcW w:w="10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30,497</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36,028</w:t>
            </w:r>
          </w:p>
        </w:tc>
      </w:tr>
      <w:tr>
        <w:trPr>
          <w:trHeight w:val="146"/>
        </w:trPr>
        <w:tc>
          <w:tcPr>
            <w:tcW w:w="7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Stock-based, ESPP and incentive units compensation</w:t>
            </w:r>
          </w:p>
        </w:tc>
        <w:tc>
          <w:tcPr>
            <w:tcW w:w="10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3,462</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3,682</w:t>
            </w:r>
          </w:p>
        </w:tc>
      </w:tr>
      <w:tr>
        <w:trPr>
          <w:trHeight w:val="142"/>
        </w:trPr>
        <w:tc>
          <w:tcPr>
            <w:tcW w:w="79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Amortization of debt issuance costs and discounts</w:t>
            </w:r>
          </w:p>
        </w:tc>
        <w:tc>
          <w:tcPr>
            <w:tcW w:w="10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1,824</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1,826</w:t>
            </w:r>
          </w:p>
        </w:tc>
      </w:tr>
      <w:tr>
        <w:trPr>
          <w:trHeight w:val="146"/>
        </w:trPr>
        <w:tc>
          <w:tcPr>
            <w:tcW w:w="7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Debt extinguishment and modification costs</w:t>
            </w:r>
          </w:p>
        </w:tc>
        <w:tc>
          <w:tcPr>
            <w:tcW w:w="10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8,623</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2"/>
        </w:trPr>
        <w:tc>
          <w:tcPr>
            <w:tcW w:w="79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Deferred income tax</w:t>
            </w:r>
          </w:p>
        </w:tc>
        <w:tc>
          <w:tcPr>
            <w:tcW w:w="10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(3,023)</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(9,619)</w:t>
            </w:r>
          </w:p>
        </w:tc>
      </w:tr>
      <w:tr>
        <w:trPr>
          <w:trHeight w:val="146"/>
        </w:trPr>
        <w:tc>
          <w:tcPr>
            <w:tcW w:w="7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Change in contingent consideration</w:t>
            </w:r>
          </w:p>
        </w:tc>
        <w:tc>
          <w:tcPr>
            <w:tcW w:w="10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2,213</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346</w:t>
            </w:r>
          </w:p>
        </w:tc>
      </w:tr>
      <w:tr>
        <w:trPr>
          <w:trHeight w:val="142"/>
        </w:trPr>
        <w:tc>
          <w:tcPr>
            <w:tcW w:w="79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Other non-cash items, net</w:t>
            </w:r>
          </w:p>
        </w:tc>
        <w:tc>
          <w:tcPr>
            <w:tcW w:w="10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(929)</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(461)</w:t>
            </w:r>
          </w:p>
        </w:tc>
      </w:tr>
      <w:tr>
        <w:trPr>
          <w:trHeight w:val="146"/>
        </w:trPr>
        <w:tc>
          <w:tcPr>
            <w:tcW w:w="7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Change in operating assets and liabilities:</w:t>
            </w:r>
          </w:p>
        </w:tc>
        <w:tc>
          <w:tcPr>
            <w:tcW w:w="10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42"/>
        </w:trPr>
        <w:tc>
          <w:tcPr>
            <w:tcW w:w="79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Accounts receivable</w:t>
            </w:r>
          </w:p>
        </w:tc>
        <w:tc>
          <w:tcPr>
            <w:tcW w:w="10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(7,145)</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18,066</w:t>
            </w:r>
          </w:p>
        </w:tc>
      </w:tr>
      <w:tr>
        <w:trPr>
          <w:trHeight w:val="146"/>
        </w:trPr>
        <w:tc>
          <w:tcPr>
            <w:tcW w:w="7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10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(1,148)</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(3,560)</w:t>
            </w:r>
          </w:p>
        </w:tc>
      </w:tr>
      <w:tr>
        <w:trPr>
          <w:trHeight w:val="142"/>
        </w:trPr>
        <w:tc>
          <w:tcPr>
            <w:tcW w:w="79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Income taxes (receivable) payable</w:t>
            </w:r>
          </w:p>
        </w:tc>
        <w:tc>
          <w:tcPr>
            <w:tcW w:w="10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(5,037)</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498</w:t>
            </w:r>
          </w:p>
        </w:tc>
      </w:tr>
      <w:tr>
        <w:trPr>
          <w:trHeight w:val="146"/>
        </w:trPr>
        <w:tc>
          <w:tcPr>
            <w:tcW w:w="7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Notes receivable</w:t>
            </w:r>
          </w:p>
        </w:tc>
        <w:tc>
          <w:tcPr>
            <w:tcW w:w="10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(584)</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(389)</w:t>
            </w:r>
          </w:p>
        </w:tc>
      </w:tr>
      <w:tr>
        <w:trPr>
          <w:trHeight w:val="142"/>
        </w:trPr>
        <w:tc>
          <w:tcPr>
            <w:tcW w:w="79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Accounts payable and other accrued liabilities</w:t>
            </w:r>
          </w:p>
        </w:tc>
        <w:tc>
          <w:tcPr>
            <w:tcW w:w="10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13,291</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1,306</w:t>
            </w:r>
          </w:p>
        </w:tc>
      </w:tr>
      <w:tr>
        <w:trPr>
          <w:trHeight w:val="146"/>
        </w:trPr>
        <w:tc>
          <w:tcPr>
            <w:tcW w:w="7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Customer deposits and advance payments</w:t>
            </w:r>
          </w:p>
        </w:tc>
        <w:tc>
          <w:tcPr>
            <w:tcW w:w="10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(365)</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635</w:t>
            </w:r>
          </w:p>
        </w:tc>
      </w:tr>
      <w:tr>
        <w:trPr>
          <w:trHeight w:val="142"/>
        </w:trPr>
        <w:tc>
          <w:tcPr>
            <w:tcW w:w="79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1"/>
                <w:szCs w:val="11"/>
                <w:color w:val="auto"/>
              </w:rPr>
              <w:t>Other assets and liabilities, net</w:t>
            </w:r>
          </w:p>
        </w:tc>
        <w:tc>
          <w:tcPr>
            <w:tcW w:w="10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(5,859)</w:t>
            </w:r>
          </w:p>
        </w:tc>
        <w:tc>
          <w:tcPr>
            <w:tcW w:w="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(383)</w:t>
            </w:r>
          </w:p>
        </w:tc>
      </w:tr>
      <w:tr>
        <w:trPr>
          <w:trHeight w:val="135"/>
        </w:trPr>
        <w:tc>
          <w:tcPr>
            <w:tcW w:w="7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rPr>
              <w:t>Net cash provided by operating activities</w:t>
            </w:r>
          </w:p>
        </w:tc>
        <w:tc>
          <w:tcPr>
            <w:tcW w:w="10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42,007</w:t>
            </w:r>
          </w:p>
        </w:tc>
        <w:tc>
          <w:tcPr>
            <w:tcW w:w="80" w:type="dxa"/>
            <w:vAlign w:val="bottom"/>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46,857</w:t>
            </w:r>
          </w:p>
        </w:tc>
      </w:tr>
      <w:tr>
        <w:trPr>
          <w:trHeight w:val="123"/>
        </w:trPr>
        <w:tc>
          <w:tcPr>
            <w:tcW w:w="79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Cash flows from investing activities:</w:t>
            </w:r>
          </w:p>
        </w:tc>
        <w:tc>
          <w:tcPr>
            <w:tcW w:w="10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145"/>
        </w:trPr>
        <w:tc>
          <w:tcPr>
            <w:tcW w:w="7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Additions to property, equipment and software</w:t>
            </w:r>
          </w:p>
        </w:tc>
        <w:tc>
          <w:tcPr>
            <w:tcW w:w="10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(11,718)</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(9,869)</w:t>
            </w:r>
          </w:p>
        </w:tc>
      </w:tr>
      <w:tr>
        <w:trPr>
          <w:trHeight w:val="142"/>
        </w:trPr>
        <w:tc>
          <w:tcPr>
            <w:tcW w:w="79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Notes receivable, net</w:t>
            </w:r>
          </w:p>
        </w:tc>
        <w:tc>
          <w:tcPr>
            <w:tcW w:w="10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(1,406)</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(498)</w:t>
            </w:r>
          </w:p>
        </w:tc>
      </w:tr>
      <w:tr>
        <w:trPr>
          <w:trHeight w:val="146"/>
        </w:trPr>
        <w:tc>
          <w:tcPr>
            <w:tcW w:w="7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Acquisitions of assets and other investing activities</w:t>
            </w:r>
          </w:p>
        </w:tc>
        <w:tc>
          <w:tcPr>
            <w:tcW w:w="10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(7,474)</w:t>
            </w:r>
          </w:p>
        </w:tc>
        <w:tc>
          <w:tcPr>
            <w:tcW w:w="8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(2,715)</w:t>
            </w:r>
          </w:p>
        </w:tc>
      </w:tr>
      <w:tr>
        <w:trPr>
          <w:trHeight w:val="132"/>
        </w:trPr>
        <w:tc>
          <w:tcPr>
            <w:tcW w:w="79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b w:val="1"/>
                <w:bCs w:val="1"/>
                <w:color w:val="auto"/>
              </w:rPr>
              <w:t>Net cash used in investing activities</w:t>
            </w:r>
          </w:p>
        </w:tc>
        <w:tc>
          <w:tcPr>
            <w:tcW w:w="10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(20,598)</w:t>
            </w:r>
          </w:p>
        </w:tc>
        <w:tc>
          <w:tcPr>
            <w:tcW w:w="8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(13,082)</w:t>
            </w:r>
          </w:p>
        </w:tc>
      </w:tr>
      <w:tr>
        <w:trPr>
          <w:trHeight w:val="125"/>
        </w:trPr>
        <w:tc>
          <w:tcPr>
            <w:tcW w:w="7900" w:type="dxa"/>
            <w:vAlign w:val="bottom"/>
            <w:shd w:val="clear" w:color="auto" w:fill="CCEEFF"/>
          </w:tcPr>
          <w:p>
            <w:pPr>
              <w:ind w:left="20"/>
              <w:spacing w:after="0" w:line="123" w:lineRule="exact"/>
              <w:rPr>
                <w:sz w:val="20"/>
                <w:szCs w:val="20"/>
                <w:color w:val="auto"/>
              </w:rPr>
            </w:pPr>
            <w:r>
              <w:rPr>
                <w:rFonts w:ascii="Times New Roman" w:cs="Times New Roman" w:eastAsia="Times New Roman" w:hAnsi="Times New Roman"/>
                <w:sz w:val="11"/>
                <w:szCs w:val="11"/>
                <w:b w:val="1"/>
                <w:bCs w:val="1"/>
                <w:color w:val="auto"/>
              </w:rPr>
              <w:t>Cash flows from financing activities:</w:t>
            </w:r>
          </w:p>
        </w:tc>
        <w:tc>
          <w:tcPr>
            <w:tcW w:w="10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r>
      <w:tr>
        <w:trPr>
          <w:trHeight w:val="142"/>
        </w:trPr>
        <w:tc>
          <w:tcPr>
            <w:tcW w:w="79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Proceeds from issuance of long-term debt, net of issue discount</w:t>
            </w:r>
          </w:p>
        </w:tc>
        <w:tc>
          <w:tcPr>
            <w:tcW w:w="10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830,200</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6"/>
        </w:trPr>
        <w:tc>
          <w:tcPr>
            <w:tcW w:w="7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Debt issuance and modification costs paid</w:t>
            </w:r>
          </w:p>
        </w:tc>
        <w:tc>
          <w:tcPr>
            <w:tcW w:w="10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(7,555)</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2"/>
        </w:trPr>
        <w:tc>
          <w:tcPr>
            <w:tcW w:w="79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Repayments of long-term debt</w:t>
            </w:r>
          </w:p>
        </w:tc>
        <w:tc>
          <w:tcPr>
            <w:tcW w:w="10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(654,372)</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(3,525)</w:t>
            </w:r>
          </w:p>
        </w:tc>
      </w:tr>
      <w:tr>
        <w:trPr>
          <w:trHeight w:val="146"/>
        </w:trPr>
        <w:tc>
          <w:tcPr>
            <w:tcW w:w="7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Borrowings under revolving credit facility</w:t>
            </w:r>
          </w:p>
        </w:tc>
        <w:tc>
          <w:tcPr>
            <w:tcW w:w="10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5,000</w:t>
            </w:r>
          </w:p>
        </w:tc>
      </w:tr>
      <w:tr>
        <w:trPr>
          <w:trHeight w:val="142"/>
        </w:trPr>
        <w:tc>
          <w:tcPr>
            <w:tcW w:w="79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Repayments of borrowings under revolving credit facility</w:t>
            </w:r>
          </w:p>
        </w:tc>
        <w:tc>
          <w:tcPr>
            <w:tcW w:w="100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(12,000)</w:t>
            </w:r>
          </w:p>
        </w:tc>
      </w:tr>
      <w:tr>
        <w:trPr>
          <w:trHeight w:val="146"/>
        </w:trPr>
        <w:tc>
          <w:tcPr>
            <w:tcW w:w="7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Redemption of PHOT redeemable NCI</w:t>
            </w:r>
          </w:p>
        </w:tc>
        <w:tc>
          <w:tcPr>
            <w:tcW w:w="10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(2,130)</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2"/>
        </w:trPr>
        <w:tc>
          <w:tcPr>
            <w:tcW w:w="79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Repurchases of shares withheld for taxes</w:t>
            </w:r>
          </w:p>
        </w:tc>
        <w:tc>
          <w:tcPr>
            <w:tcW w:w="10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(604)</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(1,018)</w:t>
            </w:r>
          </w:p>
        </w:tc>
      </w:tr>
      <w:tr>
        <w:trPr>
          <w:trHeight w:val="146"/>
        </w:trPr>
        <w:tc>
          <w:tcPr>
            <w:tcW w:w="7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Redemption of senior preferred stock</w:t>
            </w:r>
          </w:p>
        </w:tc>
        <w:tc>
          <w:tcPr>
            <w:tcW w:w="10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(136,936)</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2"/>
        </w:trPr>
        <w:tc>
          <w:tcPr>
            <w:tcW w:w="79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Redemption of accumulated unpaid dividend on redeemable senior preferred stock</w:t>
            </w:r>
          </w:p>
        </w:tc>
        <w:tc>
          <w:tcPr>
            <w:tcW w:w="10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(30,819)</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6"/>
        </w:trPr>
        <w:tc>
          <w:tcPr>
            <w:tcW w:w="7900" w:type="dxa"/>
            <w:vAlign w:val="bottom"/>
            <w:shd w:val="clear" w:color="auto" w:fill="CCEEFF"/>
          </w:tcPr>
          <w:p>
            <w:pPr>
              <w:ind w:left="80"/>
              <w:spacing w:after="0" w:line="146" w:lineRule="exact"/>
              <w:rPr>
                <w:sz w:val="20"/>
                <w:szCs w:val="20"/>
                <w:color w:val="auto"/>
              </w:rPr>
            </w:pPr>
            <w:r>
              <w:rPr>
                <w:rFonts w:ascii="Times New Roman" w:cs="Times New Roman" w:eastAsia="Times New Roman" w:hAnsi="Times New Roman"/>
                <w:sz w:val="11"/>
                <w:szCs w:val="11"/>
                <w:color w:val="auto"/>
              </w:rPr>
              <w:t>Dividends paid to redeemable senior preferred stockholders</w:t>
            </w:r>
            <w:r>
              <w:rPr>
                <w:rFonts w:ascii="Times New Roman" w:cs="Times New Roman" w:eastAsia="Times New Roman" w:hAnsi="Times New Roman"/>
                <w:sz w:val="14"/>
                <w:szCs w:val="14"/>
                <w:color w:val="auto"/>
                <w:vertAlign w:val="superscript"/>
              </w:rPr>
              <w:t>1</w:t>
            </w:r>
          </w:p>
        </w:tc>
        <w:tc>
          <w:tcPr>
            <w:tcW w:w="10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(16,393)</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(17,908)</w:t>
            </w:r>
          </w:p>
        </w:tc>
      </w:tr>
      <w:tr>
        <w:trPr>
          <w:trHeight w:val="142"/>
        </w:trPr>
        <w:tc>
          <w:tcPr>
            <w:tcW w:w="79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Settlement and customer/subscriber accounts obligations, net</w:t>
            </w:r>
          </w:p>
        </w:tc>
        <w:tc>
          <w:tcPr>
            <w:tcW w:w="10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40,914</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175,548</w:t>
            </w:r>
          </w:p>
        </w:tc>
      </w:tr>
      <w:tr>
        <w:trPr>
          <w:trHeight w:val="146"/>
        </w:trPr>
        <w:tc>
          <w:tcPr>
            <w:tcW w:w="7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Payment of contingent consideration related to business combination</w:t>
            </w:r>
          </w:p>
        </w:tc>
        <w:tc>
          <w:tcPr>
            <w:tcW w:w="10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(4,156)</w:t>
            </w:r>
          </w:p>
        </w:tc>
        <w:tc>
          <w:tcPr>
            <w:tcW w:w="8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(1,959)</w:t>
            </w:r>
          </w:p>
        </w:tc>
      </w:tr>
      <w:tr>
        <w:trPr>
          <w:trHeight w:val="132"/>
        </w:trPr>
        <w:tc>
          <w:tcPr>
            <w:tcW w:w="79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b w:val="1"/>
                <w:bCs w:val="1"/>
                <w:color w:val="auto"/>
              </w:rPr>
              <w:t>Net cash provided by financing activities</w:t>
            </w:r>
          </w:p>
        </w:tc>
        <w:tc>
          <w:tcPr>
            <w:tcW w:w="10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18,149</w:t>
            </w:r>
          </w:p>
        </w:tc>
        <w:tc>
          <w:tcPr>
            <w:tcW w:w="8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144,138</w:t>
            </w:r>
          </w:p>
        </w:tc>
      </w:tr>
      <w:tr>
        <w:trPr>
          <w:trHeight w:val="125"/>
        </w:trPr>
        <w:tc>
          <w:tcPr>
            <w:tcW w:w="7900" w:type="dxa"/>
            <w:vAlign w:val="bottom"/>
            <w:shd w:val="clear" w:color="auto" w:fill="CCEEFF"/>
          </w:tcPr>
          <w:p>
            <w:pPr>
              <w:ind w:left="20"/>
              <w:spacing w:after="0" w:line="123" w:lineRule="exact"/>
              <w:rPr>
                <w:sz w:val="20"/>
                <w:szCs w:val="20"/>
                <w:color w:val="auto"/>
              </w:rPr>
            </w:pPr>
            <w:r>
              <w:rPr>
                <w:rFonts w:ascii="Times New Roman" w:cs="Times New Roman" w:eastAsia="Times New Roman" w:hAnsi="Times New Roman"/>
                <w:sz w:val="11"/>
                <w:szCs w:val="11"/>
                <w:b w:val="1"/>
                <w:bCs w:val="1"/>
                <w:color w:val="auto"/>
              </w:rPr>
              <w:t>Net change in cash and cash equivalents and restricted cash:</w:t>
            </w:r>
          </w:p>
        </w:tc>
        <w:tc>
          <w:tcPr>
            <w:tcW w:w="10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r>
      <w:tr>
        <w:trPr>
          <w:trHeight w:val="142"/>
        </w:trPr>
        <w:tc>
          <w:tcPr>
            <w:tcW w:w="79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Net increase in cash and cash equivalents, and restricted cash</w:t>
            </w:r>
          </w:p>
        </w:tc>
        <w:tc>
          <w:tcPr>
            <w:tcW w:w="10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39,558</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177,913</w:t>
            </w:r>
          </w:p>
        </w:tc>
      </w:tr>
      <w:tr>
        <w:trPr>
          <w:trHeight w:val="144"/>
        </w:trPr>
        <w:tc>
          <w:tcPr>
            <w:tcW w:w="7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Cash and cash equivalents and restricted cash at beginning of period</w:t>
            </w:r>
          </w:p>
        </w:tc>
        <w:tc>
          <w:tcPr>
            <w:tcW w:w="10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796,223</w:t>
            </w:r>
          </w:p>
        </w:tc>
        <w:tc>
          <w:tcPr>
            <w:tcW w:w="8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560,610</w:t>
            </w:r>
          </w:p>
        </w:tc>
      </w:tr>
      <w:tr>
        <w:trPr>
          <w:trHeight w:val="135"/>
        </w:trPr>
        <w:tc>
          <w:tcPr>
            <w:tcW w:w="79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Cash and cash equivalents and restricted cash at end of period</w:t>
            </w:r>
          </w:p>
        </w:tc>
        <w:tc>
          <w:tcPr>
            <w:tcW w:w="1000" w:type="dxa"/>
            <w:vAlign w:val="bottom"/>
            <w:tcBorders>
              <w:bottom w:val="single" w:sz="8" w:color="auto"/>
            </w:tcBorders>
          </w:tcPr>
          <w:p>
            <w:pPr>
              <w:jc w:val="right"/>
              <w:ind w:right="8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835,781</w:t>
            </w:r>
          </w:p>
        </w:tc>
        <w:tc>
          <w:tcPr>
            <w:tcW w:w="80" w:type="dxa"/>
            <w:vAlign w:val="bottom"/>
          </w:tcPr>
          <w:p>
            <w:pPr>
              <w:spacing w:after="0"/>
              <w:rPr>
                <w:sz w:val="11"/>
                <w:szCs w:val="11"/>
                <w:color w:val="auto"/>
              </w:rPr>
            </w:pPr>
          </w:p>
        </w:tc>
        <w:tc>
          <w:tcPr>
            <w:tcW w:w="64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738,523</w:t>
            </w:r>
          </w:p>
        </w:tc>
      </w:tr>
      <w:tr>
        <w:trPr>
          <w:trHeight w:val="20"/>
        </w:trPr>
        <w:tc>
          <w:tcPr>
            <w:tcW w:w="79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Priority Technology Holdings, Inc</w:t>
      </w:r>
      <w:r>
        <w:rPr>
          <w:rFonts w:ascii="Times New Roman" w:cs="Times New Roman" w:eastAsia="Times New Roman" w:hAnsi="Times New Roman"/>
          <w:sz w:val="12"/>
          <w:szCs w:val="12"/>
          <w:color w:val="auto"/>
        </w:rPr>
        <w: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 Consolidated Statements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c>
          <w:tcPr>
            <w:tcW w:w="1000" w:type="dxa"/>
            <w:vAlign w:val="bottom"/>
            <w:tcBorders>
              <w:bottom w:val="single" w:sz="8" w:color="auto"/>
            </w:tcBorders>
          </w:tcPr>
          <w:p>
            <w:pPr>
              <w:spacing w:after="0"/>
              <w:rPr>
                <w:sz w:val="12"/>
                <w:szCs w:val="12"/>
                <w:color w:val="auto"/>
              </w:rPr>
            </w:pPr>
          </w:p>
        </w:tc>
      </w:tr>
      <w:tr>
        <w:trPr>
          <w:trHeight w:val="134"/>
        </w:trPr>
        <w:tc>
          <w:tcPr>
            <w:tcW w:w="4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0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2024</w:t>
            </w:r>
          </w:p>
        </w:tc>
        <w:tc>
          <w:tcPr>
            <w:tcW w:w="6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666"/>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2"/>
        </w:trPr>
        <w:tc>
          <w:tcPr>
            <w:tcW w:w="4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44"/>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Reconciliation of cash and cash equivalents, and restricted cash:</w:t>
            </w:r>
          </w:p>
        </w:tc>
        <w:tc>
          <w:tcPr>
            <w:tcW w:w="10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42"/>
        </w:trPr>
        <w:tc>
          <w:tcPr>
            <w:tcW w:w="7900" w:type="dxa"/>
            <w:vAlign w:val="bottom"/>
            <w:gridSpan w:val="3"/>
          </w:tcPr>
          <w:p>
            <w:pPr>
              <w:ind w:left="8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000" w:type="dxa"/>
            <w:vAlign w:val="bottom"/>
          </w:tcPr>
          <w:p>
            <w:pPr>
              <w:jc w:val="right"/>
              <w:ind w:right="88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34,626</w:t>
            </w:r>
          </w:p>
        </w:tc>
        <w:tc>
          <w:tcPr>
            <w:tcW w:w="80" w:type="dxa"/>
            <w:vAlign w:val="bottom"/>
          </w:tcPr>
          <w:p>
            <w:pPr>
              <w:spacing w:after="0"/>
              <w:rPr>
                <w:sz w:val="12"/>
                <w:szCs w:val="12"/>
                <w:color w:val="auto"/>
              </w:rPr>
            </w:pPr>
          </w:p>
        </w:tc>
        <w:tc>
          <w:tcPr>
            <w:tcW w:w="640" w:type="dxa"/>
            <w:vAlign w:val="bottom"/>
          </w:tcPr>
          <w:p>
            <w:pPr>
              <w:jc w:val="right"/>
              <w:ind w:right="5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17,567</w:t>
            </w:r>
          </w:p>
        </w:tc>
      </w:tr>
      <w:tr>
        <w:trPr>
          <w:trHeight w:val="146"/>
        </w:trPr>
        <w:tc>
          <w:tcPr>
            <w:tcW w:w="79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Restricted cash</w:t>
            </w:r>
          </w:p>
        </w:tc>
        <w:tc>
          <w:tcPr>
            <w:tcW w:w="10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12,625</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12,357</w:t>
            </w:r>
          </w:p>
        </w:tc>
      </w:tr>
      <w:tr>
        <w:trPr>
          <w:trHeight w:val="117"/>
        </w:trPr>
        <w:tc>
          <w:tcPr>
            <w:tcW w:w="7900" w:type="dxa"/>
            <w:vAlign w:val="bottom"/>
            <w:gridSpan w:val="3"/>
          </w:tcPr>
          <w:p>
            <w:pPr>
              <w:ind w:left="80"/>
              <w:spacing w:after="0" w:line="117" w:lineRule="exact"/>
              <w:rPr>
                <w:sz w:val="20"/>
                <w:szCs w:val="20"/>
                <w:color w:val="auto"/>
              </w:rPr>
            </w:pPr>
            <w:r>
              <w:rPr>
                <w:rFonts w:ascii="Times New Roman" w:cs="Times New Roman" w:eastAsia="Times New Roman" w:hAnsi="Times New Roman"/>
                <w:sz w:val="11"/>
                <w:szCs w:val="11"/>
                <w:color w:val="auto"/>
              </w:rPr>
              <w:t xml:space="preserve">Cash and cash equivalents included in settlement assets and customer/subscriber account balances (see </w:t>
            </w:r>
            <w:r>
              <w:rPr>
                <w:rFonts w:ascii="Times New Roman" w:cs="Times New Roman" w:eastAsia="Times New Roman" w:hAnsi="Times New Roman"/>
                <w:sz w:val="11"/>
                <w:szCs w:val="11"/>
                <w:color w:val="0000FF"/>
              </w:rPr>
              <w:t>Note 4</w:t>
            </w:r>
            <w:r>
              <w:rPr>
                <w:rFonts w:ascii="Times New Roman" w:cs="Times New Roman" w:eastAsia="Times New Roman" w:hAnsi="Times New Roman"/>
                <w:sz w:val="11"/>
                <w:szCs w:val="11"/>
                <w:color w:val="auto"/>
              </w:rPr>
              <w:t>)</w:t>
            </w:r>
          </w:p>
        </w:tc>
        <w:tc>
          <w:tcPr>
            <w:tcW w:w="1000" w:type="dxa"/>
            <w:vAlign w:val="bottom"/>
          </w:tcPr>
          <w:p>
            <w:pPr>
              <w:spacing w:after="0"/>
              <w:rPr>
                <w:sz w:val="10"/>
                <w:szCs w:val="10"/>
                <w:color w:val="auto"/>
              </w:rPr>
            </w:pPr>
          </w:p>
        </w:tc>
        <w:tc>
          <w:tcPr>
            <w:tcW w:w="6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788,530</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708,599</w:t>
            </w:r>
          </w:p>
        </w:tc>
      </w:tr>
      <w:tr>
        <w:trPr>
          <w:trHeight w:val="20"/>
        </w:trPr>
        <w:tc>
          <w:tcPr>
            <w:tcW w:w="456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0000FF"/>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36"/>
        </w:trPr>
        <w:tc>
          <w:tcPr>
            <w:tcW w:w="7900" w:type="dxa"/>
            <w:vAlign w:val="bottom"/>
            <w:tcBorders>
              <w:bottom w:val="single" w:sz="8" w:color="CCEEFF"/>
            </w:tcBorders>
            <w:gridSpan w:val="3"/>
            <w:shd w:val="clear" w:color="auto" w:fill="CCEEFF"/>
          </w:tcPr>
          <w:p>
            <w:pPr>
              <w:ind w:left="160"/>
              <w:spacing w:after="0" w:line="120" w:lineRule="exact"/>
              <w:rPr>
                <w:sz w:val="20"/>
                <w:szCs w:val="20"/>
                <w:color w:val="auto"/>
              </w:rPr>
            </w:pPr>
            <w:r>
              <w:rPr>
                <w:rFonts w:ascii="Times New Roman" w:cs="Times New Roman" w:eastAsia="Times New Roman" w:hAnsi="Times New Roman"/>
                <w:sz w:val="11"/>
                <w:szCs w:val="11"/>
                <w:b w:val="1"/>
                <w:bCs w:val="1"/>
                <w:color w:val="auto"/>
              </w:rPr>
              <w:t>Total cash and cash equivalents, and restricted cash</w:t>
            </w:r>
          </w:p>
        </w:tc>
        <w:tc>
          <w:tcPr>
            <w:tcW w:w="1000" w:type="dxa"/>
            <w:vAlign w:val="bottom"/>
            <w:tcBorders>
              <w:bottom w:val="single" w:sz="8" w:color="auto"/>
            </w:tcBorders>
            <w:shd w:val="clear" w:color="auto" w:fill="CCEEFF"/>
          </w:tcPr>
          <w:p>
            <w:pPr>
              <w:jc w:val="right"/>
              <w:ind w:right="886"/>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835,781</w:t>
            </w:r>
          </w:p>
        </w:tc>
        <w:tc>
          <w:tcPr>
            <w:tcW w:w="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ind w:right="526"/>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738,523</w:t>
            </w:r>
          </w:p>
        </w:tc>
      </w:tr>
      <w:tr>
        <w:trPr>
          <w:trHeight w:val="153"/>
        </w:trPr>
        <w:tc>
          <w:tcPr>
            <w:tcW w:w="4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44"/>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Supplemental cash flow information:</w:t>
            </w:r>
          </w:p>
        </w:tc>
        <w:tc>
          <w:tcPr>
            <w:tcW w:w="10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42"/>
        </w:trPr>
        <w:tc>
          <w:tcPr>
            <w:tcW w:w="7900" w:type="dxa"/>
            <w:vAlign w:val="bottom"/>
            <w:gridSpan w:val="3"/>
          </w:tcPr>
          <w:p>
            <w:pPr>
              <w:ind w:left="80"/>
              <w:spacing w:after="0"/>
              <w:rPr>
                <w:sz w:val="20"/>
                <w:szCs w:val="20"/>
                <w:color w:val="auto"/>
              </w:rPr>
            </w:pPr>
            <w:r>
              <w:rPr>
                <w:rFonts w:ascii="Times New Roman" w:cs="Times New Roman" w:eastAsia="Times New Roman" w:hAnsi="Times New Roman"/>
                <w:sz w:val="11"/>
                <w:szCs w:val="11"/>
                <w:color w:val="auto"/>
              </w:rPr>
              <w:t>Cash paid for interest</w:t>
            </w:r>
          </w:p>
        </w:tc>
        <w:tc>
          <w:tcPr>
            <w:tcW w:w="1000" w:type="dxa"/>
            <w:vAlign w:val="bottom"/>
          </w:tcPr>
          <w:p>
            <w:pPr>
              <w:jc w:val="right"/>
              <w:ind w:right="88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35,934</w:t>
            </w:r>
          </w:p>
        </w:tc>
        <w:tc>
          <w:tcPr>
            <w:tcW w:w="80" w:type="dxa"/>
            <w:vAlign w:val="bottom"/>
          </w:tcPr>
          <w:p>
            <w:pPr>
              <w:spacing w:after="0"/>
              <w:rPr>
                <w:sz w:val="12"/>
                <w:szCs w:val="12"/>
                <w:color w:val="auto"/>
              </w:rPr>
            </w:pPr>
          </w:p>
        </w:tc>
        <w:tc>
          <w:tcPr>
            <w:tcW w:w="640" w:type="dxa"/>
            <w:vAlign w:val="bottom"/>
          </w:tcPr>
          <w:p>
            <w:pPr>
              <w:jc w:val="right"/>
              <w:ind w:right="5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35,234</w:t>
            </w:r>
          </w:p>
        </w:tc>
      </w:tr>
      <w:tr>
        <w:trPr>
          <w:trHeight w:val="146"/>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Non-cash investing and financing activities:</w:t>
            </w:r>
          </w:p>
        </w:tc>
        <w:tc>
          <w:tcPr>
            <w:tcW w:w="10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42"/>
        </w:trPr>
        <w:tc>
          <w:tcPr>
            <w:tcW w:w="7900" w:type="dxa"/>
            <w:vAlign w:val="bottom"/>
            <w:gridSpan w:val="3"/>
          </w:tcPr>
          <w:p>
            <w:pPr>
              <w:ind w:left="80"/>
              <w:spacing w:after="0"/>
              <w:rPr>
                <w:sz w:val="20"/>
                <w:szCs w:val="20"/>
                <w:color w:val="auto"/>
              </w:rPr>
            </w:pPr>
            <w:r>
              <w:rPr>
                <w:rFonts w:ascii="Times New Roman" w:cs="Times New Roman" w:eastAsia="Times New Roman" w:hAnsi="Times New Roman"/>
                <w:sz w:val="11"/>
                <w:szCs w:val="11"/>
                <w:color w:val="auto"/>
              </w:rPr>
              <w:t>Contingent consideration accrual</w:t>
            </w:r>
          </w:p>
        </w:tc>
        <w:tc>
          <w:tcPr>
            <w:tcW w:w="1000" w:type="dxa"/>
            <w:vAlign w:val="bottom"/>
          </w:tcPr>
          <w:p>
            <w:pPr>
              <w:jc w:val="right"/>
              <w:ind w:right="88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5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596</w:t>
            </w:r>
          </w:p>
        </w:tc>
      </w:tr>
      <w:tr>
        <w:trPr>
          <w:trHeight w:val="146"/>
        </w:trPr>
        <w:tc>
          <w:tcPr>
            <w:tcW w:w="79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Acquisition of intangible asset</w:t>
            </w:r>
          </w:p>
        </w:tc>
        <w:tc>
          <w:tcPr>
            <w:tcW w:w="1000" w:type="dxa"/>
            <w:vAlign w:val="bottom"/>
            <w:shd w:val="clear" w:color="auto" w:fill="CCEEFF"/>
          </w:tcPr>
          <w:p>
            <w:pPr>
              <w:jc w:val="right"/>
              <w:ind w:right="88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(5,751)</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5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193</w:t>
            </w:r>
          </w:p>
        </w:tc>
      </w:tr>
      <w:tr>
        <w:trPr>
          <w:trHeight w:val="140"/>
        </w:trPr>
        <w:tc>
          <w:tcPr>
            <w:tcW w:w="7900" w:type="dxa"/>
            <w:vAlign w:val="bottom"/>
            <w:gridSpan w:val="3"/>
          </w:tcPr>
          <w:p>
            <w:pPr>
              <w:ind w:left="80"/>
              <w:spacing w:after="0"/>
              <w:rPr>
                <w:sz w:val="20"/>
                <w:szCs w:val="20"/>
                <w:color w:val="auto"/>
              </w:rPr>
            </w:pPr>
            <w:r>
              <w:rPr>
                <w:rFonts w:ascii="Times New Roman" w:cs="Times New Roman" w:eastAsia="Times New Roman" w:hAnsi="Times New Roman"/>
                <w:sz w:val="11"/>
                <w:szCs w:val="11"/>
                <w:color w:val="auto"/>
              </w:rPr>
              <w:t>Issuance of NCI</w:t>
            </w:r>
          </w:p>
        </w:tc>
        <w:tc>
          <w:tcPr>
            <w:tcW w:w="1000" w:type="dxa"/>
            <w:vAlign w:val="bottom"/>
          </w:tcPr>
          <w:p>
            <w:pPr>
              <w:jc w:val="right"/>
              <w:ind w:right="88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w:t>
            </w:r>
          </w:p>
        </w:tc>
        <w:tc>
          <w:tcPr>
            <w:tcW w:w="80" w:type="dxa"/>
            <w:vAlign w:val="bottom"/>
          </w:tcPr>
          <w:p>
            <w:pPr>
              <w:spacing w:after="0"/>
              <w:rPr>
                <w:sz w:val="12"/>
                <w:szCs w:val="12"/>
                <w:color w:val="auto"/>
              </w:rPr>
            </w:pPr>
          </w:p>
        </w:tc>
        <w:tc>
          <w:tcPr>
            <w:tcW w:w="640" w:type="dxa"/>
            <w:vAlign w:val="bottom"/>
          </w:tcPr>
          <w:p>
            <w:pPr>
              <w:jc w:val="right"/>
              <w:ind w:right="5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bl>
    <w:p>
      <w:pPr>
        <w:spacing w:after="0" w:line="196" w:lineRule="exact"/>
        <w:rPr>
          <w:sz w:val="20"/>
          <w:szCs w:val="20"/>
          <w:color w:val="auto"/>
        </w:rPr>
      </w:pPr>
    </w:p>
    <w:p>
      <w:pPr>
        <w:ind w:left="420" w:hanging="212"/>
        <w:spacing w:after="0"/>
        <w:tabs>
          <w:tab w:leader="none" w:pos="420" w:val="left"/>
        </w:tabs>
        <w:numPr>
          <w:ilvl w:val="0"/>
          <w:numId w:val="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dividend payable for the quarter ended June 30, 2024, was paid on July 1, 2024.</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xml:space="preserve">See </w:t>
      </w:r>
      <w:r>
        <w:rPr>
          <w:rFonts w:ascii="Times New Roman" w:cs="Times New Roman" w:eastAsia="Times New Roman" w:hAnsi="Times New Roman"/>
          <w:sz w:val="12"/>
          <w:szCs w:val="12"/>
          <w:u w:val="single" w:color="auto"/>
          <w:color w:val="0000FF"/>
        </w:rPr>
        <w:t>Notes to Unaudited Consolidated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 w:name="page10"/>
    <w:bookmarkEnd w:id="9"/>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46"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b w:val="1"/>
          <w:bCs w:val="1"/>
          <w:color w:val="auto"/>
        </w:rPr>
        <w:t>Priority Technology Holdings, Inc.</w:t>
      </w:r>
    </w:p>
    <w:p>
      <w:pPr>
        <w:spacing w:after="0" w:line="21"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b w:val="1"/>
          <w:bCs w:val="1"/>
          <w:color w:val="auto"/>
        </w:rPr>
        <w:t>Notes to Unaudited Consolidated Financial Statements</w:t>
      </w:r>
    </w:p>
    <w:p>
      <w:pPr>
        <w:spacing w:after="0" w:line="200" w:lineRule="exact"/>
        <w:rPr>
          <w:sz w:val="20"/>
          <w:szCs w:val="20"/>
          <w:color w:val="auto"/>
        </w:rPr>
      </w:pPr>
    </w:p>
    <w:p>
      <w:pPr>
        <w:spacing w:after="0" w:line="277" w:lineRule="exact"/>
        <w:rPr>
          <w:sz w:val="20"/>
          <w:szCs w:val="20"/>
          <w:color w:val="auto"/>
        </w:rPr>
      </w:pPr>
    </w:p>
    <w:p>
      <w:pPr>
        <w:ind w:left="208" w:hanging="208"/>
        <w:spacing w:after="0"/>
        <w:tabs>
          <w:tab w:leader="none" w:pos="208" w:val="left"/>
        </w:tabs>
        <w:numPr>
          <w:ilvl w:val="0"/>
          <w:numId w:val="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Basis of Presentation and Significant Accounting Policies</w:t>
      </w:r>
    </w:p>
    <w:p>
      <w:pPr>
        <w:spacing w:after="0" w:line="1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Business, Consolidation and Presentation</w:t>
      </w:r>
    </w:p>
    <w:p>
      <w:pPr>
        <w:spacing w:after="0" w:line="152" w:lineRule="exact"/>
        <w:rPr>
          <w:sz w:val="20"/>
          <w:szCs w:val="20"/>
          <w:color w:val="auto"/>
        </w:rPr>
      </w:pPr>
    </w:p>
    <w:p>
      <w:pPr>
        <w:ind w:left="8" w:right="460"/>
        <w:spacing w:after="0" w:line="279" w:lineRule="auto"/>
        <w:rPr>
          <w:sz w:val="20"/>
          <w:szCs w:val="20"/>
          <w:color w:val="auto"/>
        </w:rPr>
      </w:pPr>
      <w:r>
        <w:rPr>
          <w:rFonts w:ascii="Times New Roman" w:cs="Times New Roman" w:eastAsia="Times New Roman" w:hAnsi="Times New Roman"/>
          <w:sz w:val="12"/>
          <w:szCs w:val="12"/>
          <w:color w:val="auto"/>
        </w:rPr>
        <w:t>Priority Technology Holdings, Inc. is a holding company with no material operations of its own. Priority Technology Holdings, Inc. and its consolidated subsidiaries are referred to herein collectively as "Priority," "PRTH," the "Company," "we," "our" or "us," unless the context requires otherwise. Priority is a provider of merchant acquiring, integrated payment software, money transmission services and commercial payments solutions.</w:t>
      </w:r>
    </w:p>
    <w:p>
      <w:pPr>
        <w:spacing w:after="0" w:line="111" w:lineRule="exact"/>
        <w:rPr>
          <w:sz w:val="20"/>
          <w:szCs w:val="20"/>
          <w:color w:val="auto"/>
        </w:rPr>
      </w:pPr>
    </w:p>
    <w:p>
      <w:pPr>
        <w:ind w:left="8" w:right="100"/>
        <w:spacing w:after="0" w:line="279" w:lineRule="auto"/>
        <w:rPr>
          <w:sz w:val="20"/>
          <w:szCs w:val="20"/>
          <w:color w:val="auto"/>
        </w:rPr>
      </w:pPr>
      <w:r>
        <w:rPr>
          <w:rFonts w:ascii="Times New Roman" w:cs="Times New Roman" w:eastAsia="Times New Roman" w:hAnsi="Times New Roman"/>
          <w:sz w:val="12"/>
          <w:szCs w:val="12"/>
          <w:color w:val="auto"/>
        </w:rPr>
        <w:t>The Company operates on a calendar year ending each December 31 and on four calendar quarters ending on March 31, June 30, September 30 and December 31 of each year. Results of operations reported for interim periods are not necessarily indicative of results for the entire year.</w:t>
      </w:r>
    </w:p>
    <w:p>
      <w:pPr>
        <w:spacing w:after="0" w:line="111" w:lineRule="exact"/>
        <w:rPr>
          <w:sz w:val="20"/>
          <w:szCs w:val="20"/>
          <w:color w:val="auto"/>
        </w:rPr>
      </w:pPr>
    </w:p>
    <w:p>
      <w:pPr>
        <w:ind w:left="8"/>
        <w:spacing w:after="0" w:line="260" w:lineRule="auto"/>
        <w:rPr>
          <w:sz w:val="20"/>
          <w:szCs w:val="20"/>
          <w:color w:val="auto"/>
        </w:rPr>
      </w:pPr>
      <w:r>
        <w:rPr>
          <w:rFonts w:ascii="Times New Roman" w:cs="Times New Roman" w:eastAsia="Times New Roman" w:hAnsi="Times New Roman"/>
          <w:sz w:val="12"/>
          <w:szCs w:val="12"/>
          <w:color w:val="auto"/>
        </w:rPr>
        <w:t>The accompanying Unaudited Consolidated Financial Statements include the accounts of the Company and its majority-owned subsidiaries. All material intercompany balances and transactions have been eliminated in consolidation. These Unaudited Consolidated Financial Statements have been prepared in accordance with GAAP for interim financial information pursuant to the rules and regulations of the SEC. The Consolidated Balance Sheet as of December 31, 2023 was derived from the audited financial statements included in the Company's Annual Report on Form 10-K for the year ended December 31, 2023 but does not include all disclosures required by GAAP for annual financial statements.</w:t>
      </w:r>
    </w:p>
    <w:p>
      <w:pPr>
        <w:spacing w:after="0" w:line="122" w:lineRule="exact"/>
        <w:rPr>
          <w:sz w:val="20"/>
          <w:szCs w:val="20"/>
          <w:color w:val="auto"/>
        </w:rPr>
      </w:pPr>
    </w:p>
    <w:p>
      <w:pPr>
        <w:ind w:left="8" w:right="140"/>
        <w:spacing w:after="0" w:line="279" w:lineRule="auto"/>
        <w:rPr>
          <w:sz w:val="20"/>
          <w:szCs w:val="20"/>
          <w:color w:val="auto"/>
        </w:rPr>
      </w:pPr>
      <w:r>
        <w:rPr>
          <w:rFonts w:ascii="Times New Roman" w:cs="Times New Roman" w:eastAsia="Times New Roman" w:hAnsi="Times New Roman"/>
          <w:sz w:val="12"/>
          <w:szCs w:val="12"/>
          <w:color w:val="auto"/>
        </w:rPr>
        <w:t>NCI represents the equity interest in certain consolidated entities in which the Company owns less than 100% of the profit interests. Changes in the Company's ownership interest while the Company retains its controlling interest are accounted for as equity transactions. As of June 30, 2024, there was no income or loss attributable to NCI in accordance with the applicable operating agreements.</w:t>
      </w:r>
    </w:p>
    <w:p>
      <w:pPr>
        <w:spacing w:after="0" w:line="111" w:lineRule="exact"/>
        <w:rPr>
          <w:sz w:val="20"/>
          <w:szCs w:val="20"/>
          <w:color w:val="auto"/>
        </w:rPr>
      </w:pPr>
    </w:p>
    <w:p>
      <w:pPr>
        <w:ind w:left="8" w:right="60"/>
        <w:spacing w:after="0" w:line="265" w:lineRule="auto"/>
        <w:rPr>
          <w:sz w:val="20"/>
          <w:szCs w:val="20"/>
          <w:color w:val="auto"/>
        </w:rPr>
      </w:pPr>
      <w:r>
        <w:rPr>
          <w:rFonts w:ascii="Times New Roman" w:cs="Times New Roman" w:eastAsia="Times New Roman" w:hAnsi="Times New Roman"/>
          <w:sz w:val="12"/>
          <w:szCs w:val="12"/>
          <w:color w:val="auto"/>
        </w:rPr>
        <w:t>In the opinion of the Company's management, all known adjustments necessary for a fair presentation of the Unaudited Consolidated Financial Statements for interim periods have been made. These adjustments consist of normal recurring accruals and estimates that affect the carrying amounts of assets and liabilities. These Unaudited Consolidated Financial Statements should be read in conjunction with the Consolidated Financial Statements and notes thereto included in the Company's Annual Report on Form 10-K for the year ended December 31, 2023.</w:t>
      </w:r>
    </w:p>
    <w:p>
      <w:pPr>
        <w:spacing w:after="0" w:line="1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results for the three and six months ended June 30, 2024 include the results of the Plastiq business acquired through Chapter 11 bankruptcy process on July 31, 2023.</w:t>
      </w:r>
    </w:p>
    <w:p>
      <w:pPr>
        <w:spacing w:after="0" w:line="14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Use of Estimates</w:t>
      </w:r>
    </w:p>
    <w:p>
      <w:pPr>
        <w:spacing w:after="0" w:line="152" w:lineRule="exact"/>
        <w:rPr>
          <w:sz w:val="20"/>
          <w:szCs w:val="20"/>
          <w:color w:val="auto"/>
        </w:rPr>
      </w:pPr>
    </w:p>
    <w:p>
      <w:pPr>
        <w:ind w:left="8" w:right="60"/>
        <w:spacing w:after="0" w:line="327" w:lineRule="auto"/>
        <w:rPr>
          <w:sz w:val="20"/>
          <w:szCs w:val="20"/>
          <w:color w:val="auto"/>
        </w:rPr>
      </w:pPr>
      <w:r>
        <w:rPr>
          <w:rFonts w:ascii="Times New Roman" w:cs="Times New Roman" w:eastAsia="Times New Roman" w:hAnsi="Times New Roman"/>
          <w:sz w:val="11"/>
          <w:szCs w:val="11"/>
          <w:color w:val="auto"/>
        </w:rPr>
        <w:t>The preparation of Unaudited Consolidated Financial Statements in conformity with GAAP requires management to make estimates and assumptions that affect the reported amounts of assets and liabilities and the disclosure of contingent assets and liabilities at the date of the Unaudited Consolidated Financial Statements and the reported amounts of revenues and expenses during the reported period. Actual results could materially differ from those estimates.</w:t>
      </w:r>
    </w:p>
    <w:p>
      <w:pPr>
        <w:spacing w:after="0" w:line="8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Foreign Currency</w:t>
      </w:r>
    </w:p>
    <w:p>
      <w:pPr>
        <w:spacing w:after="0" w:line="152" w:lineRule="exact"/>
        <w:rPr>
          <w:sz w:val="20"/>
          <w:szCs w:val="20"/>
          <w:color w:val="auto"/>
        </w:rPr>
      </w:pPr>
    </w:p>
    <w:p>
      <w:pPr>
        <w:ind w:left="8"/>
        <w:spacing w:after="0" w:line="265" w:lineRule="auto"/>
        <w:rPr>
          <w:sz w:val="20"/>
          <w:szCs w:val="20"/>
          <w:color w:val="auto"/>
        </w:rPr>
      </w:pPr>
      <w:r>
        <w:rPr>
          <w:rFonts w:ascii="Times New Roman" w:cs="Times New Roman" w:eastAsia="Times New Roman" w:hAnsi="Times New Roman"/>
          <w:sz w:val="12"/>
          <w:szCs w:val="12"/>
          <w:color w:val="auto"/>
        </w:rPr>
        <w:t>The Company's reporting currency is the U.S. dollar. The functional currency of the Indian subsidiary of the Company is the Indian Rupee (i.e. local currency of Republic of India). The functional currency of the Canadian subsidiary of the Company is the Canadian Dollar. Accordingly, assets and liabilities denominated in a foreign currency are translated into U.S. dollars at the current exchange rate on the last day of the reporting period. Revenues and expenses are translated using the average exchange rate in effect during the reporting period. Translation adjustments are reported as a component of accumulated other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8"/>
          </w:cols>
          <w:pgMar w:left="292" w:top="129" w:right="339" w:bottom="1440" w:gutter="0" w:footer="0" w:header="0"/>
        </w:sectPr>
      </w:pPr>
    </w:p>
    <w:bookmarkStart w:id="10" w:name="page11"/>
    <w:bookmarkEnd w:id="10"/>
    <w:p>
      <w:pPr>
        <w:ind w:left="8"/>
        <w:spacing w:after="0"/>
        <w:rPr>
          <w:sz w:val="20"/>
          <w:szCs w:val="20"/>
          <w:color w:val="auto"/>
        </w:rPr>
      </w:pPr>
      <w:r>
        <w:rPr>
          <w:rFonts w:ascii="Times New Roman" w:cs="Times New Roman" w:eastAsia="Times New Roman" w:hAnsi="Times New Roman"/>
          <w:sz w:val="12"/>
          <w:szCs w:val="12"/>
          <w:b w:val="1"/>
          <w:bCs w:val="1"/>
          <w:color w:val="auto"/>
        </w:rPr>
        <w:t>Recently Issued Accounting Standards Pending Adoption</w:t>
      </w:r>
    </w:p>
    <w:p>
      <w:pPr>
        <w:spacing w:after="0" w:line="1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Segment Reporting ASU 2023-07</w:t>
      </w:r>
    </w:p>
    <w:p>
      <w:pPr>
        <w:spacing w:after="0" w:line="150" w:lineRule="exact"/>
        <w:rPr>
          <w:sz w:val="20"/>
          <w:szCs w:val="20"/>
          <w:color w:val="auto"/>
        </w:rPr>
      </w:pPr>
    </w:p>
    <w:p>
      <w:pPr>
        <w:ind w:left="8" w:right="20"/>
        <w:spacing w:after="0" w:line="261" w:lineRule="auto"/>
        <w:rPr>
          <w:sz w:val="20"/>
          <w:szCs w:val="20"/>
          <w:color w:val="auto"/>
        </w:rPr>
      </w:pPr>
      <w:r>
        <w:rPr>
          <w:rFonts w:ascii="Times New Roman" w:cs="Times New Roman" w:eastAsia="Times New Roman" w:hAnsi="Times New Roman"/>
          <w:sz w:val="12"/>
          <w:szCs w:val="12"/>
          <w:color w:val="auto"/>
        </w:rPr>
        <w:t xml:space="preserve">In November 2023, the FASB issued ASU 2023-07, </w:t>
      </w:r>
      <w:r>
        <w:rPr>
          <w:rFonts w:ascii="Times New Roman" w:cs="Times New Roman" w:eastAsia="Times New Roman" w:hAnsi="Times New Roman"/>
          <w:sz w:val="12"/>
          <w:szCs w:val="12"/>
          <w:i w:val="1"/>
          <w:iCs w:val="1"/>
          <w:color w:val="auto"/>
        </w:rPr>
        <w:t>Segment Reporting (Topic 280): Improvements to Reportable Segment Disclosures,</w:t>
      </w:r>
      <w:r>
        <w:rPr>
          <w:rFonts w:ascii="Times New Roman" w:cs="Times New Roman" w:eastAsia="Times New Roman" w:hAnsi="Times New Roman"/>
          <w:sz w:val="12"/>
          <w:szCs w:val="12"/>
          <w:color w:val="auto"/>
        </w:rPr>
        <w:t xml:space="preserve"> which requires incremental reportable segment disclosures, primarily about significant segment expenses. The amendments also require entities with a single reportable segment to provide all disclosures required by these amendments, and all existing segment disclosures. This guidance is effective for fiscal years beginning after December 15, 2023, and interim periods after December 15, 2024. The Company will adopt this guidance for the year ended December 31, 2024. This guidance is expected to only impact the disclosures with no impact on the results of operations, financial position or cash flows.</w:t>
      </w:r>
    </w:p>
    <w:p>
      <w:pPr>
        <w:spacing w:after="0" w:line="12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Income Taxes ASU 2023-09</w:t>
      </w:r>
    </w:p>
    <w:p>
      <w:pPr>
        <w:spacing w:after="0" w:line="150" w:lineRule="exact"/>
        <w:rPr>
          <w:sz w:val="20"/>
          <w:szCs w:val="20"/>
          <w:color w:val="auto"/>
        </w:rPr>
      </w:pPr>
    </w:p>
    <w:p>
      <w:pPr>
        <w:ind w:left="8" w:right="80"/>
        <w:spacing w:after="0" w:line="266" w:lineRule="auto"/>
        <w:rPr>
          <w:sz w:val="20"/>
          <w:szCs w:val="20"/>
          <w:color w:val="auto"/>
        </w:rPr>
      </w:pPr>
      <w:r>
        <w:rPr>
          <w:rFonts w:ascii="Times New Roman" w:cs="Times New Roman" w:eastAsia="Times New Roman" w:hAnsi="Times New Roman"/>
          <w:sz w:val="12"/>
          <w:szCs w:val="12"/>
          <w:color w:val="auto"/>
        </w:rPr>
        <w:t xml:space="preserve">In December 2023, the FASB issued ASU 2023-09, </w:t>
      </w:r>
      <w:r>
        <w:rPr>
          <w:rFonts w:ascii="Times New Roman" w:cs="Times New Roman" w:eastAsia="Times New Roman" w:hAnsi="Times New Roman"/>
          <w:sz w:val="12"/>
          <w:szCs w:val="12"/>
          <w:i w:val="1"/>
          <w:iCs w:val="1"/>
          <w:color w:val="auto"/>
        </w:rPr>
        <w:t>Income Taxes (Topic 740): Improvement to Income Tax Disclosures,</w:t>
      </w:r>
      <w:r>
        <w:rPr>
          <w:rFonts w:ascii="Times New Roman" w:cs="Times New Roman" w:eastAsia="Times New Roman" w:hAnsi="Times New Roman"/>
          <w:sz w:val="12"/>
          <w:szCs w:val="12"/>
          <w:color w:val="auto"/>
        </w:rPr>
        <w:t xml:space="preserve"> to enhance the transparency and decision usefulness of income tax disclosures. The guidance includes improvements to income tax disclosures primarily related to the rate reconciliation and income taxes paid. This guidance is effective for annual periods beginning after December 15, 2024, with early adoption permitted. The Company is in the process of evaluating the potential effects this guidance will have on its disclosures.</w:t>
      </w:r>
    </w:p>
    <w:p>
      <w:pPr>
        <w:spacing w:after="0" w:line="1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Profit Interest ASU 2024-01</w:t>
      </w:r>
    </w:p>
    <w:p>
      <w:pPr>
        <w:spacing w:after="0" w:line="150" w:lineRule="exact"/>
        <w:rPr>
          <w:sz w:val="20"/>
          <w:szCs w:val="20"/>
          <w:color w:val="auto"/>
        </w:rPr>
      </w:pPr>
    </w:p>
    <w:p>
      <w:pPr>
        <w:jc w:val="both"/>
        <w:ind w:left="8"/>
        <w:spacing w:after="0" w:line="266" w:lineRule="auto"/>
        <w:rPr>
          <w:sz w:val="20"/>
          <w:szCs w:val="20"/>
          <w:color w:val="auto"/>
        </w:rPr>
      </w:pPr>
      <w:r>
        <w:rPr>
          <w:rFonts w:ascii="Times New Roman" w:cs="Times New Roman" w:eastAsia="Times New Roman" w:hAnsi="Times New Roman"/>
          <w:sz w:val="12"/>
          <w:szCs w:val="12"/>
          <w:color w:val="auto"/>
        </w:rPr>
        <w:t xml:space="preserve">In March 2024, the FASB issued ASU 2024-01, </w:t>
      </w:r>
      <w:r>
        <w:rPr>
          <w:rFonts w:ascii="Times New Roman" w:cs="Times New Roman" w:eastAsia="Times New Roman" w:hAnsi="Times New Roman"/>
          <w:sz w:val="12"/>
          <w:szCs w:val="12"/>
          <w:i w:val="1"/>
          <w:iCs w:val="1"/>
          <w:color w:val="auto"/>
        </w:rPr>
        <w:t>Profit Interest and Similar Awards</w:t>
      </w:r>
      <w:r>
        <w:rPr>
          <w:rFonts w:ascii="Times New Roman" w:cs="Times New Roman" w:eastAsia="Times New Roman" w:hAnsi="Times New Roman"/>
          <w:sz w:val="12"/>
          <w:szCs w:val="12"/>
          <w:color w:val="auto"/>
        </w:rPr>
        <w:t xml:space="preserve"> ("ASU 2024-01"), to improve GAAP by adding an illustrative example to demonstrate how an entity should apply the scope in paragraph 718-10-15-3 to determine whether profit interest and similar awards should be accounted for in accordance with Topic 718, Compensation- Stock Compensation. This guidance is effective for annual periods beginning after December 15, 2024, with early adoption permitted. The Company is in the process of evaluating the potential effects this guidance will have on its disclosures.</w:t>
      </w:r>
    </w:p>
    <w:p>
      <w:pPr>
        <w:spacing w:after="0" w:line="200" w:lineRule="exact"/>
        <w:rPr>
          <w:sz w:val="20"/>
          <w:szCs w:val="20"/>
          <w:color w:val="auto"/>
        </w:rPr>
      </w:pPr>
    </w:p>
    <w:p>
      <w:pPr>
        <w:spacing w:after="0" w:line="221" w:lineRule="exact"/>
        <w:rPr>
          <w:sz w:val="20"/>
          <w:szCs w:val="20"/>
          <w:color w:val="auto"/>
        </w:rPr>
      </w:pPr>
    </w:p>
    <w:p>
      <w:pPr>
        <w:ind w:left="8" w:right="10320" w:hanging="8"/>
        <w:spacing w:after="0" w:line="550" w:lineRule="auto"/>
        <w:tabs>
          <w:tab w:leader="none" w:pos="211" w:val="left"/>
        </w:tabs>
        <w:numPr>
          <w:ilvl w:val="0"/>
          <w:numId w:val="5"/>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Acquisition Plastiq Acquisition</w:t>
      </w:r>
    </w:p>
    <w:p>
      <w:pPr>
        <w:ind w:left="8" w:right="160"/>
        <w:spacing w:after="0" w:line="260" w:lineRule="auto"/>
        <w:rPr>
          <w:sz w:val="20"/>
          <w:szCs w:val="20"/>
          <w:color w:val="auto"/>
        </w:rPr>
      </w:pPr>
      <w:r>
        <w:rPr>
          <w:rFonts w:ascii="Times New Roman" w:cs="Times New Roman" w:eastAsia="Times New Roman" w:hAnsi="Times New Roman"/>
          <w:sz w:val="12"/>
          <w:szCs w:val="12"/>
          <w:color w:val="auto"/>
        </w:rPr>
        <w:t>On May 23, 2023, PRTH’s subsidiary, Plastiq, Powered by Priority, LLC (the "acquiring entity"), entered into a stalking horse equity and asset purchase agreement (the "Purchase Agreement") with Plastiq, Inc. and certain of its affiliates ("Plastiq") to acquire substantially all of the assets of Plastiq, including the equity interest in Plastiq Canada, Inc. Plastiq is a buyer funded B2B payments platform offering bill pay and instant access to working capital to its customers and complements the Company's existing supplier-funded B2B payments business. On May 24, 2023, Plastiq filed voluntary petitions for relief under Chapter 11 of Title 11 of the United States Code in the United States Bankruptcy Court for the District of Delaware.</w:t>
      </w:r>
    </w:p>
    <w:p>
      <w:pPr>
        <w:spacing w:after="0" w:line="122" w:lineRule="exact"/>
        <w:rPr>
          <w:sz w:val="20"/>
          <w:szCs w:val="20"/>
          <w:color w:val="auto"/>
        </w:rPr>
      </w:pPr>
    </w:p>
    <w:p>
      <w:pPr>
        <w:ind w:left="8" w:right="360"/>
        <w:spacing w:after="0" w:line="279" w:lineRule="auto"/>
        <w:rPr>
          <w:sz w:val="20"/>
          <w:szCs w:val="20"/>
          <w:color w:val="auto"/>
        </w:rPr>
      </w:pPr>
      <w:r>
        <w:rPr>
          <w:rFonts w:ascii="Times New Roman" w:cs="Times New Roman" w:eastAsia="Times New Roman" w:hAnsi="Times New Roman"/>
          <w:sz w:val="12"/>
          <w:szCs w:val="12"/>
          <w:color w:val="auto"/>
        </w:rPr>
        <w:t>The purchase was completed on July 31, 2023 for a total purchase consideration of approximately $37.0 million. The total purchase consideration included $28.5 million in cash and the remaining consideration is in the nature of deferred or contingent consideration and certain equity interest in the acquiring entity. The cash consideration for the purchase was funded by borrowings from the Company's revolving credit facility.</w:t>
      </w:r>
    </w:p>
    <w:p>
      <w:pPr>
        <w:spacing w:after="0" w:line="111" w:lineRule="exact"/>
        <w:rPr>
          <w:sz w:val="20"/>
          <w:szCs w:val="20"/>
          <w:color w:val="auto"/>
        </w:rPr>
      </w:pPr>
    </w:p>
    <w:p>
      <w:pPr>
        <w:ind w:left="8" w:right="40"/>
        <w:spacing w:after="0" w:line="260" w:lineRule="auto"/>
        <w:rPr>
          <w:sz w:val="20"/>
          <w:szCs w:val="20"/>
          <w:color w:val="auto"/>
        </w:rPr>
      </w:pPr>
      <w:r>
        <w:rPr>
          <w:rFonts w:ascii="Times New Roman" w:cs="Times New Roman" w:eastAsia="Times New Roman" w:hAnsi="Times New Roman"/>
          <w:sz w:val="12"/>
          <w:szCs w:val="12"/>
          <w:color w:val="auto"/>
        </w:rPr>
        <w:t>The acquisition was accounted for as a business combination using the acquisition method of accounting, under which the acquired assets and assumed liabilities were recognized at their fair values as of July 31, 2023, with the excess of the fair value of consideration transferred over the fair value of the net assets acquired recognized as goodwill. The fair values of the acquired assets and assumed liabilities as of July 31, 2023 were estimated by management using the discounted cash flow method and other factors specific to certain assets and liabilities. The preliminary purchase price allocation is set forth in the table below and expected to be finalized as soon as practicable but no later than one year from the closing date.</w:t>
      </w:r>
    </w:p>
    <w:p>
      <w:pPr>
        <w:spacing w:after="0" w:line="200" w:lineRule="exact"/>
        <w:rPr>
          <w:sz w:val="20"/>
          <w:szCs w:val="20"/>
          <w:color w:val="auto"/>
        </w:rPr>
      </w:pPr>
    </w:p>
    <w:p>
      <w:pPr>
        <w:spacing w:after="0" w:line="390"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1331"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2"/>
          <w:szCs w:val="12"/>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971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b w:val="1"/>
          <w:bCs w:val="1"/>
          <w:color w:val="auto"/>
        </w:rPr>
        <w:t>Consideration: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971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 xml:space="preserve">Contingent consideration payments </w:t>
      </w:r>
      <w:r>
        <w:rPr>
          <w:rFonts w:ascii="Times New Roman" w:cs="Times New Roman" w:eastAsia="Times New Roman" w:hAnsi="Times New Roman"/>
          <w:sz w:val="15"/>
          <w:szCs w:val="15"/>
          <w:color w:val="auto"/>
          <w:vertAlign w:val="superscript"/>
        </w:rPr>
        <w:t>(1)</w:t>
      </w:r>
    </w:p>
    <w:p>
      <w:pPr>
        <w:spacing w:after="0"/>
        <w:rPr>
          <w:sz w:val="20"/>
          <w:szCs w:val="20"/>
          <w:color w:val="auto"/>
        </w:rPr>
      </w:pPr>
      <w:r>
        <w:rPr>
          <w:rFonts w:ascii="Times New Roman" w:cs="Times New Roman" w:eastAsia="Times New Roman" w:hAnsi="Times New Roman"/>
          <w:sz w:val="12"/>
          <w:szCs w:val="12"/>
          <w:color w:val="auto"/>
        </w:rPr>
        <w:t>Common equity of acquiring entity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Less: cash and restricted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-86995</wp:posOffset>
            </wp:positionV>
            <wp:extent cx="7178040" cy="971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Total purchase consideration, net of cash and restricted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914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Recognized amounts of assets acquired and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78040" cy="971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Accounts receivable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Prepaid expenses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Settlement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-86995</wp:posOffset>
            </wp:positionV>
            <wp:extent cx="7178040" cy="971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971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237" w:lineRule="auto"/>
        <w:rPr>
          <w:sz w:val="20"/>
          <w:szCs w:val="20"/>
          <w:color w:val="auto"/>
        </w:rPr>
      </w:pPr>
      <w:r>
        <w:rPr>
          <w:rFonts w:ascii="Times New Roman" w:cs="Times New Roman" w:eastAsia="Times New Roman" w:hAnsi="Times New Roman"/>
          <w:sz w:val="12"/>
          <w:szCs w:val="12"/>
          <w:color w:val="auto"/>
        </w:rPr>
        <w:t>Goodwill</w:t>
      </w:r>
      <w:r>
        <w:rPr>
          <w:rFonts w:ascii="Times New Roman" w:cs="Times New Roman" w:eastAsia="Times New Roman" w:hAnsi="Times New Roman"/>
          <w:sz w:val="15"/>
          <w:szCs w:val="15"/>
          <w:color w:val="auto"/>
          <w:vertAlign w:val="superscript"/>
        </w:rPr>
        <w:t>(3)</w:t>
      </w:r>
    </w:p>
    <w:p>
      <w:pPr>
        <w:spacing w:after="0" w:line="223" w:lineRule="auto"/>
        <w:rPr>
          <w:sz w:val="20"/>
          <w:szCs w:val="20"/>
          <w:color w:val="auto"/>
        </w:rPr>
      </w:pPr>
      <w:r>
        <w:rPr>
          <w:rFonts w:ascii="Times New Roman" w:cs="Times New Roman" w:eastAsia="Times New Roman" w:hAnsi="Times New Roman"/>
          <w:sz w:val="12"/>
          <w:szCs w:val="12"/>
          <w:color w:val="auto"/>
        </w:rPr>
        <w:t>Intangible assets</w:t>
      </w:r>
      <w:r>
        <w:rPr>
          <w:rFonts w:ascii="Times New Roman" w:cs="Times New Roman" w:eastAsia="Times New Roman" w:hAnsi="Times New Roman"/>
          <w:sz w:val="15"/>
          <w:szCs w:val="1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7178040" cy="971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Accounts payable and accrued expenses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Customer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971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Settlement obligations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Total purchase consideration</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980" w:type="dxa"/>
            <w:vAlign w:val="bottom"/>
          </w:tcPr>
          <w:p>
            <w:pPr>
              <w:jc w:val="right"/>
              <w:ind w:right="84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28,500</w:t>
            </w:r>
          </w:p>
        </w:tc>
      </w:tr>
      <w:tr>
        <w:trPr>
          <w:trHeight w:val="153"/>
        </w:trPr>
        <w:tc>
          <w:tcPr>
            <w:tcW w:w="9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8,419</w:t>
            </w:r>
          </w:p>
        </w:tc>
      </w:tr>
      <w:tr>
        <w:trPr>
          <w:trHeight w:val="153"/>
        </w:trPr>
        <w:tc>
          <w:tcPr>
            <w:tcW w:w="9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330</w:t>
            </w:r>
          </w:p>
        </w:tc>
      </w:tr>
      <w:tr>
        <w:trPr>
          <w:trHeight w:val="155"/>
        </w:trPr>
        <w:tc>
          <w:tcPr>
            <w:tcW w:w="9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(278)</w:t>
            </w:r>
          </w:p>
        </w:tc>
      </w:tr>
      <w:tr>
        <w:trPr>
          <w:trHeight w:val="142"/>
        </w:trPr>
        <w:tc>
          <w:tcPr>
            <w:tcW w:w="980" w:type="dxa"/>
            <w:vAlign w:val="bottom"/>
            <w:tcBorders>
              <w:bottom w:val="single" w:sz="8" w:color="auto"/>
            </w:tcBorders>
          </w:tcPr>
          <w:p>
            <w:pPr>
              <w:jc w:val="right"/>
              <w:ind w:right="8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36,971</w:t>
            </w: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406"/>
        </w:trPr>
        <w:tc>
          <w:tcPr>
            <w:tcW w:w="980" w:type="dxa"/>
            <w:vAlign w:val="bottom"/>
          </w:tcPr>
          <w:p>
            <w:pPr>
              <w:jc w:val="right"/>
              <w:ind w:right="84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831</w:t>
            </w:r>
          </w:p>
        </w:tc>
      </w:tr>
      <w:tr>
        <w:trPr>
          <w:trHeight w:val="153"/>
        </w:trPr>
        <w:tc>
          <w:tcPr>
            <w:tcW w:w="9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490</w:t>
            </w:r>
          </w:p>
        </w:tc>
      </w:tr>
      <w:tr>
        <w:trPr>
          <w:trHeight w:val="153"/>
        </w:trPr>
        <w:tc>
          <w:tcPr>
            <w:tcW w:w="9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8,277</w:t>
            </w:r>
          </w:p>
        </w:tc>
      </w:tr>
      <w:tr>
        <w:trPr>
          <w:trHeight w:val="153"/>
        </w:trPr>
        <w:tc>
          <w:tcPr>
            <w:tcW w:w="9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w:t>
            </w:r>
          </w:p>
        </w:tc>
      </w:tr>
      <w:tr>
        <w:trPr>
          <w:trHeight w:val="153"/>
        </w:trPr>
        <w:tc>
          <w:tcPr>
            <w:tcW w:w="9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7,240</w:t>
            </w:r>
          </w:p>
        </w:tc>
      </w:tr>
      <w:tr>
        <w:trPr>
          <w:trHeight w:val="153"/>
        </w:trPr>
        <w:tc>
          <w:tcPr>
            <w:tcW w:w="9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30,460</w:t>
            </w:r>
          </w:p>
        </w:tc>
      </w:tr>
      <w:tr>
        <w:trPr>
          <w:trHeight w:val="153"/>
        </w:trPr>
        <w:tc>
          <w:tcPr>
            <w:tcW w:w="9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(1,881)</w:t>
            </w:r>
          </w:p>
        </w:tc>
      </w:tr>
      <w:tr>
        <w:trPr>
          <w:trHeight w:val="153"/>
        </w:trPr>
        <w:tc>
          <w:tcPr>
            <w:tcW w:w="9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(214)</w:t>
            </w:r>
          </w:p>
        </w:tc>
      </w:tr>
      <w:tr>
        <w:trPr>
          <w:trHeight w:val="155"/>
        </w:trPr>
        <w:tc>
          <w:tcPr>
            <w:tcW w:w="9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(8,279)</w:t>
            </w:r>
          </w:p>
        </w:tc>
      </w:tr>
      <w:tr>
        <w:trPr>
          <w:trHeight w:val="142"/>
        </w:trPr>
        <w:tc>
          <w:tcPr>
            <w:tcW w:w="980" w:type="dxa"/>
            <w:vAlign w:val="bottom"/>
            <w:tcBorders>
              <w:bottom w:val="single" w:sz="8" w:color="auto"/>
            </w:tcBorders>
          </w:tcPr>
          <w:p>
            <w:pPr>
              <w:jc w:val="right"/>
              <w:ind w:right="8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36,971</w:t>
            </w: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ectPr>
          <w:pgSz w:w="11900" w:h="16838" w:orient="portrait"/>
          <w:cols w:equalWidth="0" w:num="2">
            <w:col w:w="8320" w:space="720"/>
            <w:col w:w="2260"/>
          </w:cols>
          <w:pgMar w:left="300" w:top="1054" w:right="299" w:bottom="1440" w:gutter="0" w:footer="0" w:header="0"/>
        </w:sectPr>
      </w:pPr>
    </w:p>
    <w:p>
      <w:pPr>
        <w:ind w:left="420" w:right="200" w:hanging="212"/>
        <w:spacing w:after="0" w:line="231" w:lineRule="auto"/>
        <w:tabs>
          <w:tab w:leader="none" w:pos="412" w:val="left"/>
        </w:tabs>
        <w:numPr>
          <w:ilvl w:val="0"/>
          <w:numId w:val="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fair value of the contingent consideration payments issued was determined utilizing a Monte Carlo simulation. The contingent consideration payments were calculated based on the path for the simulated metrics and the contractual terms of the contingent consideration payments and were discounted to present value at a rate reflecting the risk associated with the payoffs. The fair value was estimated to be the average present value of the contingent consideration payments over all iterations of the simulation.</w:t>
      </w:r>
    </w:p>
    <w:p>
      <w:pPr>
        <w:ind w:left="420" w:hanging="212"/>
        <w:spacing w:after="0" w:line="187" w:lineRule="auto"/>
        <w:tabs>
          <w:tab w:leader="none" w:pos="420" w:val="left"/>
        </w:tabs>
        <w:numPr>
          <w:ilvl w:val="0"/>
          <w:numId w:val="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intangible assets acquired consist of $13.0 million for customer relationships, $7.0 million for referral partner relationships, $6.5 million for technology and $3.9 million for trade name.</w:t>
      </w:r>
    </w:p>
    <w:p>
      <w:pPr>
        <w:spacing w:after="0" w:line="1" w:lineRule="exact"/>
        <w:rPr>
          <w:rFonts w:ascii="Times New Roman" w:cs="Times New Roman" w:eastAsia="Times New Roman" w:hAnsi="Times New Roman"/>
          <w:sz w:val="16"/>
          <w:szCs w:val="16"/>
          <w:color w:val="auto"/>
          <w:vertAlign w:val="superscript"/>
        </w:rPr>
      </w:pPr>
    </w:p>
    <w:p>
      <w:pPr>
        <w:ind w:left="420" w:right="140" w:hanging="212"/>
        <w:spacing w:after="0" w:line="213" w:lineRule="auto"/>
        <w:tabs>
          <w:tab w:leader="none" w:pos="412" w:val="left"/>
        </w:tabs>
        <w:numPr>
          <w:ilvl w:val="0"/>
          <w:numId w:val="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During the first and second quarters of 2024, the Company recorded immaterial measurement period adjustments due to a pre-acquisition tax accrual and security deposit which resulted in an adjustment to goodwill, accounts payable and accrued expenses, and prepaid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54" w:right="29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159"/>
        </w:trPr>
        <w:tc>
          <w:tcPr>
            <w:tcW w:w="44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3.  Revenues</w:t>
            </w: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88"/>
        </w:trPr>
        <w:tc>
          <w:tcPr>
            <w:tcW w:w="44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Disaggregation of Revenues</w:t>
            </w: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88"/>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The following table presents a disaggregation of our consolidated revenues by type:</w:t>
            </w: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15"/>
        </w:trPr>
        <w:tc>
          <w:tcPr>
            <w:tcW w:w="4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40" w:type="dxa"/>
            <w:vAlign w:val="bottom"/>
            <w:gridSpan w:val="5"/>
          </w:tcPr>
          <w:p>
            <w:pPr>
              <w:ind w:left="520"/>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380" w:type="dxa"/>
            <w:vAlign w:val="bottom"/>
          </w:tcPr>
          <w:p>
            <w:pPr>
              <w:spacing w:after="0"/>
              <w:rPr>
                <w:sz w:val="24"/>
                <w:szCs w:val="24"/>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c>
          <w:tcPr>
            <w:tcW w:w="980" w:type="dxa"/>
            <w:vAlign w:val="bottom"/>
          </w:tcPr>
          <w:p>
            <w:pPr>
              <w:spacing w:after="0"/>
              <w:rPr>
                <w:sz w:val="24"/>
                <w:szCs w:val="24"/>
                <w:color w:val="auto"/>
              </w:rPr>
            </w:pPr>
          </w:p>
        </w:tc>
      </w:tr>
      <w:tr>
        <w:trPr>
          <w:trHeight w:val="142"/>
        </w:trPr>
        <w:tc>
          <w:tcPr>
            <w:tcW w:w="4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40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w w:val="99"/>
              </w:rPr>
              <w:t>2023</w:t>
            </w:r>
          </w:p>
        </w:tc>
      </w:tr>
      <w:tr>
        <w:trPr>
          <w:trHeight w:val="133"/>
        </w:trPr>
        <w:tc>
          <w:tcPr>
            <w:tcW w:w="44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Revenue Type:</w:t>
            </w:r>
          </w:p>
        </w:tc>
        <w:tc>
          <w:tcPr>
            <w:tcW w:w="4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153"/>
        </w:trPr>
        <w:tc>
          <w:tcPr>
            <w:tcW w:w="44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Merchant card fees</w:t>
            </w: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169,246</w:t>
            </w:r>
          </w:p>
        </w:tc>
        <w:tc>
          <w:tcPr>
            <w:tcW w:w="80" w:type="dxa"/>
            <w:vAlign w:val="bottom"/>
          </w:tcPr>
          <w:p>
            <w:pPr>
              <w:spacing w:after="0"/>
              <w:rPr>
                <w:sz w:val="13"/>
                <w:szCs w:val="13"/>
                <w:color w:val="auto"/>
              </w:rPr>
            </w:pP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144,524</w:t>
            </w:r>
          </w:p>
        </w:tc>
        <w:tc>
          <w:tcPr>
            <w:tcW w:w="80" w:type="dxa"/>
            <w:vAlign w:val="bottom"/>
          </w:tcPr>
          <w:p>
            <w:pPr>
              <w:spacing w:after="0"/>
              <w:rPr>
                <w:sz w:val="13"/>
                <w:szCs w:val="13"/>
                <w:color w:val="auto"/>
              </w:rPr>
            </w:pP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327,193</w:t>
            </w:r>
          </w:p>
        </w:tc>
        <w:tc>
          <w:tcPr>
            <w:tcW w:w="80" w:type="dxa"/>
            <w:vAlign w:val="bottom"/>
          </w:tcPr>
          <w:p>
            <w:pPr>
              <w:spacing w:after="0"/>
              <w:rPr>
                <w:sz w:val="13"/>
                <w:szCs w:val="13"/>
                <w:color w:val="auto"/>
              </w:rPr>
            </w:pPr>
          </w:p>
        </w:tc>
        <w:tc>
          <w:tcPr>
            <w:tcW w:w="680" w:type="dxa"/>
            <w:vAlign w:val="bottom"/>
          </w:tcPr>
          <w:p>
            <w:pPr>
              <w:jc w:val="right"/>
              <w:ind w:right="54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294,168</w:t>
            </w:r>
          </w:p>
        </w:tc>
      </w:tr>
      <w:tr>
        <w:trPr>
          <w:trHeight w:val="153"/>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Money transmission services</w:t>
            </w:r>
          </w:p>
        </w:tc>
        <w:tc>
          <w:tcPr>
            <w:tcW w:w="4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31,340</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23,718</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60,484</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45,124</w:t>
            </w:r>
          </w:p>
        </w:tc>
      </w:tr>
      <w:tr>
        <w:trPr>
          <w:trHeight w:val="153"/>
        </w:trPr>
        <w:tc>
          <w:tcPr>
            <w:tcW w:w="4480" w:type="dxa"/>
            <w:vAlign w:val="bottom"/>
          </w:tcPr>
          <w:p>
            <w:pPr>
              <w:ind w:left="140"/>
              <w:spacing w:after="0" w:line="153" w:lineRule="exact"/>
              <w:rPr>
                <w:sz w:val="20"/>
                <w:szCs w:val="20"/>
                <w:color w:val="auto"/>
              </w:rPr>
            </w:pPr>
            <w:r>
              <w:rPr>
                <w:rFonts w:ascii="Times New Roman" w:cs="Times New Roman" w:eastAsia="Times New Roman" w:hAnsi="Times New Roman"/>
                <w:sz w:val="12"/>
                <w:szCs w:val="12"/>
                <w:color w:val="auto"/>
              </w:rPr>
              <w:t>Outsourced services and other services</w:t>
            </w:r>
            <w:r>
              <w:rPr>
                <w:rFonts w:ascii="Times New Roman" w:cs="Times New Roman" w:eastAsia="Times New Roman" w:hAnsi="Times New Roman"/>
                <w:sz w:val="15"/>
                <w:szCs w:val="15"/>
                <w:color w:val="auto"/>
                <w:vertAlign w:val="superscript"/>
              </w:rPr>
              <w:t>(2)</w:t>
            </w:r>
          </w:p>
        </w:tc>
        <w:tc>
          <w:tcPr>
            <w:tcW w:w="4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16,256</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10,582</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31,921</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21,587</w:t>
            </w:r>
          </w:p>
        </w:tc>
      </w:tr>
      <w:tr>
        <w:trPr>
          <w:trHeight w:val="153"/>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Equipment</w:t>
            </w:r>
          </w:p>
        </w:tc>
        <w:tc>
          <w:tcPr>
            <w:tcW w:w="40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3,025</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3,466</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5,988</w:t>
            </w:r>
          </w:p>
        </w:tc>
        <w:tc>
          <w:tcPr>
            <w:tcW w:w="8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6,439</w:t>
            </w:r>
          </w:p>
        </w:tc>
      </w:tr>
      <w:tr>
        <w:trPr>
          <w:trHeight w:val="142"/>
        </w:trPr>
        <w:tc>
          <w:tcPr>
            <w:tcW w:w="4480" w:type="dxa"/>
            <w:vAlign w:val="bottom"/>
          </w:tcPr>
          <w:p>
            <w:pPr>
              <w:spacing w:after="0" w:line="142" w:lineRule="exact"/>
              <w:rPr>
                <w:sz w:val="20"/>
                <w:szCs w:val="20"/>
                <w:color w:val="auto"/>
              </w:rPr>
            </w:pPr>
            <w:r>
              <w:rPr>
                <w:rFonts w:ascii="Times New Roman" w:cs="Times New Roman" w:eastAsia="Times New Roman" w:hAnsi="Times New Roman"/>
                <w:sz w:val="12"/>
                <w:szCs w:val="12"/>
                <w:b w:val="1"/>
                <w:bCs w:val="1"/>
                <w:color w:val="auto"/>
              </w:rPr>
              <w:t>Total revenues</w:t>
            </w:r>
            <w:r>
              <w:rPr>
                <w:rFonts w:ascii="Times New Roman" w:cs="Times New Roman" w:eastAsia="Times New Roman" w:hAnsi="Times New Roman"/>
                <w:sz w:val="15"/>
                <w:szCs w:val="15"/>
                <w:color w:val="auto"/>
                <w:vertAlign w:val="superscript"/>
              </w:rPr>
              <w:t>(1)</w:t>
            </w:r>
          </w:p>
        </w:tc>
        <w:tc>
          <w:tcPr>
            <w:tcW w:w="4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219,867</w:t>
            </w:r>
          </w:p>
        </w:tc>
        <w:tc>
          <w:tcPr>
            <w:tcW w:w="80" w:type="dxa"/>
            <w:vAlign w:val="bottom"/>
          </w:tcPr>
          <w:p>
            <w:pPr>
              <w:spacing w:after="0"/>
              <w:rPr>
                <w:sz w:val="12"/>
                <w:szCs w:val="12"/>
                <w:color w:val="auto"/>
              </w:rPr>
            </w:pPr>
          </w:p>
        </w:tc>
        <w:tc>
          <w:tcPr>
            <w:tcW w:w="3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182,290</w:t>
            </w:r>
          </w:p>
        </w:tc>
        <w:tc>
          <w:tcPr>
            <w:tcW w:w="80" w:type="dxa"/>
            <w:vAlign w:val="bottom"/>
          </w:tcPr>
          <w:p>
            <w:pPr>
              <w:spacing w:after="0"/>
              <w:rPr>
                <w:sz w:val="12"/>
                <w:szCs w:val="12"/>
                <w:color w:val="auto"/>
              </w:rPr>
            </w:pPr>
          </w:p>
        </w:tc>
        <w:tc>
          <w:tcPr>
            <w:tcW w:w="3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425,586</w:t>
            </w:r>
          </w:p>
        </w:tc>
        <w:tc>
          <w:tcPr>
            <w:tcW w:w="80" w:type="dxa"/>
            <w:vAlign w:val="bottom"/>
          </w:tcPr>
          <w:p>
            <w:pPr>
              <w:spacing w:after="0"/>
              <w:rPr>
                <w:sz w:val="12"/>
                <w:szCs w:val="12"/>
                <w:color w:val="auto"/>
              </w:rPr>
            </w:pPr>
          </w:p>
        </w:tc>
        <w:tc>
          <w:tcPr>
            <w:tcW w:w="68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367,318</w:t>
            </w:r>
          </w:p>
        </w:tc>
      </w:tr>
      <w:tr>
        <w:trPr>
          <w:trHeight w:val="20"/>
        </w:trPr>
        <w:tc>
          <w:tcPr>
            <w:tcW w:w="44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420" w:right="220" w:hanging="212"/>
        <w:spacing w:after="0" w:line="222" w:lineRule="auto"/>
        <w:tabs>
          <w:tab w:leader="none" w:pos="412" w:val="left"/>
        </w:tabs>
        <w:numPr>
          <w:ilvl w:val="0"/>
          <w:numId w:val="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contracts with an original duration of one year or less and variable consideration under a stand-ready series of distinct days of service. The aggregate fixed consideration portion of customer contracts with an initial contract duration greater than one year is not material.</w:t>
      </w:r>
    </w:p>
    <w:p>
      <w:pPr>
        <w:spacing w:after="0" w:line="1" w:lineRule="exact"/>
        <w:rPr>
          <w:rFonts w:ascii="Times New Roman" w:cs="Times New Roman" w:eastAsia="Times New Roman" w:hAnsi="Times New Roman"/>
          <w:sz w:val="16"/>
          <w:szCs w:val="16"/>
          <w:color w:val="auto"/>
          <w:vertAlign w:val="superscript"/>
        </w:rPr>
      </w:pPr>
    </w:p>
    <w:p>
      <w:pPr>
        <w:ind w:left="420" w:right="60" w:hanging="212"/>
        <w:spacing w:after="0" w:line="231" w:lineRule="auto"/>
        <w:tabs>
          <w:tab w:leader="none" w:pos="412" w:val="left"/>
        </w:tabs>
        <w:numPr>
          <w:ilvl w:val="0"/>
          <w:numId w:val="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Approximately $13.1 million and $25.0 million of interest income for the three and six months ended June 30, 2024, respectively, and $7.2 million and $12.2 million for the three and six months ended June 30, 2023, respectively, is included in outsourced services and other services revenue in the table above. Approximately $0.6 million and $1.2 million of interest income for the three and six months ended June 30, 2024, respectively, and $0.3 million and $0.6 million three and six months ended June 30, 2023, respectively, is included in other income, net on the Company's Unaudited Consolidated Statements of Operations and Comprehensive Loss and not reflected in the table above.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presents a disaggregation of our consolidated revenues by segment: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6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Three Months Ended June 30, 2024</w:t>
            </w:r>
          </w:p>
        </w:tc>
        <w:tc>
          <w:tcPr>
            <w:tcW w:w="3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r>
      <w:tr>
        <w:trPr>
          <w:trHeight w:val="142"/>
        </w:trPr>
        <w:tc>
          <w:tcPr>
            <w:tcW w:w="26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00" w:type="dxa"/>
            <w:vAlign w:val="bottom"/>
          </w:tcPr>
          <w:p>
            <w:pPr>
              <w:spacing w:after="0"/>
              <w:rPr>
                <w:sz w:val="12"/>
                <w:szCs w:val="12"/>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Merchant Card Fees</w:t>
            </w:r>
          </w:p>
        </w:tc>
        <w:tc>
          <w:tcPr>
            <w:tcW w:w="8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8"/>
              </w:rPr>
              <w:t>Money Transmission Services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Outsourced and Other Services</w:t>
            </w:r>
          </w:p>
        </w:tc>
        <w:tc>
          <w:tcPr>
            <w:tcW w:w="300" w:type="dxa"/>
            <w:vAlign w:val="bottom"/>
          </w:tcPr>
          <w:p>
            <w:pPr>
              <w:spacing w:after="0"/>
              <w:rPr>
                <w:sz w:val="12"/>
                <w:szCs w:val="12"/>
                <w:color w:val="auto"/>
              </w:rPr>
            </w:pPr>
          </w:p>
        </w:tc>
        <w:tc>
          <w:tcPr>
            <w:tcW w:w="1440" w:type="dxa"/>
            <w:vAlign w:val="bottom"/>
            <w:gridSpan w:val="2"/>
          </w:tcPr>
          <w:p>
            <w:pPr>
              <w:ind w:left="240"/>
              <w:spacing w:after="0"/>
              <w:rPr>
                <w:sz w:val="20"/>
                <w:szCs w:val="20"/>
                <w:color w:val="auto"/>
              </w:rPr>
            </w:pPr>
            <w:r>
              <w:rPr>
                <w:rFonts w:ascii="Times New Roman" w:cs="Times New Roman" w:eastAsia="Times New Roman" w:hAnsi="Times New Roman"/>
                <w:sz w:val="12"/>
                <w:szCs w:val="12"/>
                <w:b w:val="1"/>
                <w:bCs w:val="1"/>
                <w:color w:val="auto"/>
              </w:rPr>
              <w:t>Equipment</w:t>
            </w:r>
          </w:p>
        </w:tc>
        <w:tc>
          <w:tcPr>
            <w:tcW w:w="380" w:type="dxa"/>
            <w:vAlign w:val="bottom"/>
          </w:tcPr>
          <w:p>
            <w:pPr>
              <w:spacing w:after="0"/>
              <w:rPr>
                <w:sz w:val="12"/>
                <w:szCs w:val="12"/>
                <w:color w:val="auto"/>
              </w:rPr>
            </w:pPr>
          </w:p>
        </w:tc>
        <w:tc>
          <w:tcPr>
            <w:tcW w:w="1280" w:type="dxa"/>
            <w:vAlign w:val="bottom"/>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33"/>
        </w:trPr>
        <w:tc>
          <w:tcPr>
            <w:tcW w:w="26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Segment</w:t>
            </w:r>
          </w:p>
        </w:tc>
        <w:tc>
          <w:tcPr>
            <w:tcW w:w="200" w:type="dxa"/>
            <w:vAlign w:val="bottom"/>
            <w:tcBorders>
              <w:top w:val="single" w:sz="8" w:color="auto"/>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5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r>
      <w:tr>
        <w:trPr>
          <w:trHeight w:val="153"/>
        </w:trPr>
        <w:tc>
          <w:tcPr>
            <w:tcW w:w="2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SMB Payments</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150,696</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1,380</w:t>
            </w:r>
          </w:p>
        </w:tc>
        <w:tc>
          <w:tcPr>
            <w:tcW w:w="80" w:type="dxa"/>
            <w:vAlign w:val="bottom"/>
          </w:tcPr>
          <w:p>
            <w:pPr>
              <w:spacing w:after="0"/>
              <w:rPr>
                <w:sz w:val="13"/>
                <w:szCs w:val="13"/>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3,025</w:t>
            </w:r>
          </w:p>
        </w:tc>
        <w:tc>
          <w:tcPr>
            <w:tcW w:w="80" w:type="dxa"/>
            <w:vAlign w:val="bottom"/>
          </w:tcPr>
          <w:p>
            <w:pPr>
              <w:spacing w:after="0"/>
              <w:rPr>
                <w:sz w:val="13"/>
                <w:szCs w:val="13"/>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155,101</w:t>
            </w:r>
          </w:p>
        </w:tc>
      </w:tr>
      <w:tr>
        <w:trPr>
          <w:trHeight w:val="153"/>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B2B Payments</w:t>
            </w:r>
          </w:p>
        </w:tc>
        <w:tc>
          <w:tcPr>
            <w:tcW w:w="2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18,682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3,199</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21,881</w:t>
            </w:r>
          </w:p>
        </w:tc>
      </w:tr>
      <w:tr>
        <w:trPr>
          <w:trHeight w:val="153"/>
        </w:trPr>
        <w:tc>
          <w:tcPr>
            <w:tcW w:w="2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Enterprise Payments</w:t>
            </w:r>
          </w:p>
        </w:tc>
        <w:tc>
          <w:tcPr>
            <w:tcW w:w="2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31,340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11,879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43,670</w:t>
            </w:r>
          </w:p>
        </w:tc>
      </w:tr>
      <w:tr>
        <w:trPr>
          <w:trHeight w:val="153"/>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Eliminations</w:t>
            </w:r>
          </w:p>
        </w:tc>
        <w:tc>
          <w:tcPr>
            <w:tcW w:w="20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(583)</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w:t>
            </w:r>
          </w:p>
        </w:tc>
        <w:tc>
          <w:tcPr>
            <w:tcW w:w="8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44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(785)</w:t>
            </w:r>
          </w:p>
        </w:tc>
      </w:tr>
      <w:tr>
        <w:trPr>
          <w:trHeight w:val="142"/>
        </w:trPr>
        <w:tc>
          <w:tcPr>
            <w:tcW w:w="26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revenues</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169,246</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31,340</w:t>
            </w:r>
          </w:p>
        </w:tc>
        <w:tc>
          <w:tcPr>
            <w:tcW w:w="780" w:type="dxa"/>
            <w:vAlign w:val="bottom"/>
            <w:gridSpan w:val="3"/>
          </w:tcPr>
          <w:p>
            <w:pPr>
              <w:ind w:left="100"/>
              <w:spacing w:after="0"/>
              <w:rPr>
                <w:sz w:val="20"/>
                <w:szCs w:val="20"/>
                <w:color w:val="auto"/>
              </w:rPr>
            </w:pPr>
            <w:r>
              <w:rPr>
                <w:rFonts w:ascii="Times New Roman" w:cs="Times New Roman" w:eastAsia="Times New Roman" w:hAnsi="Times New Roman"/>
                <w:sz w:val="12"/>
                <w:szCs w:val="12"/>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16,256</w:t>
            </w:r>
          </w:p>
        </w:tc>
        <w:tc>
          <w:tcPr>
            <w:tcW w:w="80" w:type="dxa"/>
            <w:vAlign w:val="bottom"/>
          </w:tcPr>
          <w:p>
            <w:pPr>
              <w:spacing w:after="0"/>
              <w:rPr>
                <w:sz w:val="12"/>
                <w:szCs w:val="12"/>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3,025</w:t>
            </w:r>
          </w:p>
        </w:tc>
        <w:tc>
          <w:tcPr>
            <w:tcW w:w="80" w:type="dxa"/>
            <w:vAlign w:val="bottom"/>
          </w:tcPr>
          <w:p>
            <w:pPr>
              <w:spacing w:after="0"/>
              <w:rPr>
                <w:sz w:val="12"/>
                <w:szCs w:val="12"/>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219,867</w:t>
            </w:r>
          </w:p>
        </w:tc>
      </w:tr>
      <w:tr>
        <w:trPr>
          <w:trHeight w:val="20"/>
        </w:trPr>
        <w:tc>
          <w:tcPr>
            <w:tcW w:w="2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345"/>
        </w:trPr>
        <w:tc>
          <w:tcPr>
            <w:tcW w:w="26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2"/>
                <w:szCs w:val="12"/>
                <w:b w:val="1"/>
                <w:bCs w:val="1"/>
                <w:color w:val="auto"/>
              </w:rPr>
              <w:t>Six Months Ended June 30, 2024</w:t>
            </w:r>
          </w:p>
        </w:tc>
        <w:tc>
          <w:tcPr>
            <w:tcW w:w="3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42"/>
        </w:trPr>
        <w:tc>
          <w:tcPr>
            <w:tcW w:w="26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00" w:type="dxa"/>
            <w:vAlign w:val="bottom"/>
          </w:tcPr>
          <w:p>
            <w:pPr>
              <w:spacing w:after="0"/>
              <w:rPr>
                <w:sz w:val="12"/>
                <w:szCs w:val="12"/>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Merchant Card Fees</w:t>
            </w:r>
          </w:p>
        </w:tc>
        <w:tc>
          <w:tcPr>
            <w:tcW w:w="8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8"/>
              </w:rPr>
              <w:t>Money Transmission Services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Outsourced and Other Services</w:t>
            </w:r>
          </w:p>
        </w:tc>
        <w:tc>
          <w:tcPr>
            <w:tcW w:w="300" w:type="dxa"/>
            <w:vAlign w:val="bottom"/>
          </w:tcPr>
          <w:p>
            <w:pPr>
              <w:spacing w:after="0"/>
              <w:rPr>
                <w:sz w:val="12"/>
                <w:szCs w:val="12"/>
                <w:color w:val="auto"/>
              </w:rPr>
            </w:pPr>
          </w:p>
        </w:tc>
        <w:tc>
          <w:tcPr>
            <w:tcW w:w="1440" w:type="dxa"/>
            <w:vAlign w:val="bottom"/>
            <w:gridSpan w:val="2"/>
          </w:tcPr>
          <w:p>
            <w:pPr>
              <w:ind w:left="240"/>
              <w:spacing w:after="0"/>
              <w:rPr>
                <w:sz w:val="20"/>
                <w:szCs w:val="20"/>
                <w:color w:val="auto"/>
              </w:rPr>
            </w:pPr>
            <w:r>
              <w:rPr>
                <w:rFonts w:ascii="Times New Roman" w:cs="Times New Roman" w:eastAsia="Times New Roman" w:hAnsi="Times New Roman"/>
                <w:sz w:val="12"/>
                <w:szCs w:val="12"/>
                <w:b w:val="1"/>
                <w:bCs w:val="1"/>
                <w:color w:val="auto"/>
              </w:rPr>
              <w:t>Equipment</w:t>
            </w:r>
          </w:p>
        </w:tc>
        <w:tc>
          <w:tcPr>
            <w:tcW w:w="380" w:type="dxa"/>
            <w:vAlign w:val="bottom"/>
          </w:tcPr>
          <w:p>
            <w:pPr>
              <w:spacing w:after="0"/>
              <w:rPr>
                <w:sz w:val="12"/>
                <w:szCs w:val="12"/>
                <w:color w:val="auto"/>
              </w:rPr>
            </w:pPr>
          </w:p>
        </w:tc>
        <w:tc>
          <w:tcPr>
            <w:tcW w:w="1280" w:type="dxa"/>
            <w:vAlign w:val="bottom"/>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33"/>
        </w:trPr>
        <w:tc>
          <w:tcPr>
            <w:tcW w:w="26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Segment</w:t>
            </w:r>
          </w:p>
        </w:tc>
        <w:tc>
          <w:tcPr>
            <w:tcW w:w="200" w:type="dxa"/>
            <w:vAlign w:val="bottom"/>
            <w:tcBorders>
              <w:top w:val="single" w:sz="8" w:color="auto"/>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5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r>
      <w:tr>
        <w:trPr>
          <w:trHeight w:val="153"/>
        </w:trPr>
        <w:tc>
          <w:tcPr>
            <w:tcW w:w="2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SMB Payments</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290,496</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2,621</w:t>
            </w:r>
          </w:p>
        </w:tc>
        <w:tc>
          <w:tcPr>
            <w:tcW w:w="80" w:type="dxa"/>
            <w:vAlign w:val="bottom"/>
          </w:tcPr>
          <w:p>
            <w:pPr>
              <w:spacing w:after="0"/>
              <w:rPr>
                <w:sz w:val="13"/>
                <w:szCs w:val="13"/>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5,988</w:t>
            </w:r>
          </w:p>
        </w:tc>
        <w:tc>
          <w:tcPr>
            <w:tcW w:w="80" w:type="dxa"/>
            <w:vAlign w:val="bottom"/>
          </w:tcPr>
          <w:p>
            <w:pPr>
              <w:spacing w:after="0"/>
              <w:rPr>
                <w:sz w:val="13"/>
                <w:szCs w:val="13"/>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299,105</w:t>
            </w:r>
          </w:p>
        </w:tc>
      </w:tr>
      <w:tr>
        <w:trPr>
          <w:trHeight w:val="153"/>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B2B Payments</w:t>
            </w:r>
          </w:p>
        </w:tc>
        <w:tc>
          <w:tcPr>
            <w:tcW w:w="2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36,971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6,254</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43,225</w:t>
            </w:r>
          </w:p>
        </w:tc>
      </w:tr>
      <w:tr>
        <w:trPr>
          <w:trHeight w:val="153"/>
        </w:trPr>
        <w:tc>
          <w:tcPr>
            <w:tcW w:w="2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Enterprise Payments</w:t>
            </w:r>
          </w:p>
        </w:tc>
        <w:tc>
          <w:tcPr>
            <w:tcW w:w="2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60,484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23,372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84,660</w:t>
            </w:r>
          </w:p>
        </w:tc>
      </w:tr>
      <w:tr>
        <w:trPr>
          <w:trHeight w:val="153"/>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Eliminations</w:t>
            </w:r>
          </w:p>
        </w:tc>
        <w:tc>
          <w:tcPr>
            <w:tcW w:w="2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(326)</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(1,404)</w:t>
            </w:r>
          </w:p>
        </w:tc>
      </w:tr>
      <w:tr>
        <w:trPr>
          <w:trHeight w:val="142"/>
        </w:trPr>
        <w:tc>
          <w:tcPr>
            <w:tcW w:w="26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revenues</w:t>
            </w: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327,193</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60,484</w:t>
            </w: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31,921</w:t>
            </w:r>
          </w:p>
        </w:tc>
        <w:tc>
          <w:tcPr>
            <w:tcW w:w="8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5,988</w:t>
            </w:r>
          </w:p>
        </w:tc>
        <w:tc>
          <w:tcPr>
            <w:tcW w:w="8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425,586</w:t>
            </w:r>
          </w:p>
        </w:tc>
      </w:tr>
      <w:tr>
        <w:trPr>
          <w:trHeight w:val="20"/>
        </w:trPr>
        <w:tc>
          <w:tcPr>
            <w:tcW w:w="2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795"/>
        </w:trPr>
        <w:tc>
          <w:tcPr>
            <w:tcW w:w="2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10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268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025" w:right="299" w:bottom="1440" w:gutter="0" w:footer="0" w:header="0"/>
        </w:sectPr>
      </w:pPr>
    </w:p>
    <w:bookmarkStart w:id="13" w:name="page14"/>
    <w:bookmarkEnd w:id="13"/>
    <w:tbl>
      <w:tblPr>
        <w:tblLayout w:type="fixed"/>
        <w:tblInd w:w="8" w:type="dxa"/>
        <w:tblCellMar>
          <w:top w:w="0" w:type="dxa"/>
          <w:left w:w="0" w:type="dxa"/>
          <w:bottom w:w="0" w:type="dxa"/>
          <w:right w:w="0" w:type="dxa"/>
        </w:tblCellMar>
      </w:tblPr>
      <w:tr>
        <w:trPr>
          <w:trHeight w:val="159"/>
        </w:trPr>
        <w:tc>
          <w:tcPr>
            <w:tcW w:w="26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Three Months Ended June 30, 2023</w:t>
            </w:r>
          </w:p>
        </w:tc>
        <w:tc>
          <w:tcPr>
            <w:tcW w:w="3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r>
      <w:tr>
        <w:trPr>
          <w:trHeight w:val="142"/>
        </w:trPr>
        <w:tc>
          <w:tcPr>
            <w:tcW w:w="26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00" w:type="dxa"/>
            <w:vAlign w:val="bottom"/>
          </w:tcPr>
          <w:p>
            <w:pPr>
              <w:spacing w:after="0"/>
              <w:rPr>
                <w:sz w:val="12"/>
                <w:szCs w:val="12"/>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Merchant Card Fees</w:t>
            </w:r>
          </w:p>
        </w:tc>
        <w:tc>
          <w:tcPr>
            <w:tcW w:w="8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8"/>
              </w:rPr>
              <w:t>Money Transmission Services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Outsourced and Other Services</w:t>
            </w:r>
          </w:p>
        </w:tc>
        <w:tc>
          <w:tcPr>
            <w:tcW w:w="300" w:type="dxa"/>
            <w:vAlign w:val="bottom"/>
          </w:tcPr>
          <w:p>
            <w:pPr>
              <w:spacing w:after="0"/>
              <w:rPr>
                <w:sz w:val="12"/>
                <w:szCs w:val="12"/>
                <w:color w:val="auto"/>
              </w:rPr>
            </w:pPr>
          </w:p>
        </w:tc>
        <w:tc>
          <w:tcPr>
            <w:tcW w:w="1440" w:type="dxa"/>
            <w:vAlign w:val="bottom"/>
            <w:gridSpan w:val="2"/>
          </w:tcPr>
          <w:p>
            <w:pPr>
              <w:ind w:left="240"/>
              <w:spacing w:after="0"/>
              <w:rPr>
                <w:sz w:val="20"/>
                <w:szCs w:val="20"/>
                <w:color w:val="auto"/>
              </w:rPr>
            </w:pPr>
            <w:r>
              <w:rPr>
                <w:rFonts w:ascii="Times New Roman" w:cs="Times New Roman" w:eastAsia="Times New Roman" w:hAnsi="Times New Roman"/>
                <w:sz w:val="12"/>
                <w:szCs w:val="12"/>
                <w:b w:val="1"/>
                <w:bCs w:val="1"/>
                <w:color w:val="auto"/>
              </w:rPr>
              <w:t>Equipment</w:t>
            </w:r>
          </w:p>
        </w:tc>
        <w:tc>
          <w:tcPr>
            <w:tcW w:w="380" w:type="dxa"/>
            <w:vAlign w:val="bottom"/>
          </w:tcPr>
          <w:p>
            <w:pPr>
              <w:spacing w:after="0"/>
              <w:rPr>
                <w:sz w:val="12"/>
                <w:szCs w:val="12"/>
                <w:color w:val="auto"/>
              </w:rPr>
            </w:pPr>
          </w:p>
        </w:tc>
        <w:tc>
          <w:tcPr>
            <w:tcW w:w="1280" w:type="dxa"/>
            <w:vAlign w:val="bottom"/>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33"/>
        </w:trPr>
        <w:tc>
          <w:tcPr>
            <w:tcW w:w="26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Segment</w:t>
            </w:r>
          </w:p>
        </w:tc>
        <w:tc>
          <w:tcPr>
            <w:tcW w:w="200" w:type="dxa"/>
            <w:vAlign w:val="bottom"/>
            <w:tcBorders>
              <w:top w:val="single" w:sz="8" w:color="auto"/>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5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r>
      <w:tr>
        <w:trPr>
          <w:trHeight w:val="153"/>
        </w:trPr>
        <w:tc>
          <w:tcPr>
            <w:tcW w:w="2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SMB Payments</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143,544</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938</w:t>
            </w:r>
          </w:p>
        </w:tc>
        <w:tc>
          <w:tcPr>
            <w:tcW w:w="80" w:type="dxa"/>
            <w:vAlign w:val="bottom"/>
          </w:tcPr>
          <w:p>
            <w:pPr>
              <w:spacing w:after="0"/>
              <w:rPr>
                <w:sz w:val="13"/>
                <w:szCs w:val="13"/>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3,466</w:t>
            </w:r>
          </w:p>
        </w:tc>
        <w:tc>
          <w:tcPr>
            <w:tcW w:w="80" w:type="dxa"/>
            <w:vAlign w:val="bottom"/>
          </w:tcPr>
          <w:p>
            <w:pPr>
              <w:spacing w:after="0"/>
              <w:rPr>
                <w:sz w:val="13"/>
                <w:szCs w:val="13"/>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147,948</w:t>
            </w:r>
          </w:p>
        </w:tc>
      </w:tr>
      <w:tr>
        <w:trPr>
          <w:trHeight w:val="153"/>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B2B Payments</w:t>
            </w:r>
          </w:p>
        </w:tc>
        <w:tc>
          <w:tcPr>
            <w:tcW w:w="2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2,020</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2,974</w:t>
            </w:r>
          </w:p>
        </w:tc>
      </w:tr>
      <w:tr>
        <w:trPr>
          <w:trHeight w:val="153"/>
        </w:trPr>
        <w:tc>
          <w:tcPr>
            <w:tcW w:w="2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Enterprise Payments</w:t>
            </w:r>
          </w:p>
        </w:tc>
        <w:tc>
          <w:tcPr>
            <w:tcW w:w="2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23,718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7,694</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31,438</w:t>
            </w:r>
          </w:p>
        </w:tc>
      </w:tr>
      <w:tr>
        <w:trPr>
          <w:trHeight w:val="153"/>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Eliminations</w:t>
            </w:r>
          </w:p>
        </w:tc>
        <w:tc>
          <w:tcPr>
            <w:tcW w:w="20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w:t>
            </w:r>
          </w:p>
        </w:tc>
      </w:tr>
      <w:tr>
        <w:trPr>
          <w:trHeight w:val="142"/>
        </w:trPr>
        <w:tc>
          <w:tcPr>
            <w:tcW w:w="26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revenues</w:t>
            </w: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144,524</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23,718</w:t>
            </w: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10,582</w:t>
            </w:r>
          </w:p>
        </w:tc>
        <w:tc>
          <w:tcPr>
            <w:tcW w:w="8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3,466</w:t>
            </w:r>
          </w:p>
        </w:tc>
        <w:tc>
          <w:tcPr>
            <w:tcW w:w="8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182,290</w:t>
            </w:r>
          </w:p>
        </w:tc>
      </w:tr>
      <w:tr>
        <w:trPr>
          <w:trHeight w:val="20"/>
        </w:trPr>
        <w:tc>
          <w:tcPr>
            <w:tcW w:w="2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660"/>
        </w:trPr>
        <w:tc>
          <w:tcPr>
            <w:tcW w:w="26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2"/>
                <w:szCs w:val="12"/>
                <w:b w:val="1"/>
                <w:bCs w:val="1"/>
                <w:color w:val="auto"/>
              </w:rPr>
              <w:t>Six Months Ended June 30, 2023</w:t>
            </w:r>
          </w:p>
        </w:tc>
        <w:tc>
          <w:tcPr>
            <w:tcW w:w="3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42"/>
        </w:trPr>
        <w:tc>
          <w:tcPr>
            <w:tcW w:w="26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00" w:type="dxa"/>
            <w:vAlign w:val="bottom"/>
          </w:tcPr>
          <w:p>
            <w:pPr>
              <w:spacing w:after="0"/>
              <w:rPr>
                <w:sz w:val="12"/>
                <w:szCs w:val="12"/>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Merchant Card Fees</w:t>
            </w:r>
          </w:p>
        </w:tc>
        <w:tc>
          <w:tcPr>
            <w:tcW w:w="8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8"/>
              </w:rPr>
              <w:t>Money Transmission Services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Outsourced and Other Services</w:t>
            </w:r>
          </w:p>
        </w:tc>
        <w:tc>
          <w:tcPr>
            <w:tcW w:w="300" w:type="dxa"/>
            <w:vAlign w:val="bottom"/>
          </w:tcPr>
          <w:p>
            <w:pPr>
              <w:spacing w:after="0"/>
              <w:rPr>
                <w:sz w:val="12"/>
                <w:szCs w:val="12"/>
                <w:color w:val="auto"/>
              </w:rPr>
            </w:pPr>
          </w:p>
        </w:tc>
        <w:tc>
          <w:tcPr>
            <w:tcW w:w="1440" w:type="dxa"/>
            <w:vAlign w:val="bottom"/>
            <w:gridSpan w:val="2"/>
          </w:tcPr>
          <w:p>
            <w:pPr>
              <w:ind w:left="240"/>
              <w:spacing w:after="0"/>
              <w:rPr>
                <w:sz w:val="20"/>
                <w:szCs w:val="20"/>
                <w:color w:val="auto"/>
              </w:rPr>
            </w:pPr>
            <w:r>
              <w:rPr>
                <w:rFonts w:ascii="Times New Roman" w:cs="Times New Roman" w:eastAsia="Times New Roman" w:hAnsi="Times New Roman"/>
                <w:sz w:val="12"/>
                <w:szCs w:val="12"/>
                <w:b w:val="1"/>
                <w:bCs w:val="1"/>
                <w:color w:val="auto"/>
              </w:rPr>
              <w:t>Equipment</w:t>
            </w:r>
          </w:p>
        </w:tc>
        <w:tc>
          <w:tcPr>
            <w:tcW w:w="380" w:type="dxa"/>
            <w:vAlign w:val="bottom"/>
          </w:tcPr>
          <w:p>
            <w:pPr>
              <w:spacing w:after="0"/>
              <w:rPr>
                <w:sz w:val="12"/>
                <w:szCs w:val="12"/>
                <w:color w:val="auto"/>
              </w:rPr>
            </w:pPr>
          </w:p>
        </w:tc>
        <w:tc>
          <w:tcPr>
            <w:tcW w:w="1280" w:type="dxa"/>
            <w:vAlign w:val="bottom"/>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33"/>
        </w:trPr>
        <w:tc>
          <w:tcPr>
            <w:tcW w:w="26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Segment</w:t>
            </w:r>
          </w:p>
        </w:tc>
        <w:tc>
          <w:tcPr>
            <w:tcW w:w="200" w:type="dxa"/>
            <w:vAlign w:val="bottom"/>
            <w:tcBorders>
              <w:top w:val="single" w:sz="8" w:color="auto"/>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5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r>
      <w:tr>
        <w:trPr>
          <w:trHeight w:val="153"/>
        </w:trPr>
        <w:tc>
          <w:tcPr>
            <w:tcW w:w="2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SMB Payments</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292,232</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4,210</w:t>
            </w:r>
          </w:p>
        </w:tc>
        <w:tc>
          <w:tcPr>
            <w:tcW w:w="80" w:type="dxa"/>
            <w:vAlign w:val="bottom"/>
          </w:tcPr>
          <w:p>
            <w:pPr>
              <w:spacing w:after="0"/>
              <w:rPr>
                <w:sz w:val="13"/>
                <w:szCs w:val="13"/>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6,439</w:t>
            </w:r>
          </w:p>
        </w:tc>
        <w:tc>
          <w:tcPr>
            <w:tcW w:w="80" w:type="dxa"/>
            <w:vAlign w:val="bottom"/>
          </w:tcPr>
          <w:p>
            <w:pPr>
              <w:spacing w:after="0"/>
              <w:rPr>
                <w:sz w:val="13"/>
                <w:szCs w:val="13"/>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302,881</w:t>
            </w:r>
          </w:p>
        </w:tc>
      </w:tr>
      <w:tr>
        <w:trPr>
          <w:trHeight w:val="153"/>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B2B Payments</w:t>
            </w:r>
          </w:p>
        </w:tc>
        <w:tc>
          <w:tcPr>
            <w:tcW w:w="2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1,881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3,879</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5,760</w:t>
            </w:r>
          </w:p>
        </w:tc>
      </w:tr>
      <w:tr>
        <w:trPr>
          <w:trHeight w:val="153"/>
        </w:trPr>
        <w:tc>
          <w:tcPr>
            <w:tcW w:w="2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Enterprise Payments</w:t>
            </w:r>
          </w:p>
        </w:tc>
        <w:tc>
          <w:tcPr>
            <w:tcW w:w="2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45,124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13,565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58,744</w:t>
            </w:r>
          </w:p>
        </w:tc>
      </w:tr>
      <w:tr>
        <w:trPr>
          <w:trHeight w:val="153"/>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Eliminations</w:t>
            </w:r>
          </w:p>
        </w:tc>
        <w:tc>
          <w:tcPr>
            <w:tcW w:w="20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w:t>
            </w:r>
          </w:p>
        </w:tc>
      </w:tr>
      <w:tr>
        <w:trPr>
          <w:trHeight w:val="142"/>
        </w:trPr>
        <w:tc>
          <w:tcPr>
            <w:tcW w:w="26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revenues</w:t>
            </w: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294,168</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45,124</w:t>
            </w: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21,587</w:t>
            </w:r>
          </w:p>
        </w:tc>
        <w:tc>
          <w:tcPr>
            <w:tcW w:w="8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6,439</w:t>
            </w:r>
          </w:p>
        </w:tc>
        <w:tc>
          <w:tcPr>
            <w:tcW w:w="8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367,318</w:t>
            </w:r>
          </w:p>
        </w:tc>
      </w:tr>
      <w:tr>
        <w:trPr>
          <w:trHeight w:val="20"/>
        </w:trPr>
        <w:tc>
          <w:tcPr>
            <w:tcW w:w="2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Deferred revenues were not material for the three and six months ended June 30, 2024 and 2023.</w:t>
      </w:r>
    </w:p>
    <w:p>
      <w:pPr>
        <w:spacing w:after="0" w:line="14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Contract Assets and Contract Liabilities</w:t>
      </w:r>
    </w:p>
    <w:p>
      <w:pPr>
        <w:spacing w:after="0" w:line="152" w:lineRule="exact"/>
        <w:rPr>
          <w:sz w:val="20"/>
          <w:szCs w:val="20"/>
          <w:color w:val="auto"/>
        </w:rPr>
      </w:pPr>
    </w:p>
    <w:p>
      <w:pPr>
        <w:ind w:left="8" w:right="180"/>
        <w:spacing w:after="0" w:line="279" w:lineRule="auto"/>
        <w:rPr>
          <w:sz w:val="20"/>
          <w:szCs w:val="20"/>
          <w:color w:val="auto"/>
        </w:rPr>
      </w:pPr>
      <w:r>
        <w:rPr>
          <w:rFonts w:ascii="Times New Roman" w:cs="Times New Roman" w:eastAsia="Times New Roman" w:hAnsi="Times New Roman"/>
          <w:sz w:val="12"/>
          <w:szCs w:val="12"/>
          <w:color w:val="auto"/>
        </w:rPr>
        <w:t>Material contract assets and liabilities are presented net at the individual contract level in the Unaudited Consolidated Balance Sheets and are classified as current or noncurrent based on the nature of the underlying contractual rights and obligations.</w:t>
      </w:r>
    </w:p>
    <w:p>
      <w:pPr>
        <w:spacing w:after="0" w:line="1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Contract liabilities were $0.6 million and $0.6 million as of June 30, 2024 and December 31, 2023, respectively. Substantially all of these balances are recognized as revenue within 12 months.</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Net contract assets were not material for any period presented.</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Impairment losses recognized on receivables or contract assets arising from the Company's contracts with customers were not material for the three and six months ended June 30, 2024 and 2023.</w:t>
      </w:r>
    </w:p>
    <w:p>
      <w:pPr>
        <w:spacing w:after="0" w:line="200" w:lineRule="exact"/>
        <w:rPr>
          <w:sz w:val="20"/>
          <w:szCs w:val="20"/>
          <w:color w:val="auto"/>
        </w:rPr>
      </w:pPr>
    </w:p>
    <w:p>
      <w:pPr>
        <w:spacing w:after="0" w:line="252" w:lineRule="exact"/>
        <w:rPr>
          <w:sz w:val="20"/>
          <w:szCs w:val="20"/>
          <w:color w:val="auto"/>
        </w:rPr>
      </w:pPr>
    </w:p>
    <w:p>
      <w:pPr>
        <w:ind w:left="208" w:hanging="208"/>
        <w:spacing w:after="0"/>
        <w:tabs>
          <w:tab w:leader="none" w:pos="208" w:val="left"/>
        </w:tabs>
        <w:numPr>
          <w:ilvl w:val="0"/>
          <w:numId w:val="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Settlement Assets and Customer/Subscriber Account Balances and Related Obligations</w:t>
      </w:r>
    </w:p>
    <w:p>
      <w:pPr>
        <w:spacing w:after="0" w:line="1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SMB Payments Segment</w:t>
      </w:r>
    </w:p>
    <w:p>
      <w:pPr>
        <w:spacing w:after="0" w:line="152" w:lineRule="exact"/>
        <w:rPr>
          <w:sz w:val="20"/>
          <w:szCs w:val="20"/>
          <w:color w:val="auto"/>
        </w:rPr>
      </w:pPr>
    </w:p>
    <w:p>
      <w:pPr>
        <w:ind w:left="8" w:right="60"/>
        <w:spacing w:after="0" w:line="265" w:lineRule="auto"/>
        <w:rPr>
          <w:sz w:val="20"/>
          <w:szCs w:val="20"/>
          <w:color w:val="auto"/>
        </w:rPr>
      </w:pPr>
      <w:r>
        <w:rPr>
          <w:rFonts w:ascii="Times New Roman" w:cs="Times New Roman" w:eastAsia="Times New Roman" w:hAnsi="Times New Roman"/>
          <w:sz w:val="12"/>
          <w:szCs w:val="12"/>
          <w:color w:val="auto"/>
        </w:rPr>
        <w:t>In the Company's SMB Payments reportable segment, funds settlement refers to the process of transferring funds for sales and credits between card issuers and merchants. The standards of the card networks require possession of funds during the settlement process by a member bank which controls the clearing transactions. Since settlement funds are required to be in the possession of a member bank until the merchant is funded, these funds are not assets of the Company and the associated</w:t>
      </w:r>
    </w:p>
    <w:p>
      <w:pPr>
        <w:spacing w:after="0" w:line="200" w:lineRule="exact"/>
        <w:rPr>
          <w:sz w:val="20"/>
          <w:szCs w:val="20"/>
          <w:color w:val="auto"/>
        </w:rPr>
      </w:pPr>
    </w:p>
    <w:p>
      <w:pPr>
        <w:spacing w:after="0" w:line="38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358" w:right="299" w:bottom="1440" w:gutter="0" w:footer="0" w:header="0"/>
        </w:sectPr>
      </w:pPr>
    </w:p>
    <w:bookmarkStart w:id="14" w:name="page15"/>
    <w:bookmarkEnd w:id="14"/>
    <w:p>
      <w:pPr>
        <w:ind w:right="200"/>
        <w:spacing w:after="0" w:line="279" w:lineRule="auto"/>
        <w:rPr>
          <w:sz w:val="20"/>
          <w:szCs w:val="20"/>
          <w:color w:val="auto"/>
        </w:rPr>
      </w:pPr>
      <w:r>
        <w:rPr>
          <w:rFonts w:ascii="Times New Roman" w:cs="Times New Roman" w:eastAsia="Times New Roman" w:hAnsi="Times New Roman"/>
          <w:sz w:val="12"/>
          <w:szCs w:val="12"/>
          <w:color w:val="auto"/>
        </w:rPr>
        <w:t>obligations are not liabilities of the Company. Therefore, neither is recognized in the Company's Unaudited Consolidated Balance Sheets. Member banks held merchant funds of $97.7 million and $98.0 million at June 30, 2024 and December 31, 2023, respectively.</w:t>
      </w:r>
    </w:p>
    <w:p>
      <w:pPr>
        <w:spacing w:after="0" w:line="11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Exception items that become the liability of the Company are recorded as merchant losses, a component of cost of revenue in the Company's Unaudited Consolidated Statements of Operations and Comprehensive Loss. Exception items that the Company is still attempting to collect from the merchants through the funds settlement process or merchant reserves are recognized as settlement assets and customer/subscriber account balances in the Company's Unaudited Consolidated Balance Sheets, with an offsetting reserve for those amounts the Company estimates it will not be able to recover. Expenses for merchant losses for the three and six months ended June 30, 2024 were $1.7 million and $6.5 million, respectively. Expenses for merchant losses for the three and six months ended June 30, 2023 were $1.1 million and $2.1 million, respectively.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B2B Payments Segment</w:t>
      </w:r>
    </w:p>
    <w:p>
      <w:pPr>
        <w:spacing w:after="0" w:line="15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2"/>
          <w:szCs w:val="12"/>
          <w:color w:val="auto"/>
        </w:rPr>
        <w:t>In the Company's B2B Payments segment, the Company earns revenues by processing transactions for FIs and other business customers. Customers transfer funds to the Company, which are held in either company-owned bank accounts controlled by the Company or bank-owned FBO accounts controlled by the banks, until such time that the transactions are settled with the customer payees. Amounts due to customer payees that are held by the Company in company-owned bank accounts are included in restricted cash in the Company's Unaudited Consolidated Balance Sheets. Amounts due to customer payees that are held in bank-owned FBO accounts are not assets of the Company, and the associated obligations are not liabilities of the Company. Therefore, neither is recognized in the Company's Unaudited Consolidated Balance Sheets. Bank-owned FBO accounts held funds of $93.1 million and $69.0 million at June 30, 2024 and December 31, 2023, respectively. Company-owned bank accounts held $1.7 million and $1.2 million at June 30, 2024 and December 31, 2023, respectively, which are included in restricted cash and settlement and customer/subscriber account obligations in the Company's Unaudited Consolidated Balance Sheets.</w:t>
      </w:r>
    </w:p>
    <w:p>
      <w:pPr>
        <w:spacing w:after="0" w:line="125"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2"/>
          <w:szCs w:val="12"/>
          <w:color w:val="auto"/>
        </w:rPr>
        <w:t>Exception items that the Company is still attempting to collect from the customers through the funds settlement process are recognized as settlement assets and customer/subscriber account balances in the Company's Unaudited Consolidated Balance Sheets, with an offsetting reserve for those amounts the Company estimates it will not be able to recover. Expenses for these merchant losses for the three and six months ended June 30, 2024 were $0.1 million and $0.3 million, respectively. Expenses for merchant losses for the three and six months ended June 30, 2023 were not material.</w:t>
      </w:r>
    </w:p>
    <w:p>
      <w:pPr>
        <w:spacing w:after="0" w:line="11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The Company accepts card payments from its customers and processes disbursements to their vendors within the Plastiq business. The time lag between authorization and settlement of card transactions creates certain receivables (from card networks) and payables (to the vendors of customers). These receivables and payables arise from the settlement activities that the Company performs on the behalf of its customers and therefore, are presented as settlement assets and related obligations.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Enterprise Payments Segment</w:t>
      </w:r>
    </w:p>
    <w:p>
      <w:pPr>
        <w:spacing w:after="0" w:line="15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2"/>
          <w:szCs w:val="12"/>
          <w:color w:val="auto"/>
        </w:rPr>
        <w:t>In the Company's Enterprise Payments segment revenue is derived primarily from enrollment fees, monthly subscription fees and transaction-based fees from licensed money transmission services. As part of its licensed money transmission services, the Company accepts deposits from consumers and subscribers which are held in bank accounts maintained by the Company on behalf of consumers and subscribers. After accepting deposits, the Company is allowed to invest available balances in these accounts in certain permitted investments, and the return on such investments contributes to the Company's net cash inflows. These balances are payable on demand. As such, the Company recorded these balances and related obligations as current assets and current liabilities. The nature of these balances are cash and cash equivalents, but they are not available for day-to-day operations of the Company. Therefore, the Company has classified these balances as settlement assets and customer/subscriber account balances and the related obligations as settlement and customer/subscriber account obligations in the Company's Unaudited Consolidated Balance Sheets.</w:t>
      </w:r>
    </w:p>
    <w:p>
      <w:pPr>
        <w:spacing w:after="0" w:line="12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Exception items that become the liability of the Company are recorded as merchant losses, a component of cost of revenue in the Company's Unaudited Consolidated Statements of Operations and Comprehensive Loss. Exception items that the Company is still attempting to collect from the merchants through the funds settlement process or merchant reserves are recognized as settlement assets and customer/subscriber account balances in the Company's Unaudited Consolidated Balance Sheets, with an offsetting reserve for those amounts the Company estimates it will not be able to recover. Expenses for merchant losses for the</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029" w:right="339" w:bottom="1440" w:gutter="0" w:footer="0" w:header="0"/>
        </w:sectPr>
      </w:pPr>
    </w:p>
    <w:bookmarkStart w:id="15" w:name="page16"/>
    <w:bookmarkEnd w:id="15"/>
    <w:p>
      <w:pPr>
        <w:ind w:left="8"/>
        <w:spacing w:after="0"/>
        <w:rPr>
          <w:sz w:val="20"/>
          <w:szCs w:val="20"/>
          <w:color w:val="auto"/>
        </w:rPr>
      </w:pPr>
      <w:r>
        <w:rPr>
          <w:rFonts w:ascii="Times New Roman" w:cs="Times New Roman" w:eastAsia="Times New Roman" w:hAnsi="Times New Roman"/>
          <w:sz w:val="12"/>
          <w:szCs w:val="12"/>
          <w:color w:val="auto"/>
        </w:rPr>
        <w:t>three and six months ended June 30, 2024 were $0.4 million and $0.4 million, respectively. Expenses for merchant losses for the three and six months ended June 30, 2023 were not material.</w:t>
      </w:r>
    </w:p>
    <w:p>
      <w:pPr>
        <w:spacing w:after="0" w:line="150" w:lineRule="exact"/>
        <w:rPr>
          <w:sz w:val="20"/>
          <w:szCs w:val="20"/>
          <w:color w:val="auto"/>
        </w:rPr>
      </w:pPr>
    </w:p>
    <w:p>
      <w:pPr>
        <w:ind w:left="8" w:right="140"/>
        <w:spacing w:after="0" w:line="279" w:lineRule="auto"/>
        <w:rPr>
          <w:sz w:val="20"/>
          <w:szCs w:val="20"/>
          <w:color w:val="auto"/>
        </w:rPr>
      </w:pPr>
      <w:r>
        <w:rPr>
          <w:rFonts w:ascii="Times New Roman" w:cs="Times New Roman" w:eastAsia="Times New Roman" w:hAnsi="Times New Roman"/>
          <w:sz w:val="12"/>
          <w:szCs w:val="12"/>
          <w:color w:val="auto"/>
        </w:rPr>
        <w:t>In certain states, the Company accepts deposits under agency arrangement with member banks wherein accepted deposits remain under the control of the member banks. Therefore, the Company does not record assets for the deposits accepted and liabilities for the associated obligation. Agency owned accounts held $53.0 million and $19.6 million at June 30, 2024 and December 31, 2023, respectively.</w:t>
      </w:r>
    </w:p>
    <w:p>
      <w:pPr>
        <w:spacing w:after="0" w:line="10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Company's consolidated settlement assets and customer/subscriber account balances and settlement and customer/subscriber account obligations were as follows:</w:t>
      </w:r>
    </w:p>
    <w:p>
      <w:pPr>
        <w:spacing w:after="0" w:line="173"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6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46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2"/>
                <w:szCs w:val="12"/>
                <w:b w:val="1"/>
                <w:bCs w:val="1"/>
                <w:color w:val="auto"/>
              </w:rPr>
              <w:t>June 30, 2024</w:t>
            </w:r>
          </w:p>
        </w:tc>
        <w:tc>
          <w:tcPr>
            <w:tcW w:w="40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December 31, 2023</w:t>
            </w:r>
          </w:p>
        </w:tc>
      </w:tr>
      <w:tr>
        <w:trPr>
          <w:trHeight w:val="133"/>
        </w:trPr>
        <w:tc>
          <w:tcPr>
            <w:tcW w:w="64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Settlement Assets, net of estimated losses</w:t>
            </w:r>
            <w:r>
              <w:rPr>
                <w:rFonts w:ascii="Times New Roman" w:cs="Times New Roman" w:eastAsia="Times New Roman" w:hAnsi="Times New Roman"/>
                <w:sz w:val="15"/>
                <w:szCs w:val="15"/>
                <w:b w:val="1"/>
                <w:bCs w:val="1"/>
                <w:color w:val="auto"/>
                <w:vertAlign w:val="superscript"/>
              </w:rPr>
              <w:t>(1)</w:t>
            </w:r>
            <w:r>
              <w:rPr>
                <w:rFonts w:ascii="Times New Roman" w:cs="Times New Roman" w:eastAsia="Times New Roman" w:hAnsi="Times New Roman"/>
                <w:sz w:val="12"/>
                <w:szCs w:val="12"/>
                <w:b w:val="1"/>
                <w:bCs w:val="1"/>
                <w:color w:val="auto"/>
              </w:rPr>
              <w:t>:</w:t>
            </w:r>
          </w:p>
        </w:tc>
        <w:tc>
          <w:tcPr>
            <w:tcW w:w="460" w:type="dxa"/>
            <w:vAlign w:val="bottom"/>
            <w:shd w:val="clear" w:color="auto" w:fill="CCEEFF"/>
          </w:tcPr>
          <w:p>
            <w:pPr>
              <w:spacing w:after="0"/>
              <w:rPr>
                <w:sz w:val="11"/>
                <w:szCs w:val="11"/>
                <w:color w:val="auto"/>
              </w:rPr>
            </w:pPr>
          </w:p>
        </w:tc>
        <w:tc>
          <w:tcPr>
            <w:tcW w:w="1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r>
      <w:tr>
        <w:trPr>
          <w:trHeight w:val="153"/>
        </w:trPr>
        <w:tc>
          <w:tcPr>
            <w:tcW w:w="64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Card settlements due from merchants</w:t>
            </w:r>
          </w:p>
        </w:tc>
        <w:tc>
          <w:tcPr>
            <w:tcW w:w="46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5,112</w:t>
            </w:r>
          </w:p>
        </w:tc>
        <w:tc>
          <w:tcPr>
            <w:tcW w:w="80" w:type="dxa"/>
            <w:vAlign w:val="bottom"/>
          </w:tcPr>
          <w:p>
            <w:pPr>
              <w:spacing w:after="0"/>
              <w:rPr>
                <w:sz w:val="13"/>
                <w:szCs w:val="13"/>
                <w:color w:val="auto"/>
              </w:rPr>
            </w:pP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2,705</w:t>
            </w:r>
          </w:p>
        </w:tc>
      </w:tr>
      <w:tr>
        <w:trPr>
          <w:trHeight w:val="153"/>
        </w:trPr>
        <w:tc>
          <w:tcPr>
            <w:tcW w:w="6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Card settlements due from networks</w:t>
            </w:r>
          </w:p>
        </w:tc>
        <w:tc>
          <w:tcPr>
            <w:tcW w:w="460" w:type="dxa"/>
            <w:vAlign w:val="bottom"/>
            <w:shd w:val="clear" w:color="auto" w:fill="CCEEFF"/>
          </w:tcPr>
          <w:p>
            <w:pPr>
              <w:spacing w:after="0"/>
              <w:rPr>
                <w:sz w:val="13"/>
                <w:szCs w:val="13"/>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7,706</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8,185</w:t>
            </w:r>
          </w:p>
        </w:tc>
      </w:tr>
      <w:tr>
        <w:trPr>
          <w:trHeight w:val="153"/>
        </w:trPr>
        <w:tc>
          <w:tcPr>
            <w:tcW w:w="64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Other settlement assets</w:t>
            </w:r>
          </w:p>
        </w:tc>
        <w:tc>
          <w:tcPr>
            <w:tcW w:w="460" w:type="dxa"/>
            <w:vAlign w:val="bottom"/>
          </w:tcPr>
          <w:p>
            <w:pPr>
              <w:spacing w:after="0"/>
              <w:rPr>
                <w:sz w:val="13"/>
                <w:szCs w:val="13"/>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1,046</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889</w:t>
            </w:r>
          </w:p>
        </w:tc>
      </w:tr>
      <w:tr>
        <w:trPr>
          <w:trHeight w:val="153"/>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Customer/subscriber account balances</w:t>
            </w:r>
          </w:p>
        </w:tc>
        <w:tc>
          <w:tcPr>
            <w:tcW w:w="46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r>
      <w:tr>
        <w:trPr>
          <w:trHeight w:val="153"/>
        </w:trPr>
        <w:tc>
          <w:tcPr>
            <w:tcW w:w="64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46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788,530</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744,696</w:t>
            </w:r>
          </w:p>
        </w:tc>
      </w:tr>
      <w:tr>
        <w:trPr>
          <w:trHeight w:val="158"/>
        </w:trPr>
        <w:tc>
          <w:tcPr>
            <w:tcW w:w="6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settlement assets and customer/subscriber account balances</w:t>
            </w:r>
          </w:p>
        </w:tc>
        <w:tc>
          <w:tcPr>
            <w:tcW w:w="460" w:type="dxa"/>
            <w:vAlign w:val="bottom"/>
            <w:tcBorders>
              <w:bottom w:val="single" w:sz="8" w:color="auto"/>
            </w:tcBorders>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802,394</w:t>
            </w:r>
          </w:p>
        </w:tc>
        <w:tc>
          <w:tcPr>
            <w:tcW w:w="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756,475</w:t>
            </w:r>
          </w:p>
        </w:tc>
      </w:tr>
      <w:tr>
        <w:trPr>
          <w:trHeight w:val="126"/>
        </w:trPr>
        <w:tc>
          <w:tcPr>
            <w:tcW w:w="6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0" w:type="dxa"/>
            <w:vAlign w:val="bottom"/>
          </w:tcPr>
          <w:p>
            <w:pPr>
              <w:spacing w:after="0"/>
              <w:rPr>
                <w:sz w:val="10"/>
                <w:szCs w:val="10"/>
                <w:color w:val="auto"/>
              </w:rPr>
            </w:pPr>
          </w:p>
        </w:tc>
      </w:tr>
      <w:tr>
        <w:trPr>
          <w:trHeight w:val="153"/>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Settlement and Customer/Subscriber Account Obligations:</w:t>
            </w:r>
          </w:p>
        </w:tc>
        <w:tc>
          <w:tcPr>
            <w:tcW w:w="46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r>
      <w:tr>
        <w:trPr>
          <w:trHeight w:val="153"/>
        </w:trPr>
        <w:tc>
          <w:tcPr>
            <w:tcW w:w="64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Customer account obligations</w:t>
            </w:r>
          </w:p>
        </w:tc>
        <w:tc>
          <w:tcPr>
            <w:tcW w:w="46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745,557</w:t>
            </w:r>
          </w:p>
        </w:tc>
        <w:tc>
          <w:tcPr>
            <w:tcW w:w="80" w:type="dxa"/>
            <w:vAlign w:val="bottom"/>
          </w:tcPr>
          <w:p>
            <w:pPr>
              <w:spacing w:after="0"/>
              <w:rPr>
                <w:sz w:val="13"/>
                <w:szCs w:val="13"/>
                <w:color w:val="auto"/>
              </w:rPr>
            </w:pP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710,775</w:t>
            </w:r>
          </w:p>
        </w:tc>
      </w:tr>
      <w:tr>
        <w:trPr>
          <w:trHeight w:val="153"/>
        </w:trPr>
        <w:tc>
          <w:tcPr>
            <w:tcW w:w="6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Subscriber account obligations</w:t>
            </w:r>
          </w:p>
        </w:tc>
        <w:tc>
          <w:tcPr>
            <w:tcW w:w="460" w:type="dxa"/>
            <w:vAlign w:val="bottom"/>
            <w:tcBorders>
              <w:bottom w:val="single" w:sz="8" w:color="auto"/>
            </w:tcBorders>
            <w:shd w:val="clear" w:color="auto" w:fill="CCEEFF"/>
          </w:tcPr>
          <w:p>
            <w:pPr>
              <w:spacing w:after="0"/>
              <w:rPr>
                <w:sz w:val="13"/>
                <w:szCs w:val="13"/>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42,972</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33,921</w:t>
            </w:r>
          </w:p>
        </w:tc>
      </w:tr>
      <w:tr>
        <w:trPr>
          <w:trHeight w:val="142"/>
        </w:trPr>
        <w:tc>
          <w:tcPr>
            <w:tcW w:w="64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Total customer/subscriber account obligations</w:t>
            </w:r>
          </w:p>
        </w:tc>
        <w:tc>
          <w:tcPr>
            <w:tcW w:w="460" w:type="dxa"/>
            <w:vAlign w:val="bottom"/>
          </w:tcPr>
          <w:p>
            <w:pPr>
              <w:spacing w:after="0"/>
              <w:rPr>
                <w:sz w:val="12"/>
                <w:szCs w:val="12"/>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788,529</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744,696</w:t>
            </w:r>
          </w:p>
        </w:tc>
      </w:tr>
      <w:tr>
        <w:trPr>
          <w:trHeight w:val="153"/>
        </w:trPr>
        <w:tc>
          <w:tcPr>
            <w:tcW w:w="6400" w:type="dxa"/>
            <w:vAlign w:val="bottom"/>
            <w:shd w:val="clear" w:color="auto" w:fill="CCEEFF"/>
          </w:tcPr>
          <w:p>
            <w:pPr>
              <w:ind w:left="80"/>
              <w:spacing w:after="0" w:line="153" w:lineRule="exact"/>
              <w:rPr>
                <w:sz w:val="20"/>
                <w:szCs w:val="20"/>
                <w:color w:val="auto"/>
              </w:rPr>
            </w:pPr>
            <w:r>
              <w:rPr>
                <w:rFonts w:ascii="Times New Roman" w:cs="Times New Roman" w:eastAsia="Times New Roman" w:hAnsi="Times New Roman"/>
                <w:sz w:val="12"/>
                <w:szCs w:val="12"/>
                <w:color w:val="auto"/>
              </w:rPr>
              <w:t>Due to customers' payees</w:t>
            </w:r>
            <w:r>
              <w:rPr>
                <w:rFonts w:ascii="Times New Roman" w:cs="Times New Roman" w:eastAsia="Times New Roman" w:hAnsi="Times New Roman"/>
                <w:sz w:val="15"/>
                <w:szCs w:val="15"/>
                <w:color w:val="auto"/>
                <w:vertAlign w:val="superscript"/>
              </w:rPr>
              <w:t>(2)</w:t>
            </w:r>
          </w:p>
        </w:tc>
        <w:tc>
          <w:tcPr>
            <w:tcW w:w="460" w:type="dxa"/>
            <w:vAlign w:val="bottom"/>
            <w:tcBorders>
              <w:bottom w:val="single" w:sz="8" w:color="auto"/>
            </w:tcBorders>
            <w:shd w:val="clear" w:color="auto" w:fill="CCEEFF"/>
          </w:tcPr>
          <w:p>
            <w:pPr>
              <w:spacing w:after="0"/>
              <w:rPr>
                <w:sz w:val="13"/>
                <w:szCs w:val="13"/>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10,224</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11,058</w:t>
            </w:r>
          </w:p>
        </w:tc>
      </w:tr>
      <w:tr>
        <w:trPr>
          <w:trHeight w:val="142"/>
        </w:trPr>
        <w:tc>
          <w:tcPr>
            <w:tcW w:w="64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settlement and customer/subscriber account obligations</w:t>
            </w:r>
          </w:p>
        </w:tc>
        <w:tc>
          <w:tcPr>
            <w:tcW w:w="4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798,753</w:t>
            </w:r>
          </w:p>
        </w:tc>
        <w:tc>
          <w:tcPr>
            <w:tcW w:w="80" w:type="dxa"/>
            <w:vAlign w:val="bottom"/>
          </w:tcPr>
          <w:p>
            <w:pPr>
              <w:spacing w:after="0"/>
              <w:rPr>
                <w:sz w:val="12"/>
                <w:szCs w:val="12"/>
                <w:color w:val="auto"/>
              </w:rPr>
            </w:pPr>
          </w:p>
        </w:tc>
        <w:tc>
          <w:tcPr>
            <w:tcW w:w="4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755,754</w:t>
            </w:r>
          </w:p>
        </w:tc>
      </w:tr>
      <w:tr>
        <w:trPr>
          <w:trHeight w:val="20"/>
        </w:trPr>
        <w:tc>
          <w:tcPr>
            <w:tcW w:w="64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left="428" w:hanging="212"/>
        <w:spacing w:after="0"/>
        <w:tabs>
          <w:tab w:leader="none" w:pos="428" w:val="left"/>
        </w:tabs>
        <w:numPr>
          <w:ilvl w:val="1"/>
          <w:numId w:val="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Allowance for estimated losses was $7.5 million and $6.6 million as of June 30, 2024 and December 31, 2023, respectively.</w:t>
      </w:r>
    </w:p>
    <w:p>
      <w:pPr>
        <w:spacing w:after="0" w:line="1" w:lineRule="exact"/>
        <w:rPr>
          <w:rFonts w:ascii="Times New Roman" w:cs="Times New Roman" w:eastAsia="Times New Roman" w:hAnsi="Times New Roman"/>
          <w:sz w:val="16"/>
          <w:szCs w:val="16"/>
          <w:color w:val="auto"/>
          <w:vertAlign w:val="superscript"/>
        </w:rPr>
      </w:pPr>
    </w:p>
    <w:p>
      <w:pPr>
        <w:ind w:left="428" w:right="100" w:hanging="212"/>
        <w:spacing w:after="0" w:line="213" w:lineRule="auto"/>
        <w:tabs>
          <w:tab w:leader="none" w:pos="420" w:val="left"/>
        </w:tabs>
        <w:numPr>
          <w:ilvl w:val="1"/>
          <w:numId w:val="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Card settlements due from networks includes $7.7 million and $8.2 million as of June 30, 2024 and December 31, 2023, respectively, related assets and remainder are included in restricted cash on our Unaudited Consolidated Balance Sheets.</w:t>
      </w:r>
    </w:p>
    <w:p>
      <w:pPr>
        <w:spacing w:after="0" w:line="364" w:lineRule="exact"/>
        <w:rPr>
          <w:rFonts w:ascii="Times New Roman" w:cs="Times New Roman" w:eastAsia="Times New Roman" w:hAnsi="Times New Roman"/>
          <w:sz w:val="16"/>
          <w:szCs w:val="16"/>
          <w:color w:val="auto"/>
          <w:vertAlign w:val="superscript"/>
        </w:rPr>
      </w:pPr>
    </w:p>
    <w:p>
      <w:pPr>
        <w:ind w:left="248" w:hanging="248"/>
        <w:spacing w:after="0"/>
        <w:tabs>
          <w:tab w:leader="none" w:pos="248" w:val="left"/>
        </w:tabs>
        <w:numPr>
          <w:ilvl w:val="0"/>
          <w:numId w:val="1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Notes Receivable</w:t>
      </w:r>
    </w:p>
    <w:p>
      <w:pPr>
        <w:spacing w:after="0" w:line="154" w:lineRule="exact"/>
        <w:rPr>
          <w:sz w:val="20"/>
          <w:szCs w:val="20"/>
          <w:color w:val="auto"/>
        </w:rPr>
      </w:pPr>
    </w:p>
    <w:p>
      <w:pPr>
        <w:ind w:left="8" w:right="20"/>
        <w:spacing w:after="0" w:line="260" w:lineRule="auto"/>
        <w:rPr>
          <w:sz w:val="20"/>
          <w:szCs w:val="20"/>
          <w:color w:val="auto"/>
        </w:rPr>
      </w:pPr>
      <w:r>
        <w:rPr>
          <w:rFonts w:ascii="Times New Roman" w:cs="Times New Roman" w:eastAsia="Times New Roman" w:hAnsi="Times New Roman"/>
          <w:sz w:val="12"/>
          <w:szCs w:val="12"/>
          <w:color w:val="auto"/>
        </w:rPr>
        <w:t>The Company had notes receivable of $7.2 million and $5.2 million as of June 30, 2024 and December 31, 2023, respectively, which are reported as current portion of notes receivable and notes receivable less current portion on the Company's Unaudited Consolidated Balance Sheets. The notes receivable carried weighted-average interest rates of 18.6% as of June 30, 2024 and December 31, 2023. The notes receivable are comprised of notes receivable from ISOs, and under the terms of the agreements the Company preserves the right to hold back residual payments due to the ISOs and to apply such residuals against future payments due to the Company. As of June 30, 2024 and December 31, 2023, the Company had no allowance for doubtful notes receivable.</w:t>
      </w:r>
    </w:p>
    <w:p>
      <w:pPr>
        <w:spacing w:after="0" w:line="200" w:lineRule="exact"/>
        <w:rPr>
          <w:sz w:val="20"/>
          <w:szCs w:val="20"/>
          <w:color w:val="auto"/>
        </w:rPr>
      </w:pPr>
    </w:p>
    <w:p>
      <w:pPr>
        <w:spacing w:after="0" w:line="39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029" w:right="2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2"/>
          <w:szCs w:val="12"/>
          <w:color w:val="auto"/>
        </w:rPr>
        <w:t>As of June 30, 2024, the principal payments for the Company's notes receivable are due as follows: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 thousands)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Twelve months ending June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2025</w:t>
            </w:r>
          </w:p>
        </w:tc>
        <w:tc>
          <w:tcPr>
            <w:tcW w:w="13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5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6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tcBorders>
            <w:shd w:val="clear" w:color="auto" w:fill="CCEEFF"/>
          </w:tcPr>
          <w:p>
            <w:pPr>
              <w:spacing w:after="0"/>
              <w:rPr>
                <w:sz w:val="12"/>
                <w:szCs w:val="12"/>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2,188</w:t>
            </w:r>
          </w:p>
        </w:tc>
        <w:tc>
          <w:tcPr>
            <w:tcW w:w="0" w:type="dxa"/>
            <w:vAlign w:val="bottom"/>
          </w:tcPr>
          <w:p>
            <w:pPr>
              <w:spacing w:after="0"/>
              <w:rPr>
                <w:sz w:val="1"/>
                <w:szCs w:val="1"/>
                <w:color w:val="auto"/>
              </w:rPr>
            </w:pPr>
          </w:p>
        </w:tc>
      </w:tr>
      <w:tr>
        <w:trPr>
          <w:trHeight w:val="153"/>
        </w:trPr>
        <w:tc>
          <w:tcPr>
            <w:tcW w:w="2740" w:type="dxa"/>
            <w:vAlign w:val="bottom"/>
          </w:tcPr>
          <w:p>
            <w:pPr>
              <w:spacing w:after="0"/>
              <w:rPr>
                <w:sz w:val="20"/>
                <w:szCs w:val="20"/>
                <w:color w:val="auto"/>
              </w:rPr>
            </w:pPr>
            <w:r>
              <w:rPr>
                <w:rFonts w:ascii="Times New Roman" w:cs="Times New Roman" w:eastAsia="Times New Roman" w:hAnsi="Times New Roman"/>
                <w:sz w:val="12"/>
                <w:szCs w:val="12"/>
                <w:color w:val="auto"/>
              </w:rPr>
              <w:t>2026</w:t>
            </w:r>
          </w:p>
        </w:tc>
        <w:tc>
          <w:tcPr>
            <w:tcW w:w="1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1,932</w:t>
            </w:r>
          </w:p>
        </w:tc>
        <w:tc>
          <w:tcPr>
            <w:tcW w:w="0" w:type="dxa"/>
            <w:vAlign w:val="bottom"/>
          </w:tcPr>
          <w:p>
            <w:pPr>
              <w:spacing w:after="0"/>
              <w:rPr>
                <w:sz w:val="1"/>
                <w:szCs w:val="1"/>
                <w:color w:val="auto"/>
              </w:rPr>
            </w:pPr>
          </w:p>
        </w:tc>
      </w:tr>
      <w:tr>
        <w:trPr>
          <w:trHeight w:val="153"/>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2027</w:t>
            </w:r>
          </w:p>
        </w:tc>
        <w:tc>
          <w:tcPr>
            <w:tcW w:w="13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1,668</w:t>
            </w:r>
          </w:p>
        </w:tc>
        <w:tc>
          <w:tcPr>
            <w:tcW w:w="0" w:type="dxa"/>
            <w:vAlign w:val="bottom"/>
          </w:tcPr>
          <w:p>
            <w:pPr>
              <w:spacing w:after="0"/>
              <w:rPr>
                <w:sz w:val="1"/>
                <w:szCs w:val="1"/>
                <w:color w:val="auto"/>
              </w:rPr>
            </w:pPr>
          </w:p>
        </w:tc>
      </w:tr>
      <w:tr>
        <w:trPr>
          <w:trHeight w:val="153"/>
        </w:trPr>
        <w:tc>
          <w:tcPr>
            <w:tcW w:w="2740" w:type="dxa"/>
            <w:vAlign w:val="bottom"/>
          </w:tcPr>
          <w:p>
            <w:pPr>
              <w:spacing w:after="0"/>
              <w:rPr>
                <w:sz w:val="20"/>
                <w:szCs w:val="20"/>
                <w:color w:val="auto"/>
              </w:rPr>
            </w:pPr>
            <w:r>
              <w:rPr>
                <w:rFonts w:ascii="Times New Roman" w:cs="Times New Roman" w:eastAsia="Times New Roman" w:hAnsi="Times New Roman"/>
                <w:sz w:val="12"/>
                <w:szCs w:val="12"/>
                <w:color w:val="auto"/>
              </w:rPr>
              <w:t>2028</w:t>
            </w:r>
          </w:p>
        </w:tc>
        <w:tc>
          <w:tcPr>
            <w:tcW w:w="1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1,398</w:t>
            </w:r>
          </w:p>
        </w:tc>
        <w:tc>
          <w:tcPr>
            <w:tcW w:w="0" w:type="dxa"/>
            <w:vAlign w:val="bottom"/>
          </w:tcPr>
          <w:p>
            <w:pPr>
              <w:spacing w:after="0"/>
              <w:rPr>
                <w:sz w:val="1"/>
                <w:szCs w:val="1"/>
                <w:color w:val="auto"/>
              </w:rPr>
            </w:pPr>
          </w:p>
        </w:tc>
      </w:tr>
      <w:tr>
        <w:trPr>
          <w:trHeight w:val="153"/>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After 2028</w:t>
            </w:r>
          </w:p>
        </w:tc>
        <w:tc>
          <w:tcPr>
            <w:tcW w:w="13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2"/>
        </w:trPr>
        <w:tc>
          <w:tcPr>
            <w:tcW w:w="274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7,186</w:t>
            </w:r>
          </w:p>
        </w:tc>
        <w:tc>
          <w:tcPr>
            <w:tcW w:w="0" w:type="dxa"/>
            <w:vAlign w:val="bottom"/>
          </w:tcPr>
          <w:p>
            <w:pPr>
              <w:spacing w:after="0"/>
              <w:rPr>
                <w:sz w:val="1"/>
                <w:szCs w:val="1"/>
                <w:color w:val="auto"/>
              </w:rPr>
            </w:pPr>
          </w:p>
        </w:tc>
      </w:tr>
      <w:tr>
        <w:trPr>
          <w:trHeight w:val="20"/>
        </w:trPr>
        <w:tc>
          <w:tcPr>
            <w:tcW w:w="27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6.  Property, Equipment and Software</w:t>
            </w:r>
          </w:p>
        </w:tc>
        <w:tc>
          <w:tcPr>
            <w:tcW w:w="1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274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0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 summary of property, equipment and software, net was as follows:</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30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52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June 30, 2024</w:t>
            </w: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0" w:type="dxa"/>
            <w:vAlign w:val="bottom"/>
          </w:tcPr>
          <w:p>
            <w:pPr>
              <w:spacing w:after="0"/>
              <w:rPr>
                <w:sz w:val="1"/>
                <w:szCs w:val="1"/>
                <w:color w:val="auto"/>
              </w:rPr>
            </w:pPr>
          </w:p>
        </w:tc>
      </w:tr>
      <w:tr>
        <w:trPr>
          <w:trHeight w:val="142"/>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Computer software</w:t>
            </w:r>
          </w:p>
        </w:tc>
        <w:tc>
          <w:tcPr>
            <w:tcW w:w="1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85,934</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78,492</w:t>
            </w:r>
          </w:p>
        </w:tc>
        <w:tc>
          <w:tcPr>
            <w:tcW w:w="0" w:type="dxa"/>
            <w:vAlign w:val="bottom"/>
          </w:tcPr>
          <w:p>
            <w:pPr>
              <w:spacing w:after="0"/>
              <w:rPr>
                <w:sz w:val="1"/>
                <w:szCs w:val="1"/>
                <w:color w:val="auto"/>
              </w:rPr>
            </w:pPr>
          </w:p>
        </w:tc>
      </w:tr>
      <w:tr>
        <w:trPr>
          <w:trHeight w:val="153"/>
        </w:trPr>
        <w:tc>
          <w:tcPr>
            <w:tcW w:w="2740" w:type="dxa"/>
            <w:vAlign w:val="bottom"/>
          </w:tcPr>
          <w:p>
            <w:pPr>
              <w:spacing w:after="0"/>
              <w:rPr>
                <w:sz w:val="20"/>
                <w:szCs w:val="20"/>
                <w:color w:val="auto"/>
              </w:rPr>
            </w:pPr>
            <w:r>
              <w:rPr>
                <w:rFonts w:ascii="Times New Roman" w:cs="Times New Roman" w:eastAsia="Times New Roman" w:hAnsi="Times New Roman"/>
                <w:sz w:val="12"/>
                <w:szCs w:val="12"/>
                <w:color w:val="auto"/>
              </w:rPr>
              <w:t>Equipment</w:t>
            </w:r>
          </w:p>
        </w:tc>
        <w:tc>
          <w:tcPr>
            <w:tcW w:w="1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11,254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10,377</w:t>
            </w:r>
          </w:p>
        </w:tc>
        <w:tc>
          <w:tcPr>
            <w:tcW w:w="0" w:type="dxa"/>
            <w:vAlign w:val="bottom"/>
          </w:tcPr>
          <w:p>
            <w:pPr>
              <w:spacing w:after="0"/>
              <w:rPr>
                <w:sz w:val="1"/>
                <w:szCs w:val="1"/>
                <w:color w:val="auto"/>
              </w:rPr>
            </w:pPr>
          </w:p>
        </w:tc>
      </w:tr>
      <w:tr>
        <w:trPr>
          <w:trHeight w:val="153"/>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Leasehold improvements</w:t>
            </w:r>
          </w:p>
        </w:tc>
        <w:tc>
          <w:tcPr>
            <w:tcW w:w="13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2,739</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1,535</w:t>
            </w:r>
          </w:p>
        </w:tc>
        <w:tc>
          <w:tcPr>
            <w:tcW w:w="0" w:type="dxa"/>
            <w:vAlign w:val="bottom"/>
          </w:tcPr>
          <w:p>
            <w:pPr>
              <w:spacing w:after="0"/>
              <w:rPr>
                <w:sz w:val="1"/>
                <w:szCs w:val="1"/>
                <w:color w:val="auto"/>
              </w:rPr>
            </w:pPr>
          </w:p>
        </w:tc>
      </w:tr>
      <w:tr>
        <w:trPr>
          <w:trHeight w:val="153"/>
        </w:trPr>
        <w:tc>
          <w:tcPr>
            <w:tcW w:w="2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Furniture and fixtures</w:t>
            </w:r>
          </w:p>
        </w:tc>
        <w:tc>
          <w:tcPr>
            <w:tcW w:w="130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520" w:type="dxa"/>
            <w:vAlign w:val="bottom"/>
            <w:tcBorders>
              <w:bottom w:val="single" w:sz="8" w:color="CCEEFF"/>
            </w:tcBorders>
          </w:tcPr>
          <w:p>
            <w:pPr>
              <w:spacing w:after="0"/>
              <w:rPr>
                <w:sz w:val="13"/>
                <w:szCs w:val="13"/>
                <w:color w:val="auto"/>
              </w:rPr>
            </w:pPr>
          </w:p>
        </w:tc>
        <w:tc>
          <w:tcPr>
            <w:tcW w:w="6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1,367</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1,442</w:t>
            </w:r>
          </w:p>
        </w:tc>
        <w:tc>
          <w:tcPr>
            <w:tcW w:w="0" w:type="dxa"/>
            <w:vAlign w:val="bottom"/>
          </w:tcPr>
          <w:p>
            <w:pPr>
              <w:spacing w:after="0"/>
              <w:rPr>
                <w:sz w:val="1"/>
                <w:szCs w:val="1"/>
                <w:color w:val="auto"/>
              </w:rPr>
            </w:pPr>
          </w:p>
        </w:tc>
      </w:tr>
      <w:tr>
        <w:trPr>
          <w:trHeight w:val="142"/>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Property, equipment and software</w:t>
            </w:r>
          </w:p>
        </w:tc>
        <w:tc>
          <w:tcPr>
            <w:tcW w:w="1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101,294</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91,846</w:t>
            </w:r>
          </w:p>
        </w:tc>
        <w:tc>
          <w:tcPr>
            <w:tcW w:w="0" w:type="dxa"/>
            <w:vAlign w:val="bottom"/>
          </w:tcPr>
          <w:p>
            <w:pPr>
              <w:spacing w:after="0"/>
              <w:rPr>
                <w:sz w:val="1"/>
                <w:szCs w:val="1"/>
                <w:color w:val="auto"/>
              </w:rPr>
            </w:pPr>
          </w:p>
        </w:tc>
      </w:tr>
      <w:tr>
        <w:trPr>
          <w:trHeight w:val="153"/>
        </w:trPr>
        <w:tc>
          <w:tcPr>
            <w:tcW w:w="2740" w:type="dxa"/>
            <w:vAlign w:val="bottom"/>
          </w:tcPr>
          <w:p>
            <w:pPr>
              <w:spacing w:after="0"/>
              <w:rPr>
                <w:sz w:val="20"/>
                <w:szCs w:val="20"/>
                <w:color w:val="auto"/>
              </w:rPr>
            </w:pPr>
            <w:r>
              <w:rPr>
                <w:rFonts w:ascii="Times New Roman" w:cs="Times New Roman" w:eastAsia="Times New Roman" w:hAnsi="Times New Roman"/>
                <w:sz w:val="12"/>
                <w:szCs w:val="12"/>
                <w:color w:val="auto"/>
              </w:rPr>
              <w:t>Less: Accumulated depreciation</w:t>
            </w:r>
          </w:p>
        </w:tc>
        <w:tc>
          <w:tcPr>
            <w:tcW w:w="1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(62,980)</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(56,442)</w:t>
            </w:r>
          </w:p>
        </w:tc>
        <w:tc>
          <w:tcPr>
            <w:tcW w:w="0" w:type="dxa"/>
            <w:vAlign w:val="bottom"/>
          </w:tcPr>
          <w:p>
            <w:pPr>
              <w:spacing w:after="0"/>
              <w:rPr>
                <w:sz w:val="1"/>
                <w:szCs w:val="1"/>
                <w:color w:val="auto"/>
              </w:rPr>
            </w:pPr>
          </w:p>
        </w:tc>
      </w:tr>
      <w:tr>
        <w:trPr>
          <w:trHeight w:val="153"/>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Capital work in-progress</w:t>
            </w:r>
          </w:p>
        </w:tc>
        <w:tc>
          <w:tcPr>
            <w:tcW w:w="13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11,486</w:t>
            </w: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9,276</w:t>
            </w:r>
          </w:p>
        </w:tc>
        <w:tc>
          <w:tcPr>
            <w:tcW w:w="0" w:type="dxa"/>
            <w:vAlign w:val="bottom"/>
          </w:tcPr>
          <w:p>
            <w:pPr>
              <w:spacing w:after="0"/>
              <w:rPr>
                <w:sz w:val="1"/>
                <w:szCs w:val="1"/>
                <w:color w:val="auto"/>
              </w:rPr>
            </w:pPr>
          </w:p>
        </w:tc>
      </w:tr>
      <w:tr>
        <w:trPr>
          <w:trHeight w:val="142"/>
        </w:trPr>
        <w:tc>
          <w:tcPr>
            <w:tcW w:w="2740" w:type="dxa"/>
            <w:vAlign w:val="bottom"/>
          </w:tcPr>
          <w:p>
            <w:pPr>
              <w:spacing w:after="0"/>
              <w:rPr>
                <w:sz w:val="20"/>
                <w:szCs w:val="20"/>
                <w:color w:val="auto"/>
              </w:rPr>
            </w:pPr>
            <w:r>
              <w:rPr>
                <w:rFonts w:ascii="Times New Roman" w:cs="Times New Roman" w:eastAsia="Times New Roman" w:hAnsi="Times New Roman"/>
                <w:sz w:val="12"/>
                <w:szCs w:val="12"/>
                <w:color w:val="auto"/>
              </w:rPr>
              <w:t>Property, equipment and software, net</w:t>
            </w:r>
          </w:p>
        </w:tc>
        <w:tc>
          <w:tcPr>
            <w:tcW w:w="1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49,800</w:t>
            </w:r>
          </w:p>
        </w:tc>
        <w:tc>
          <w:tcPr>
            <w:tcW w:w="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44,680</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74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3"/>
          </w:tcPr>
          <w:p>
            <w:pPr>
              <w:jc w:val="right"/>
              <w:ind w:right="720"/>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6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6"/>
          </w:tcPr>
          <w:p>
            <w:pPr>
              <w:jc w:val="right"/>
              <w:ind w:right="1280"/>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c>
          <w:tcPr>
            <w:tcW w:w="0" w:type="dxa"/>
            <w:vAlign w:val="bottom"/>
          </w:tcPr>
          <w:p>
            <w:pPr>
              <w:spacing w:after="0"/>
              <w:rPr>
                <w:sz w:val="1"/>
                <w:szCs w:val="1"/>
                <w:color w:val="auto"/>
              </w:rPr>
            </w:pPr>
          </w:p>
        </w:tc>
      </w:tr>
      <w:tr>
        <w:trPr>
          <w:trHeight w:val="142"/>
        </w:trPr>
        <w:tc>
          <w:tcPr>
            <w:tcW w:w="2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3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2"/>
                <w:szCs w:val="12"/>
                <w:b w:val="1"/>
                <w:bCs w:val="1"/>
                <w:color w:val="auto"/>
              </w:rPr>
              <w:t>2024</w:t>
            </w:r>
          </w:p>
        </w:tc>
        <w:tc>
          <w:tcPr>
            <w:tcW w:w="8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5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2023</w:t>
            </w:r>
          </w:p>
        </w:tc>
        <w:tc>
          <w:tcPr>
            <w:tcW w:w="6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ind w:right="8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ind w:right="780"/>
              <w:spacing w:after="0"/>
              <w:rPr>
                <w:sz w:val="20"/>
                <w:szCs w:val="20"/>
                <w:color w:val="auto"/>
              </w:rPr>
            </w:pPr>
            <w:r>
              <w:rPr>
                <w:rFonts w:ascii="Times New Roman" w:cs="Times New Roman" w:eastAsia="Times New Roman" w:hAnsi="Times New Roman"/>
                <w:sz w:val="12"/>
                <w:szCs w:val="12"/>
                <w:b w:val="1"/>
                <w:bCs w:val="1"/>
                <w:color w:val="auto"/>
              </w:rPr>
              <w:t>2023</w:t>
            </w:r>
          </w:p>
        </w:tc>
        <w:tc>
          <w:tcPr>
            <w:tcW w:w="0" w:type="dxa"/>
            <w:vAlign w:val="bottom"/>
          </w:tcPr>
          <w:p>
            <w:pPr>
              <w:spacing w:after="0"/>
              <w:rPr>
                <w:sz w:val="1"/>
                <w:szCs w:val="1"/>
                <w:color w:val="auto"/>
              </w:rPr>
            </w:pPr>
          </w:p>
        </w:tc>
      </w:tr>
      <w:tr>
        <w:trPr>
          <w:trHeight w:val="142"/>
        </w:trPr>
        <w:tc>
          <w:tcPr>
            <w:tcW w:w="2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Depreciation expense</w:t>
            </w:r>
          </w:p>
        </w:tc>
        <w:tc>
          <w:tcPr>
            <w:tcW w:w="1300" w:type="dxa"/>
            <w:vAlign w:val="bottom"/>
            <w:shd w:val="clear" w:color="auto" w:fill="CCEEFF"/>
          </w:tcPr>
          <w:p>
            <w:pPr>
              <w:jc w:val="right"/>
              <w:ind w:right="11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3,428</w:t>
            </w:r>
          </w:p>
        </w:tc>
        <w:tc>
          <w:tcPr>
            <w:tcW w:w="100" w:type="dxa"/>
            <w:vAlign w:val="bottom"/>
            <w:shd w:val="clear" w:color="auto" w:fill="CCEEFF"/>
          </w:tcPr>
          <w:p>
            <w:pPr>
              <w:spacing w:after="0"/>
              <w:rPr>
                <w:sz w:val="12"/>
                <w:szCs w:val="12"/>
                <w:color w:val="auto"/>
              </w:rPr>
            </w:pPr>
          </w:p>
        </w:tc>
        <w:tc>
          <w:tcPr>
            <w:tcW w:w="1520" w:type="dxa"/>
            <w:vAlign w:val="bottom"/>
            <w:shd w:val="clear" w:color="auto" w:fill="CCEEFF"/>
          </w:tcPr>
          <w:p>
            <w:pPr>
              <w:jc w:val="right"/>
              <w:ind w:right="138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2,815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shd w:val="clear" w:color="auto" w:fill="CCEEFF"/>
          </w:tcPr>
          <w:p>
            <w:pPr>
              <w:spacing w:after="0"/>
              <w:rPr>
                <w:sz w:val="12"/>
                <w:szCs w:val="1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6,598</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2"/>
                <w:szCs w:val="12"/>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5,572</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Computer software represents purchased software and internally developed software that is used to provide the Company's services to its customers.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Fully depreciated assets are retained in property, equipment and software, net, until removed from service. During the three and six months ended June 30, 2024, certain fully depreciated assets were removed from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9" w:right="29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59"/>
        </w:trPr>
        <w:tc>
          <w:tcPr>
            <w:tcW w:w="4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7.  Goodwill and Other Intangible Assets</w:t>
            </w:r>
          </w:p>
        </w:tc>
        <w:tc>
          <w:tcPr>
            <w:tcW w:w="2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4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Goodwill</w:t>
            </w: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240" w:type="dxa"/>
            <w:vAlign w:val="bottom"/>
          </w:tcPr>
          <w:p>
            <w:pPr>
              <w:spacing w:after="0"/>
              <w:rPr>
                <w:sz w:val="20"/>
                <w:szCs w:val="20"/>
                <w:color w:val="auto"/>
              </w:rPr>
            </w:pPr>
            <w:r>
              <w:rPr>
                <w:rFonts w:ascii="Times New Roman" w:cs="Times New Roman" w:eastAsia="Times New Roman" w:hAnsi="Times New Roman"/>
                <w:sz w:val="12"/>
                <w:szCs w:val="12"/>
                <w:color w:val="auto"/>
              </w:rPr>
              <w:t>The Company's goodwill relates to the following reporting units:</w:t>
            </w: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4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0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June 30, 2024</w:t>
            </w:r>
          </w:p>
        </w:tc>
        <w:tc>
          <w:tcPr>
            <w:tcW w:w="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0" w:type="dxa"/>
            <w:vAlign w:val="bottom"/>
          </w:tcPr>
          <w:p>
            <w:pPr>
              <w:spacing w:after="0"/>
              <w:rPr>
                <w:sz w:val="1"/>
                <w:szCs w:val="1"/>
                <w:color w:val="auto"/>
              </w:rPr>
            </w:pPr>
          </w:p>
        </w:tc>
      </w:tr>
      <w:tr>
        <w:trPr>
          <w:trHeight w:val="14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SMB Payments</w:t>
            </w:r>
          </w:p>
        </w:tc>
        <w:tc>
          <w:tcPr>
            <w:tcW w:w="2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124,139</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45"/>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124,139</w:t>
            </w:r>
          </w:p>
        </w:tc>
        <w:tc>
          <w:tcPr>
            <w:tcW w:w="0" w:type="dxa"/>
            <w:vAlign w:val="bottom"/>
          </w:tcPr>
          <w:p>
            <w:pPr>
              <w:spacing w:after="0"/>
              <w:rPr>
                <w:sz w:val="1"/>
                <w:szCs w:val="1"/>
                <w:color w:val="auto"/>
              </w:rPr>
            </w:pPr>
          </w:p>
        </w:tc>
      </w:tr>
      <w:tr>
        <w:trPr>
          <w:trHeight w:val="153"/>
        </w:trPr>
        <w:tc>
          <w:tcPr>
            <w:tcW w:w="4240" w:type="dxa"/>
            <w:vAlign w:val="bottom"/>
          </w:tcPr>
          <w:p>
            <w:pPr>
              <w:spacing w:after="0"/>
              <w:rPr>
                <w:sz w:val="20"/>
                <w:szCs w:val="20"/>
                <w:color w:val="auto"/>
              </w:rPr>
            </w:pPr>
            <w:r>
              <w:rPr>
                <w:rFonts w:ascii="Times New Roman" w:cs="Times New Roman" w:eastAsia="Times New Roman" w:hAnsi="Times New Roman"/>
                <w:sz w:val="12"/>
                <w:szCs w:val="12"/>
                <w:color w:val="auto"/>
              </w:rPr>
              <w:t>Enterprise Payments</w:t>
            </w:r>
          </w:p>
        </w:tc>
        <w:tc>
          <w:tcPr>
            <w:tcW w:w="2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244,712</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244,712</w:t>
            </w:r>
          </w:p>
        </w:tc>
        <w:tc>
          <w:tcPr>
            <w:tcW w:w="0" w:type="dxa"/>
            <w:vAlign w:val="bottom"/>
          </w:tcPr>
          <w:p>
            <w:pPr>
              <w:spacing w:after="0"/>
              <w:rPr>
                <w:sz w:val="1"/>
                <w:szCs w:val="1"/>
                <w:color w:val="auto"/>
              </w:rPr>
            </w:pPr>
          </w:p>
        </w:tc>
      </w:tr>
      <w:tr>
        <w:trPr>
          <w:trHeight w:val="153"/>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Plastiq (B2B Payments)</w:t>
            </w:r>
          </w:p>
        </w:tc>
        <w:tc>
          <w:tcPr>
            <w:tcW w:w="2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7,240</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7,252</w:t>
            </w:r>
          </w:p>
        </w:tc>
        <w:tc>
          <w:tcPr>
            <w:tcW w:w="0" w:type="dxa"/>
            <w:vAlign w:val="bottom"/>
          </w:tcPr>
          <w:p>
            <w:pPr>
              <w:spacing w:after="0"/>
              <w:rPr>
                <w:sz w:val="1"/>
                <w:szCs w:val="1"/>
                <w:color w:val="auto"/>
              </w:rPr>
            </w:pPr>
          </w:p>
        </w:tc>
      </w:tr>
      <w:tr>
        <w:trPr>
          <w:trHeight w:val="142"/>
        </w:trPr>
        <w:tc>
          <w:tcPr>
            <w:tcW w:w="424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2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376,091</w:t>
            </w:r>
          </w:p>
        </w:tc>
        <w:tc>
          <w:tcPr>
            <w:tcW w:w="80" w:type="dxa"/>
            <w:vAlign w:val="bottom"/>
          </w:tcPr>
          <w:p>
            <w:pPr>
              <w:spacing w:after="0"/>
              <w:rPr>
                <w:sz w:val="12"/>
                <w:szCs w:val="12"/>
                <w:color w:val="auto"/>
              </w:rPr>
            </w:pPr>
          </w:p>
        </w:tc>
        <w:tc>
          <w:tcPr>
            <w:tcW w:w="36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376,103</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The following table summarizes the changes in the carrying value of goodwill:</w:t>
            </w: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42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4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0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7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0" w:type="dxa"/>
            <w:vAlign w:val="bottom"/>
          </w:tcPr>
          <w:p>
            <w:pPr>
              <w:spacing w:after="0"/>
              <w:rPr>
                <w:sz w:val="1"/>
                <w:szCs w:val="1"/>
                <w:color w:val="auto"/>
              </w:rPr>
            </w:pPr>
          </w:p>
        </w:tc>
      </w:tr>
      <w:tr>
        <w:trPr>
          <w:trHeight w:val="14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December 31, 2023</w:t>
            </w:r>
          </w:p>
        </w:tc>
        <w:tc>
          <w:tcPr>
            <w:tcW w:w="2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45"/>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376,103</w:t>
            </w:r>
          </w:p>
        </w:tc>
        <w:tc>
          <w:tcPr>
            <w:tcW w:w="0" w:type="dxa"/>
            <w:vAlign w:val="bottom"/>
          </w:tcPr>
          <w:p>
            <w:pPr>
              <w:spacing w:after="0"/>
              <w:rPr>
                <w:sz w:val="1"/>
                <w:szCs w:val="1"/>
                <w:color w:val="auto"/>
              </w:rPr>
            </w:pPr>
          </w:p>
        </w:tc>
      </w:tr>
      <w:tr>
        <w:trPr>
          <w:trHeight w:val="153"/>
        </w:trPr>
        <w:tc>
          <w:tcPr>
            <w:tcW w:w="42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Plastiq adjustment</w:t>
            </w:r>
          </w:p>
        </w:tc>
        <w:tc>
          <w:tcPr>
            <w:tcW w:w="200" w:type="dxa"/>
            <w:vAlign w:val="bottom"/>
            <w:tcBorders>
              <w:bottom w:val="single" w:sz="8" w:color="CCEEFF"/>
            </w:tcBorders>
          </w:tcPr>
          <w:p>
            <w:pPr>
              <w:spacing w:after="0"/>
              <w:rPr>
                <w:sz w:val="13"/>
                <w:szCs w:val="13"/>
                <w:color w:val="auto"/>
              </w:rPr>
            </w:pPr>
          </w:p>
        </w:tc>
        <w:tc>
          <w:tcPr>
            <w:tcW w:w="158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040" w:type="dxa"/>
            <w:vAlign w:val="bottom"/>
            <w:tcBorders>
              <w:bottom w:val="single" w:sz="8" w:color="CCEEFF"/>
            </w:tcBorders>
          </w:tcPr>
          <w:p>
            <w:pPr>
              <w:spacing w:after="0"/>
              <w:rPr>
                <w:sz w:val="13"/>
                <w:szCs w:val="13"/>
                <w:color w:val="auto"/>
              </w:rPr>
            </w:pPr>
          </w:p>
        </w:tc>
        <w:tc>
          <w:tcPr>
            <w:tcW w:w="5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3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0" w:type="dxa"/>
            <w:vAlign w:val="bottom"/>
          </w:tcPr>
          <w:p>
            <w:pPr>
              <w:spacing w:after="0"/>
              <w:rPr>
                <w:sz w:val="1"/>
                <w:szCs w:val="1"/>
                <w:color w:val="auto"/>
              </w:rPr>
            </w:pPr>
          </w:p>
        </w:tc>
      </w:tr>
      <w:tr>
        <w:trPr>
          <w:trHeight w:val="162"/>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Balance at June 30, 2024</w:t>
            </w:r>
          </w:p>
        </w:tc>
        <w:tc>
          <w:tcPr>
            <w:tcW w:w="200" w:type="dxa"/>
            <w:vAlign w:val="bottom"/>
            <w:tcBorders>
              <w:bottom w:val="single" w:sz="8" w:color="CCEEFF"/>
            </w:tcBorders>
            <w:shd w:val="clear" w:color="auto" w:fill="CCEEFF"/>
          </w:tcPr>
          <w:p>
            <w:pPr>
              <w:spacing w:after="0"/>
              <w:rPr>
                <w:sz w:val="14"/>
                <w:szCs w:val="14"/>
                <w:color w:val="auto"/>
              </w:rPr>
            </w:pPr>
          </w:p>
        </w:tc>
        <w:tc>
          <w:tcPr>
            <w:tcW w:w="15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4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376,091</w:t>
            </w:r>
          </w:p>
        </w:tc>
        <w:tc>
          <w:tcPr>
            <w:tcW w:w="0" w:type="dxa"/>
            <w:vAlign w:val="bottom"/>
          </w:tcPr>
          <w:p>
            <w:pPr>
              <w:spacing w:after="0"/>
              <w:rPr>
                <w:sz w:val="1"/>
                <w:szCs w:val="1"/>
                <w:color w:val="auto"/>
              </w:rPr>
            </w:pPr>
          </w:p>
        </w:tc>
      </w:tr>
      <w:tr>
        <w:trPr>
          <w:trHeight w:val="338"/>
        </w:trPr>
        <w:tc>
          <w:tcPr>
            <w:tcW w:w="7840" w:type="dxa"/>
            <w:vAlign w:val="bottom"/>
            <w:gridSpan w:val="7"/>
          </w:tcPr>
          <w:p>
            <w:pPr>
              <w:spacing w:after="0"/>
              <w:rPr>
                <w:sz w:val="20"/>
                <w:szCs w:val="20"/>
                <w:color w:val="auto"/>
              </w:rPr>
            </w:pPr>
            <w:r>
              <w:rPr>
                <w:rFonts w:ascii="Times New Roman" w:cs="Times New Roman" w:eastAsia="Times New Roman" w:hAnsi="Times New Roman"/>
                <w:sz w:val="12"/>
                <w:szCs w:val="12"/>
                <w:color w:val="auto"/>
              </w:rPr>
              <w:t>As of June 30, 2024, the Company is not aware of any triggering events for impairment that have occurred since the last annual impairment test.</w:t>
            </w: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Other Intangible Assets</w:t>
            </w: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240" w:type="dxa"/>
            <w:vAlign w:val="bottom"/>
          </w:tcPr>
          <w:p>
            <w:pPr>
              <w:spacing w:after="0"/>
              <w:rPr>
                <w:sz w:val="20"/>
                <w:szCs w:val="20"/>
                <w:color w:val="auto"/>
              </w:rPr>
            </w:pPr>
            <w:r>
              <w:rPr>
                <w:rFonts w:ascii="Times New Roman" w:cs="Times New Roman" w:eastAsia="Times New Roman" w:hAnsi="Times New Roman"/>
                <w:sz w:val="12"/>
                <w:szCs w:val="12"/>
                <w:color w:val="auto"/>
              </w:rPr>
              <w:t>Other intangible assets consisted of the following:</w:t>
            </w: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4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June 30, 2024</w:t>
            </w:r>
          </w:p>
        </w:tc>
        <w:tc>
          <w:tcPr>
            <w:tcW w:w="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vMerge w:val="restart"/>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Weighted-average</w:t>
            </w:r>
          </w:p>
        </w:tc>
        <w:tc>
          <w:tcPr>
            <w:tcW w:w="0" w:type="dxa"/>
            <w:vAlign w:val="bottom"/>
          </w:tcPr>
          <w:p>
            <w:pPr>
              <w:spacing w:after="0"/>
              <w:rPr>
                <w:sz w:val="1"/>
                <w:szCs w:val="1"/>
                <w:color w:val="auto"/>
              </w:rPr>
            </w:pPr>
          </w:p>
        </w:tc>
      </w:tr>
      <w:tr>
        <w:trPr>
          <w:trHeight w:val="100"/>
        </w:trPr>
        <w:tc>
          <w:tcPr>
            <w:tcW w:w="4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Gross Carrying Value</w:t>
            </w:r>
          </w:p>
        </w:tc>
        <w:tc>
          <w:tcPr>
            <w:tcW w:w="140" w:type="dxa"/>
            <w:vAlign w:val="bottom"/>
          </w:tcPr>
          <w:p>
            <w:pPr>
              <w:spacing w:after="0"/>
              <w:rPr>
                <w:sz w:val="8"/>
                <w:szCs w:val="8"/>
                <w:color w:val="auto"/>
              </w:rPr>
            </w:pPr>
          </w:p>
        </w:tc>
        <w:tc>
          <w:tcPr>
            <w:tcW w:w="1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Accumulated Amortization</w:t>
            </w:r>
          </w:p>
        </w:tc>
        <w:tc>
          <w:tcPr>
            <w:tcW w:w="80" w:type="dxa"/>
            <w:vAlign w:val="bottom"/>
          </w:tcPr>
          <w:p>
            <w:pPr>
              <w:spacing w:after="0"/>
              <w:rPr>
                <w:sz w:val="8"/>
                <w:szCs w:val="8"/>
                <w:color w:val="auto"/>
              </w:rPr>
            </w:pPr>
          </w:p>
        </w:tc>
        <w:tc>
          <w:tcPr>
            <w:tcW w:w="1760" w:type="dxa"/>
            <w:vAlign w:val="bottom"/>
            <w:gridSpan w:val="3"/>
            <w:vMerge w:val="restart"/>
          </w:tcPr>
          <w:p>
            <w:pPr>
              <w:jc w:val="right"/>
              <w:ind w:right="325"/>
              <w:spacing w:after="0"/>
              <w:rPr>
                <w:sz w:val="20"/>
                <w:szCs w:val="20"/>
                <w:color w:val="auto"/>
              </w:rPr>
            </w:pPr>
            <w:r>
              <w:rPr>
                <w:rFonts w:ascii="Times New Roman" w:cs="Times New Roman" w:eastAsia="Times New Roman" w:hAnsi="Times New Roman"/>
                <w:sz w:val="12"/>
                <w:szCs w:val="12"/>
                <w:b w:val="1"/>
                <w:bCs w:val="1"/>
                <w:color w:val="auto"/>
              </w:rPr>
              <w:t>Net Carrying Value</w:t>
            </w:r>
          </w:p>
        </w:tc>
        <w:tc>
          <w:tcPr>
            <w:tcW w:w="80" w:type="dxa"/>
            <w:vAlign w:val="bottom"/>
          </w:tcPr>
          <w:p>
            <w:pPr>
              <w:spacing w:after="0"/>
              <w:rPr>
                <w:sz w:val="8"/>
                <w:szCs w:val="8"/>
                <w:color w:val="auto"/>
              </w:rPr>
            </w:pPr>
          </w:p>
        </w:tc>
        <w:tc>
          <w:tcPr>
            <w:tcW w:w="1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9"/>
        </w:trPr>
        <w:tc>
          <w:tcPr>
            <w:tcW w:w="42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 except weighted-average data)</w:t>
            </w:r>
          </w:p>
        </w:tc>
        <w:tc>
          <w:tcPr>
            <w:tcW w:w="200" w:type="dxa"/>
            <w:vAlign w:val="bottom"/>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Useful Life</w:t>
            </w:r>
          </w:p>
        </w:tc>
        <w:tc>
          <w:tcPr>
            <w:tcW w:w="0" w:type="dxa"/>
            <w:vAlign w:val="bottom"/>
          </w:tcPr>
          <w:p>
            <w:pPr>
              <w:spacing w:after="0"/>
              <w:rPr>
                <w:sz w:val="1"/>
                <w:szCs w:val="1"/>
                <w:color w:val="auto"/>
              </w:rPr>
            </w:pPr>
          </w:p>
        </w:tc>
      </w:tr>
      <w:tr>
        <w:trPr>
          <w:trHeight w:val="133"/>
        </w:trPr>
        <w:tc>
          <w:tcPr>
            <w:tcW w:w="42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Other intangible assets:</w:t>
            </w:r>
          </w:p>
        </w:tc>
        <w:tc>
          <w:tcPr>
            <w:tcW w:w="200" w:type="dxa"/>
            <w:vAlign w:val="bottom"/>
            <w:tcBorders>
              <w:top w:val="single" w:sz="8" w:color="auto"/>
            </w:tcBorders>
            <w:shd w:val="clear" w:color="auto" w:fill="CCEEFF"/>
          </w:tcPr>
          <w:p>
            <w:pPr>
              <w:spacing w:after="0"/>
              <w:rPr>
                <w:sz w:val="11"/>
                <w:szCs w:val="11"/>
                <w:color w:val="auto"/>
              </w:rPr>
            </w:pPr>
          </w:p>
        </w:tc>
        <w:tc>
          <w:tcPr>
            <w:tcW w:w="15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5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ISO and referral partner relationships</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182,339</w:t>
            </w:r>
          </w:p>
        </w:tc>
        <w:tc>
          <w:tcPr>
            <w:tcW w:w="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(43,054)</w:t>
            </w:r>
          </w:p>
        </w:tc>
        <w:tc>
          <w:tcPr>
            <w:tcW w:w="1400" w:type="dxa"/>
            <w:vAlign w:val="bottom"/>
            <w:gridSpan w:val="2"/>
          </w:tcPr>
          <w:p>
            <w:pPr>
              <w:jc w:val="right"/>
              <w:ind w:right="118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7"/>
              </w:rPr>
              <w:t>139,285</w:t>
            </w:r>
          </w:p>
        </w:tc>
        <w:tc>
          <w:tcPr>
            <w:tcW w:w="16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color w:val="auto"/>
              </w:rPr>
              <w:t>14.6</w:t>
            </w:r>
          </w:p>
        </w:tc>
        <w:tc>
          <w:tcPr>
            <w:tcW w:w="0" w:type="dxa"/>
            <w:vAlign w:val="bottom"/>
          </w:tcPr>
          <w:p>
            <w:pPr>
              <w:spacing w:after="0"/>
              <w:rPr>
                <w:sz w:val="1"/>
                <w:szCs w:val="1"/>
                <w:color w:val="auto"/>
              </w:rPr>
            </w:pPr>
          </w:p>
        </w:tc>
      </w:tr>
      <w:tr>
        <w:trPr>
          <w:trHeight w:val="153"/>
        </w:trPr>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Residual buyouts</w:t>
            </w:r>
          </w:p>
        </w:tc>
        <w:tc>
          <w:tcPr>
            <w:tcW w:w="20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143,564</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(98,310)</w:t>
            </w: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45,254</w:t>
            </w:r>
          </w:p>
        </w:tc>
        <w:tc>
          <w:tcPr>
            <w:tcW w:w="162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3"/>
              </w:rPr>
              <w:t>6.3</w:t>
            </w:r>
          </w:p>
        </w:tc>
        <w:tc>
          <w:tcPr>
            <w:tcW w:w="0" w:type="dxa"/>
            <w:vAlign w:val="bottom"/>
          </w:tcPr>
          <w:p>
            <w:pPr>
              <w:spacing w:after="0"/>
              <w:rPr>
                <w:sz w:val="1"/>
                <w:szCs w:val="1"/>
                <w:color w:val="auto"/>
              </w:rPr>
            </w:pPr>
          </w:p>
        </w:tc>
      </w:tr>
      <w:tr>
        <w:trPr>
          <w:trHeight w:val="153"/>
        </w:trPr>
        <w:tc>
          <w:tcPr>
            <w:tcW w:w="4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Customer relationships</w:t>
            </w:r>
          </w:p>
        </w:tc>
        <w:tc>
          <w:tcPr>
            <w:tcW w:w="20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109,017</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(94,110)</w:t>
            </w: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14,907</w:t>
            </w:r>
          </w:p>
        </w:tc>
        <w:tc>
          <w:tcPr>
            <w:tcW w:w="16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color w:val="auto"/>
                <w:w w:val="93"/>
              </w:rPr>
              <w:t>8.4</w:t>
            </w:r>
          </w:p>
        </w:tc>
        <w:tc>
          <w:tcPr>
            <w:tcW w:w="0" w:type="dxa"/>
            <w:vAlign w:val="bottom"/>
          </w:tcPr>
          <w:p>
            <w:pPr>
              <w:spacing w:after="0"/>
              <w:rPr>
                <w:sz w:val="1"/>
                <w:szCs w:val="1"/>
                <w:color w:val="auto"/>
              </w:rPr>
            </w:pPr>
          </w:p>
        </w:tc>
      </w:tr>
      <w:tr>
        <w:trPr>
          <w:trHeight w:val="153"/>
        </w:trPr>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Merchant portfolios</w:t>
            </w:r>
          </w:p>
        </w:tc>
        <w:tc>
          <w:tcPr>
            <w:tcW w:w="20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83,350</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(62,983)</w:t>
            </w: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20,367</w:t>
            </w:r>
          </w:p>
        </w:tc>
        <w:tc>
          <w:tcPr>
            <w:tcW w:w="162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3"/>
              </w:rPr>
              <w:t>6.5</w:t>
            </w:r>
          </w:p>
        </w:tc>
        <w:tc>
          <w:tcPr>
            <w:tcW w:w="0" w:type="dxa"/>
            <w:vAlign w:val="bottom"/>
          </w:tcPr>
          <w:p>
            <w:pPr>
              <w:spacing w:after="0"/>
              <w:rPr>
                <w:sz w:val="1"/>
                <w:szCs w:val="1"/>
                <w:color w:val="auto"/>
              </w:rPr>
            </w:pPr>
          </w:p>
        </w:tc>
      </w:tr>
      <w:tr>
        <w:trPr>
          <w:trHeight w:val="153"/>
        </w:trPr>
        <w:tc>
          <w:tcPr>
            <w:tcW w:w="4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Technology</w:t>
            </w:r>
          </w:p>
        </w:tc>
        <w:tc>
          <w:tcPr>
            <w:tcW w:w="20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57,639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(25,151)</w:t>
            </w: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32,488</w:t>
            </w:r>
          </w:p>
        </w:tc>
        <w:tc>
          <w:tcPr>
            <w:tcW w:w="16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color w:val="auto"/>
                <w:w w:val="93"/>
              </w:rPr>
              <w:t>8.7</w:t>
            </w:r>
          </w:p>
        </w:tc>
        <w:tc>
          <w:tcPr>
            <w:tcW w:w="0" w:type="dxa"/>
            <w:vAlign w:val="bottom"/>
          </w:tcPr>
          <w:p>
            <w:pPr>
              <w:spacing w:after="0"/>
              <w:rPr>
                <w:sz w:val="1"/>
                <w:szCs w:val="1"/>
                <w:color w:val="auto"/>
              </w:rPr>
            </w:pPr>
          </w:p>
        </w:tc>
      </w:tr>
      <w:tr>
        <w:trPr>
          <w:trHeight w:val="153"/>
        </w:trPr>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Trade names</w:t>
            </w:r>
          </w:p>
        </w:tc>
        <w:tc>
          <w:tcPr>
            <w:tcW w:w="20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7,104</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(2,873)</w:t>
            </w: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4,231</w:t>
            </w:r>
          </w:p>
        </w:tc>
        <w:tc>
          <w:tcPr>
            <w:tcW w:w="162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rPr>
              <w:t>10.6</w:t>
            </w:r>
          </w:p>
        </w:tc>
        <w:tc>
          <w:tcPr>
            <w:tcW w:w="0" w:type="dxa"/>
            <w:vAlign w:val="bottom"/>
          </w:tcPr>
          <w:p>
            <w:pPr>
              <w:spacing w:after="0"/>
              <w:rPr>
                <w:sz w:val="1"/>
                <w:szCs w:val="1"/>
                <w:color w:val="auto"/>
              </w:rPr>
            </w:pPr>
          </w:p>
        </w:tc>
      </w:tr>
      <w:tr>
        <w:trPr>
          <w:trHeight w:val="153"/>
        </w:trPr>
        <w:tc>
          <w:tcPr>
            <w:tcW w:w="4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Non-compete agreements</w:t>
            </w:r>
          </w:p>
        </w:tc>
        <w:tc>
          <w:tcPr>
            <w:tcW w:w="20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3,390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(3,390)</w:t>
            </w: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color w:val="auto"/>
                <w:w w:val="93"/>
              </w:rPr>
              <w:t>0.0</w:t>
            </w:r>
          </w:p>
        </w:tc>
        <w:tc>
          <w:tcPr>
            <w:tcW w:w="0" w:type="dxa"/>
            <w:vAlign w:val="bottom"/>
          </w:tcPr>
          <w:p>
            <w:pPr>
              <w:spacing w:after="0"/>
              <w:rPr>
                <w:sz w:val="1"/>
                <w:szCs w:val="1"/>
                <w:color w:val="auto"/>
              </w:rPr>
            </w:pPr>
          </w:p>
        </w:tc>
      </w:tr>
      <w:tr>
        <w:trPr>
          <w:trHeight w:val="153"/>
        </w:trPr>
        <w:tc>
          <w:tcPr>
            <w:tcW w:w="4240" w:type="dxa"/>
            <w:vAlign w:val="bottom"/>
            <w:shd w:val="clear" w:color="auto" w:fill="CCEEFF"/>
          </w:tcPr>
          <w:p>
            <w:pPr>
              <w:ind w:left="80"/>
              <w:spacing w:after="0" w:line="153" w:lineRule="exact"/>
              <w:rPr>
                <w:sz w:val="20"/>
                <w:szCs w:val="20"/>
                <w:color w:val="auto"/>
              </w:rPr>
            </w:pPr>
            <w:r>
              <w:rPr>
                <w:rFonts w:ascii="Times New Roman" w:cs="Times New Roman" w:eastAsia="Times New Roman" w:hAnsi="Times New Roman"/>
                <w:sz w:val="12"/>
                <w:szCs w:val="12"/>
                <w:color w:val="auto"/>
              </w:rPr>
              <w:t>Money transmission licenses</w:t>
            </w:r>
            <w:r>
              <w:rPr>
                <w:rFonts w:ascii="Times New Roman" w:cs="Times New Roman" w:eastAsia="Times New Roman" w:hAnsi="Times New Roman"/>
                <w:sz w:val="15"/>
                <w:szCs w:val="15"/>
                <w:color w:val="auto"/>
                <w:vertAlign w:val="superscript"/>
              </w:rPr>
              <w:t>(1)</w:t>
            </w:r>
          </w:p>
        </w:tc>
        <w:tc>
          <w:tcPr>
            <w:tcW w:w="200" w:type="dxa"/>
            <w:vAlign w:val="bottom"/>
            <w:tcBorders>
              <w:bottom w:val="single" w:sz="8" w:color="auto"/>
            </w:tcBorders>
            <w:shd w:val="clear" w:color="auto" w:fill="CCEEFF"/>
          </w:tcPr>
          <w:p>
            <w:pPr>
              <w:spacing w:after="0"/>
              <w:rPr>
                <w:sz w:val="13"/>
                <w:szCs w:val="1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2,100</w:t>
            </w:r>
          </w:p>
        </w:tc>
        <w:tc>
          <w:tcPr>
            <w:tcW w:w="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2,100</w:t>
            </w:r>
          </w:p>
        </w:tc>
        <w:tc>
          <w:tcPr>
            <w:tcW w:w="8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240" w:type="dxa"/>
            <w:vAlign w:val="bottom"/>
          </w:tcPr>
          <w:p>
            <w:pPr>
              <w:ind w:left="14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2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588,503</w:t>
            </w:r>
          </w:p>
        </w:tc>
        <w:tc>
          <w:tcPr>
            <w:tcW w:w="60" w:type="dxa"/>
            <w:vAlign w:val="bottom"/>
          </w:tcPr>
          <w:p>
            <w:pPr>
              <w:spacing w:after="0"/>
              <w:rPr>
                <w:sz w:val="12"/>
                <w:szCs w:val="1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(329,871)</w:t>
            </w:r>
          </w:p>
        </w:tc>
        <w:tc>
          <w:tcPr>
            <w:tcW w:w="80" w:type="dxa"/>
            <w:vAlign w:val="bottom"/>
          </w:tcPr>
          <w:p>
            <w:pPr>
              <w:spacing w:after="0"/>
              <w:rPr>
                <w:sz w:val="12"/>
                <w:szCs w:val="12"/>
                <w:color w:val="auto"/>
              </w:rPr>
            </w:pPr>
          </w:p>
        </w:tc>
        <w:tc>
          <w:tcPr>
            <w:tcW w:w="1320" w:type="dxa"/>
            <w:vAlign w:val="bottom"/>
            <w:tcBorders>
              <w:bottom w:val="single" w:sz="8" w:color="auto"/>
            </w:tcBorders>
          </w:tcPr>
          <w:p>
            <w:pPr>
              <w:jc w:val="right"/>
              <w:ind w:right="11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w w:val="97"/>
              </w:rPr>
              <w:t>258,632</w:t>
            </w:r>
          </w:p>
        </w:tc>
        <w:tc>
          <w:tcPr>
            <w:tcW w:w="16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w w:val="93"/>
              </w:rPr>
              <w:t>9.6</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left="200"/>
        <w:spacing w:after="0"/>
        <w:tabs>
          <w:tab w:leader="none" w:pos="400" w:val="left"/>
        </w:tabs>
        <w:rPr>
          <w:sz w:val="20"/>
          <w:szCs w:val="20"/>
          <w:color w:val="auto"/>
        </w:rPr>
      </w:pPr>
      <w:r>
        <w:rPr>
          <w:rFonts w:ascii="Times New Roman" w:cs="Times New Roman" w:eastAsia="Times New Roman" w:hAnsi="Times New Roman"/>
          <w:sz w:val="16"/>
          <w:szCs w:val="16"/>
          <w:color w:val="auto"/>
          <w:vertAlign w:val="superscript"/>
        </w:rPr>
        <w:t>(1)</w:t>
      </w:r>
      <w:r>
        <w:rPr>
          <w:sz w:val="20"/>
          <w:szCs w:val="20"/>
          <w:color w:val="auto"/>
        </w:rPr>
        <w:tab/>
      </w:r>
      <w:r>
        <w:rPr>
          <w:rFonts w:ascii="Times New Roman" w:cs="Times New Roman" w:eastAsia="Times New Roman" w:hAnsi="Times New Roman"/>
          <w:sz w:val="12"/>
          <w:szCs w:val="12"/>
          <w:color w:val="auto"/>
        </w:rPr>
        <w:t>These assets have an indefinite useful life.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5" w:right="29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59"/>
        </w:trPr>
        <w:tc>
          <w:tcPr>
            <w:tcW w:w="4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2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Weighted-average</w:t>
            </w:r>
          </w:p>
        </w:tc>
        <w:tc>
          <w:tcPr>
            <w:tcW w:w="0" w:type="dxa"/>
            <w:vAlign w:val="bottom"/>
          </w:tcPr>
          <w:p>
            <w:pPr>
              <w:spacing w:after="0"/>
              <w:rPr>
                <w:sz w:val="1"/>
                <w:szCs w:val="1"/>
                <w:color w:val="auto"/>
              </w:rPr>
            </w:pPr>
          </w:p>
        </w:tc>
      </w:tr>
      <w:tr>
        <w:trPr>
          <w:trHeight w:val="97"/>
        </w:trPr>
        <w:tc>
          <w:tcPr>
            <w:tcW w:w="4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Gross Carrying Value</w:t>
            </w:r>
          </w:p>
        </w:tc>
        <w:tc>
          <w:tcPr>
            <w:tcW w:w="140" w:type="dxa"/>
            <w:vAlign w:val="bottom"/>
          </w:tcPr>
          <w:p>
            <w:pPr>
              <w:spacing w:after="0"/>
              <w:rPr>
                <w:sz w:val="8"/>
                <w:szCs w:val="8"/>
                <w:color w:val="auto"/>
              </w:rPr>
            </w:pPr>
          </w:p>
        </w:tc>
        <w:tc>
          <w:tcPr>
            <w:tcW w:w="17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Accumulated Amortization</w:t>
            </w:r>
          </w:p>
        </w:tc>
        <w:tc>
          <w:tcPr>
            <w:tcW w:w="220" w:type="dxa"/>
            <w:vAlign w:val="bottom"/>
          </w:tcPr>
          <w:p>
            <w:pPr>
              <w:spacing w:after="0"/>
              <w:rPr>
                <w:sz w:val="8"/>
                <w:szCs w:val="8"/>
                <w:color w:val="auto"/>
              </w:rPr>
            </w:pPr>
          </w:p>
        </w:tc>
        <w:tc>
          <w:tcPr>
            <w:tcW w:w="1540" w:type="dxa"/>
            <w:vAlign w:val="bottom"/>
            <w:vMerge w:val="restart"/>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Net Carrying Value</w:t>
            </w:r>
          </w:p>
        </w:tc>
        <w:tc>
          <w:tcPr>
            <w:tcW w:w="80" w:type="dxa"/>
            <w:vAlign w:val="bottom"/>
          </w:tcPr>
          <w:p>
            <w:pPr>
              <w:spacing w:after="0"/>
              <w:rPr>
                <w:sz w:val="8"/>
                <w:szCs w:val="8"/>
                <w:color w:val="auto"/>
              </w:rPr>
            </w:pPr>
          </w:p>
        </w:tc>
        <w:tc>
          <w:tcPr>
            <w:tcW w:w="1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42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 except weighted-average data)</w:t>
            </w:r>
          </w:p>
        </w:tc>
        <w:tc>
          <w:tcPr>
            <w:tcW w:w="20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Useful Life</w:t>
            </w:r>
          </w:p>
        </w:tc>
        <w:tc>
          <w:tcPr>
            <w:tcW w:w="0" w:type="dxa"/>
            <w:vAlign w:val="bottom"/>
          </w:tcPr>
          <w:p>
            <w:pPr>
              <w:spacing w:after="0"/>
              <w:rPr>
                <w:sz w:val="1"/>
                <w:szCs w:val="1"/>
                <w:color w:val="auto"/>
              </w:rPr>
            </w:pPr>
          </w:p>
        </w:tc>
      </w:tr>
      <w:tr>
        <w:trPr>
          <w:trHeight w:val="133"/>
        </w:trPr>
        <w:tc>
          <w:tcPr>
            <w:tcW w:w="42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Other intangible assets:</w:t>
            </w:r>
          </w:p>
        </w:tc>
        <w:tc>
          <w:tcPr>
            <w:tcW w:w="200" w:type="dxa"/>
            <w:vAlign w:val="bottom"/>
            <w:tcBorders>
              <w:top w:val="single" w:sz="8" w:color="auto"/>
            </w:tcBorders>
            <w:shd w:val="clear" w:color="auto" w:fill="CCEEFF"/>
          </w:tcPr>
          <w:p>
            <w:pPr>
              <w:spacing w:after="0"/>
              <w:rPr>
                <w:sz w:val="11"/>
                <w:szCs w:val="11"/>
                <w:color w:val="auto"/>
              </w:rPr>
            </w:pPr>
          </w:p>
        </w:tc>
        <w:tc>
          <w:tcPr>
            <w:tcW w:w="15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6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5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5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ISO and referral partner relationships</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182,339</w:t>
            </w:r>
          </w:p>
        </w:tc>
        <w:tc>
          <w:tcPr>
            <w:tcW w:w="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(36,506)</w:t>
            </w:r>
          </w:p>
        </w:tc>
        <w:tc>
          <w:tcPr>
            <w:tcW w:w="8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145,833</w:t>
            </w:r>
          </w:p>
        </w:tc>
        <w:tc>
          <w:tcPr>
            <w:tcW w:w="16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color w:val="auto"/>
              </w:rPr>
              <w:t>14.7</w:t>
            </w:r>
          </w:p>
        </w:tc>
        <w:tc>
          <w:tcPr>
            <w:tcW w:w="0" w:type="dxa"/>
            <w:vAlign w:val="bottom"/>
          </w:tcPr>
          <w:p>
            <w:pPr>
              <w:spacing w:after="0"/>
              <w:rPr>
                <w:sz w:val="1"/>
                <w:szCs w:val="1"/>
                <w:color w:val="auto"/>
              </w:rPr>
            </w:pPr>
          </w:p>
        </w:tc>
      </w:tr>
      <w:tr>
        <w:trPr>
          <w:trHeight w:val="153"/>
        </w:trPr>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Residual buyouts</w:t>
            </w:r>
          </w:p>
        </w:tc>
        <w:tc>
          <w:tcPr>
            <w:tcW w:w="20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135,164</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(92,699)</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42,465</w:t>
            </w:r>
          </w:p>
        </w:tc>
        <w:tc>
          <w:tcPr>
            <w:tcW w:w="162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3"/>
              </w:rPr>
              <w:t>6.3</w:t>
            </w:r>
          </w:p>
        </w:tc>
        <w:tc>
          <w:tcPr>
            <w:tcW w:w="0" w:type="dxa"/>
            <w:vAlign w:val="bottom"/>
          </w:tcPr>
          <w:p>
            <w:pPr>
              <w:spacing w:after="0"/>
              <w:rPr>
                <w:sz w:val="1"/>
                <w:szCs w:val="1"/>
                <w:color w:val="auto"/>
              </w:rPr>
            </w:pPr>
          </w:p>
        </w:tc>
      </w:tr>
      <w:tr>
        <w:trPr>
          <w:trHeight w:val="153"/>
        </w:trPr>
        <w:tc>
          <w:tcPr>
            <w:tcW w:w="4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Customer relationships</w:t>
            </w:r>
          </w:p>
        </w:tc>
        <w:tc>
          <w:tcPr>
            <w:tcW w:w="20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109,017</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(92,781)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16,236</w:t>
            </w:r>
          </w:p>
        </w:tc>
        <w:tc>
          <w:tcPr>
            <w:tcW w:w="16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color w:val="auto"/>
                <w:w w:val="93"/>
              </w:rPr>
              <w:t>8.4</w:t>
            </w:r>
          </w:p>
        </w:tc>
        <w:tc>
          <w:tcPr>
            <w:tcW w:w="0" w:type="dxa"/>
            <w:vAlign w:val="bottom"/>
          </w:tcPr>
          <w:p>
            <w:pPr>
              <w:spacing w:after="0"/>
              <w:rPr>
                <w:sz w:val="1"/>
                <w:szCs w:val="1"/>
                <w:color w:val="auto"/>
              </w:rPr>
            </w:pPr>
          </w:p>
        </w:tc>
      </w:tr>
      <w:tr>
        <w:trPr>
          <w:trHeight w:val="153"/>
        </w:trPr>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Merchant portfolios</w:t>
            </w:r>
          </w:p>
        </w:tc>
        <w:tc>
          <w:tcPr>
            <w:tcW w:w="20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83,350</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(56,139)</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27,211</w:t>
            </w:r>
          </w:p>
        </w:tc>
        <w:tc>
          <w:tcPr>
            <w:tcW w:w="162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3"/>
              </w:rPr>
              <w:t>6.5</w:t>
            </w:r>
          </w:p>
        </w:tc>
        <w:tc>
          <w:tcPr>
            <w:tcW w:w="0" w:type="dxa"/>
            <w:vAlign w:val="bottom"/>
          </w:tcPr>
          <w:p>
            <w:pPr>
              <w:spacing w:after="0"/>
              <w:rPr>
                <w:sz w:val="1"/>
                <w:szCs w:val="1"/>
                <w:color w:val="auto"/>
              </w:rPr>
            </w:pPr>
          </w:p>
        </w:tc>
      </w:tr>
      <w:tr>
        <w:trPr>
          <w:trHeight w:val="153"/>
        </w:trPr>
        <w:tc>
          <w:tcPr>
            <w:tcW w:w="4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Technology</w:t>
            </w:r>
          </w:p>
        </w:tc>
        <w:tc>
          <w:tcPr>
            <w:tcW w:w="20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57,639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(22,712)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34,927</w:t>
            </w:r>
          </w:p>
        </w:tc>
        <w:tc>
          <w:tcPr>
            <w:tcW w:w="16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color w:val="auto"/>
                <w:w w:val="93"/>
              </w:rPr>
              <w:t>9.0</w:t>
            </w:r>
          </w:p>
        </w:tc>
        <w:tc>
          <w:tcPr>
            <w:tcW w:w="0" w:type="dxa"/>
            <w:vAlign w:val="bottom"/>
          </w:tcPr>
          <w:p>
            <w:pPr>
              <w:spacing w:after="0"/>
              <w:rPr>
                <w:sz w:val="1"/>
                <w:szCs w:val="1"/>
                <w:color w:val="auto"/>
              </w:rPr>
            </w:pPr>
          </w:p>
        </w:tc>
      </w:tr>
      <w:tr>
        <w:trPr>
          <w:trHeight w:val="153"/>
        </w:trPr>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Trade names</w:t>
            </w:r>
          </w:p>
        </w:tc>
        <w:tc>
          <w:tcPr>
            <w:tcW w:w="20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7,104</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(2,526)</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4,578</w:t>
            </w:r>
          </w:p>
        </w:tc>
        <w:tc>
          <w:tcPr>
            <w:tcW w:w="1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11.7</w:t>
            </w:r>
          </w:p>
        </w:tc>
        <w:tc>
          <w:tcPr>
            <w:tcW w:w="0" w:type="dxa"/>
            <w:vAlign w:val="bottom"/>
          </w:tcPr>
          <w:p>
            <w:pPr>
              <w:spacing w:after="0"/>
              <w:rPr>
                <w:sz w:val="1"/>
                <w:szCs w:val="1"/>
                <w:color w:val="auto"/>
              </w:rPr>
            </w:pPr>
          </w:p>
        </w:tc>
      </w:tr>
      <w:tr>
        <w:trPr>
          <w:trHeight w:val="153"/>
        </w:trPr>
        <w:tc>
          <w:tcPr>
            <w:tcW w:w="4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Non-compete agreements</w:t>
            </w:r>
          </w:p>
        </w:tc>
        <w:tc>
          <w:tcPr>
            <w:tcW w:w="20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3,390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(3,390)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color w:val="auto"/>
                <w:w w:val="93"/>
              </w:rPr>
              <w:t>0.0</w:t>
            </w:r>
          </w:p>
        </w:tc>
        <w:tc>
          <w:tcPr>
            <w:tcW w:w="0" w:type="dxa"/>
            <w:vAlign w:val="bottom"/>
          </w:tcPr>
          <w:p>
            <w:pPr>
              <w:spacing w:after="0"/>
              <w:rPr>
                <w:sz w:val="1"/>
                <w:szCs w:val="1"/>
                <w:color w:val="auto"/>
              </w:rPr>
            </w:pPr>
          </w:p>
        </w:tc>
      </w:tr>
      <w:tr>
        <w:trPr>
          <w:trHeight w:val="153"/>
        </w:trPr>
        <w:tc>
          <w:tcPr>
            <w:tcW w:w="4240" w:type="dxa"/>
            <w:vAlign w:val="bottom"/>
            <w:shd w:val="clear" w:color="auto" w:fill="CCEEFF"/>
          </w:tcPr>
          <w:p>
            <w:pPr>
              <w:ind w:left="80"/>
              <w:spacing w:after="0" w:line="153" w:lineRule="exact"/>
              <w:rPr>
                <w:sz w:val="20"/>
                <w:szCs w:val="20"/>
                <w:color w:val="auto"/>
              </w:rPr>
            </w:pPr>
            <w:r>
              <w:rPr>
                <w:rFonts w:ascii="Times New Roman" w:cs="Times New Roman" w:eastAsia="Times New Roman" w:hAnsi="Times New Roman"/>
                <w:sz w:val="12"/>
                <w:szCs w:val="12"/>
                <w:color w:val="auto"/>
              </w:rPr>
              <w:t>Money transmission licenses</w:t>
            </w:r>
            <w:r>
              <w:rPr>
                <w:rFonts w:ascii="Times New Roman" w:cs="Times New Roman" w:eastAsia="Times New Roman" w:hAnsi="Times New Roman"/>
                <w:sz w:val="15"/>
                <w:szCs w:val="15"/>
                <w:color w:val="auto"/>
                <w:vertAlign w:val="superscript"/>
              </w:rPr>
              <w:t>(1)</w:t>
            </w:r>
          </w:p>
        </w:tc>
        <w:tc>
          <w:tcPr>
            <w:tcW w:w="20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2,100</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ind w:left="1460"/>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2,100</w:t>
            </w:r>
          </w:p>
        </w:tc>
        <w:tc>
          <w:tcPr>
            <w:tcW w:w="8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240" w:type="dxa"/>
            <w:vAlign w:val="bottom"/>
          </w:tcPr>
          <w:p>
            <w:pPr>
              <w:ind w:left="14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580,103</w:t>
            </w: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(306,753)</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273,350</w:t>
            </w:r>
          </w:p>
        </w:tc>
        <w:tc>
          <w:tcPr>
            <w:tcW w:w="16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w w:val="93"/>
              </w:rPr>
              <w:t>9.7</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20" w:hanging="212"/>
        <w:spacing w:after="0"/>
        <w:tabs>
          <w:tab w:leader="none" w:pos="420" w:val="left"/>
        </w:tabs>
        <w:numPr>
          <w:ilvl w:val="0"/>
          <w:numId w:val="1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These assets have an indefinite useful life.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30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3"/>
          </w:tcPr>
          <w:p>
            <w:pPr>
              <w:jc w:val="right"/>
              <w:ind w:right="66"/>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12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c>
          <w:tcPr>
            <w:tcW w:w="1040" w:type="dxa"/>
            <w:vAlign w:val="bottom"/>
            <w:tcBorders>
              <w:bottom w:val="single" w:sz="8" w:color="auto"/>
            </w:tcBorders>
          </w:tcPr>
          <w:p>
            <w:pPr>
              <w:spacing w:after="0"/>
              <w:rPr>
                <w:sz w:val="13"/>
                <w:szCs w:val="13"/>
                <w:color w:val="auto"/>
              </w:rPr>
            </w:pPr>
          </w:p>
        </w:tc>
      </w:tr>
      <w:tr>
        <w:trPr>
          <w:trHeight w:val="142"/>
        </w:trPr>
        <w:tc>
          <w:tcPr>
            <w:tcW w:w="3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52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jc w:val="right"/>
              <w:ind w:right="90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860"/>
              <w:spacing w:after="0"/>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42"/>
        </w:trPr>
        <w:tc>
          <w:tcPr>
            <w:tcW w:w="3300" w:type="dxa"/>
            <w:vAlign w:val="bottom"/>
            <w:shd w:val="clear" w:color="auto" w:fill="CCEEFF"/>
          </w:tcPr>
          <w:p>
            <w:pPr>
              <w:ind w:left="80"/>
              <w:spacing w:after="0" w:line="142" w:lineRule="exact"/>
              <w:rPr>
                <w:sz w:val="20"/>
                <w:szCs w:val="20"/>
                <w:color w:val="auto"/>
              </w:rPr>
            </w:pPr>
            <w:r>
              <w:rPr>
                <w:rFonts w:ascii="Times New Roman" w:cs="Times New Roman" w:eastAsia="Times New Roman" w:hAnsi="Times New Roman"/>
                <w:sz w:val="12"/>
                <w:szCs w:val="12"/>
                <w:color w:val="auto"/>
              </w:rPr>
              <w:t>Amortization expense</w:t>
            </w:r>
            <w:r>
              <w:rPr>
                <w:rFonts w:ascii="Times New Roman" w:cs="Times New Roman" w:eastAsia="Times New Roman" w:hAnsi="Times New Roman"/>
                <w:sz w:val="15"/>
                <w:szCs w:val="15"/>
                <w:color w:val="auto"/>
                <w:vertAlign w:val="superscript"/>
              </w:rPr>
              <w:t>(1)</w:t>
            </w:r>
          </w:p>
        </w:tc>
        <w:tc>
          <w:tcPr>
            <w:tcW w:w="520" w:type="dxa"/>
            <w:vAlign w:val="bottom"/>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11,816</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8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15,165</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23,899</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6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30,456</w:t>
            </w:r>
          </w:p>
        </w:tc>
      </w:tr>
    </w:tbl>
    <w:p>
      <w:pPr>
        <w:spacing w:after="0" w:line="187" w:lineRule="exact"/>
        <w:rPr>
          <w:sz w:val="20"/>
          <w:szCs w:val="20"/>
          <w:color w:val="auto"/>
        </w:rPr>
      </w:pPr>
    </w:p>
    <w:p>
      <w:pPr>
        <w:ind w:left="420" w:right="640" w:hanging="212"/>
        <w:spacing w:after="0" w:line="222" w:lineRule="auto"/>
        <w:tabs>
          <w:tab w:leader="none" w:pos="412"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Included in amortization expense is $0.4 million and $0.8 million for the three and six months ended June 30, 2024, respectively, and $0.1 million and $0.2 million for the three and six months ended June 30, 2023, respectively, related to the amortization of certain contract acquisition costs.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June 30, 2024, there were no impairment indicators present.</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2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8.  Debt Obligations</w:t>
            </w:r>
          </w:p>
        </w:tc>
        <w:tc>
          <w:tcPr>
            <w:tcW w:w="1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7260" w:type="dxa"/>
            <w:vAlign w:val="bottom"/>
          </w:tcPr>
          <w:p>
            <w:pPr>
              <w:spacing w:after="0"/>
              <w:rPr>
                <w:sz w:val="20"/>
                <w:szCs w:val="20"/>
                <w:color w:val="auto"/>
              </w:rPr>
            </w:pPr>
            <w:r>
              <w:rPr>
                <w:rFonts w:ascii="Times New Roman" w:cs="Times New Roman" w:eastAsia="Times New Roman" w:hAnsi="Times New Roman"/>
                <w:sz w:val="12"/>
                <w:szCs w:val="12"/>
                <w:color w:val="auto"/>
              </w:rPr>
              <w:t>Outstanding debt obligations consisted of the following:</w:t>
            </w:r>
          </w:p>
        </w:tc>
        <w:tc>
          <w:tcPr>
            <w:tcW w:w="1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7260" w:type="dxa"/>
            <w:vAlign w:val="bottom"/>
            <w:tcBorders>
              <w:bottom w:val="single" w:sz="8" w:color="CCEEFF"/>
            </w:tcBorders>
          </w:tcPr>
          <w:p>
            <w:pPr>
              <w:spacing w:after="0"/>
              <w:rPr>
                <w:sz w:val="24"/>
                <w:szCs w:val="24"/>
                <w:color w:val="auto"/>
              </w:rPr>
            </w:pPr>
          </w:p>
        </w:tc>
        <w:tc>
          <w:tcPr>
            <w:tcW w:w="14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June 30, 2024</w:t>
            </w: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0" w:type="dxa"/>
            <w:vAlign w:val="bottom"/>
          </w:tcPr>
          <w:p>
            <w:pPr>
              <w:spacing w:after="0"/>
              <w:rPr>
                <w:sz w:val="1"/>
                <w:szCs w:val="1"/>
                <w:color w:val="auto"/>
              </w:rPr>
            </w:pPr>
          </w:p>
        </w:tc>
      </w:tr>
      <w:tr>
        <w:trPr>
          <w:trHeight w:val="133"/>
        </w:trPr>
        <w:tc>
          <w:tcPr>
            <w:tcW w:w="72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2024 Credit Agreement</w:t>
            </w:r>
          </w:p>
        </w:tc>
        <w:tc>
          <w:tcPr>
            <w:tcW w:w="14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260" w:type="dxa"/>
            <w:vAlign w:val="bottom"/>
          </w:tcPr>
          <w:p>
            <w:pPr>
              <w:spacing w:after="0"/>
              <w:rPr>
                <w:sz w:val="20"/>
                <w:szCs w:val="20"/>
                <w:color w:val="auto"/>
              </w:rPr>
            </w:pPr>
            <w:r>
              <w:rPr>
                <w:rFonts w:ascii="Times New Roman" w:cs="Times New Roman" w:eastAsia="Times New Roman" w:hAnsi="Times New Roman"/>
                <w:sz w:val="12"/>
                <w:szCs w:val="12"/>
                <w:color w:val="auto"/>
              </w:rPr>
              <w:t>Term facility - matures May 16, 2031, interest rate of 10.08% at June 30, 2024</w:t>
            </w:r>
          </w:p>
        </w:tc>
        <w:tc>
          <w:tcPr>
            <w:tcW w:w="1440" w:type="dxa"/>
            <w:vAlign w:val="bottom"/>
          </w:tcPr>
          <w:p>
            <w:pPr>
              <w:jc w:val="right"/>
              <w:ind w:right="1300"/>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835,000</w:t>
            </w:r>
          </w:p>
        </w:tc>
        <w:tc>
          <w:tcPr>
            <w:tcW w:w="80" w:type="dxa"/>
            <w:vAlign w:val="bottom"/>
          </w:tcPr>
          <w:p>
            <w:pPr>
              <w:spacing w:after="0"/>
              <w:rPr>
                <w:sz w:val="13"/>
                <w:szCs w:val="13"/>
                <w:color w:val="auto"/>
              </w:rPr>
            </w:pP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Revolving credit facility - $70.0 million line at June 30, 2024, matures May 16, 2029, interest rate of 9.58% at June 30, 2024</w:t>
            </w:r>
          </w:p>
        </w:tc>
        <w:tc>
          <w:tcPr>
            <w:tcW w:w="14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72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xml:space="preserve">2021 Credit Agreement - </w:t>
            </w:r>
            <w:r>
              <w:rPr>
                <w:rFonts w:ascii="Times New Roman" w:cs="Times New Roman" w:eastAsia="Times New Roman" w:hAnsi="Times New Roman"/>
                <w:sz w:val="12"/>
                <w:szCs w:val="12"/>
                <w:i w:val="1"/>
                <w:iCs w:val="1"/>
                <w:color w:val="auto"/>
              </w:rPr>
              <w:t>refinanced on May 16, 2024</w:t>
            </w:r>
          </w:p>
        </w:tc>
        <w:tc>
          <w:tcPr>
            <w:tcW w:w="1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Term facility - original maturity April 27, 2027, interest rate of 11.21% at December 31, 2023</w:t>
            </w:r>
          </w:p>
        </w:tc>
        <w:tc>
          <w:tcPr>
            <w:tcW w:w="14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654,373</w:t>
            </w:r>
          </w:p>
        </w:tc>
        <w:tc>
          <w:tcPr>
            <w:tcW w:w="0" w:type="dxa"/>
            <w:vAlign w:val="bottom"/>
          </w:tcPr>
          <w:p>
            <w:pPr>
              <w:spacing w:after="0"/>
              <w:rPr>
                <w:sz w:val="1"/>
                <w:szCs w:val="1"/>
                <w:color w:val="auto"/>
              </w:rPr>
            </w:pPr>
          </w:p>
        </w:tc>
      </w:tr>
      <w:tr>
        <w:trPr>
          <w:trHeight w:val="153"/>
        </w:trPr>
        <w:tc>
          <w:tcPr>
            <w:tcW w:w="7260" w:type="dxa"/>
            <w:vAlign w:val="bottom"/>
          </w:tcPr>
          <w:p>
            <w:pPr>
              <w:spacing w:after="0"/>
              <w:rPr>
                <w:sz w:val="20"/>
                <w:szCs w:val="20"/>
                <w:color w:val="auto"/>
              </w:rPr>
            </w:pPr>
            <w:r>
              <w:rPr>
                <w:rFonts w:ascii="Times New Roman" w:cs="Times New Roman" w:eastAsia="Times New Roman" w:hAnsi="Times New Roman"/>
                <w:sz w:val="12"/>
                <w:szCs w:val="12"/>
                <w:color w:val="auto"/>
              </w:rPr>
              <w:t>Revolving credit facility - $65.0 million line as of December 31, 2023, original Maturity April 27, 2026, interest rate of 10.20% at December 31, 2023</w:t>
            </w:r>
          </w:p>
        </w:tc>
        <w:tc>
          <w:tcPr>
            <w:tcW w:w="144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2"/>
        </w:trPr>
        <w:tc>
          <w:tcPr>
            <w:tcW w:w="726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2"/>
                <w:szCs w:val="12"/>
                <w:b w:val="1"/>
                <w:bCs w:val="1"/>
                <w:color w:val="auto"/>
              </w:rPr>
              <w:t>Total debt obligations</w:t>
            </w:r>
          </w:p>
        </w:tc>
        <w:tc>
          <w:tcPr>
            <w:tcW w:w="14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835,000</w:t>
            </w: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654,373</w:t>
            </w:r>
          </w:p>
        </w:tc>
        <w:tc>
          <w:tcPr>
            <w:tcW w:w="0" w:type="dxa"/>
            <w:vAlign w:val="bottom"/>
          </w:tcPr>
          <w:p>
            <w:pPr>
              <w:spacing w:after="0"/>
              <w:rPr>
                <w:sz w:val="1"/>
                <w:szCs w:val="1"/>
                <w:color w:val="auto"/>
              </w:rPr>
            </w:pPr>
          </w:p>
        </w:tc>
      </w:tr>
      <w:tr>
        <w:trPr>
          <w:trHeight w:val="153"/>
        </w:trPr>
        <w:tc>
          <w:tcPr>
            <w:tcW w:w="7260" w:type="dxa"/>
            <w:vAlign w:val="bottom"/>
          </w:tcPr>
          <w:p>
            <w:pPr>
              <w:spacing w:after="0"/>
              <w:rPr>
                <w:sz w:val="20"/>
                <w:szCs w:val="20"/>
                <w:color w:val="auto"/>
              </w:rPr>
            </w:pPr>
            <w:r>
              <w:rPr>
                <w:rFonts w:ascii="Times New Roman" w:cs="Times New Roman" w:eastAsia="Times New Roman" w:hAnsi="Times New Roman"/>
                <w:sz w:val="12"/>
                <w:szCs w:val="12"/>
                <w:color w:val="auto"/>
              </w:rPr>
              <w:t>Less: current portion of long-term debt</w:t>
            </w:r>
          </w:p>
        </w:tc>
        <w:tc>
          <w:tcPr>
            <w:tcW w:w="14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(8,350)</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(6,712)</w:t>
            </w:r>
          </w:p>
        </w:tc>
        <w:tc>
          <w:tcPr>
            <w:tcW w:w="0" w:type="dxa"/>
            <w:vAlign w:val="bottom"/>
          </w:tcPr>
          <w:p>
            <w:pPr>
              <w:spacing w:after="0"/>
              <w:rPr>
                <w:sz w:val="1"/>
                <w:szCs w:val="1"/>
                <w:color w:val="auto"/>
              </w:rPr>
            </w:pPr>
          </w:p>
        </w:tc>
      </w:tr>
      <w:tr>
        <w:trPr>
          <w:trHeight w:val="153"/>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unamortized debt discounts and deferred financing costs</w:t>
            </w:r>
          </w:p>
        </w:tc>
        <w:tc>
          <w:tcPr>
            <w:tcW w:w="144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(17,605)</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(15,696)</w:t>
            </w:r>
          </w:p>
        </w:tc>
        <w:tc>
          <w:tcPr>
            <w:tcW w:w="0" w:type="dxa"/>
            <w:vAlign w:val="bottom"/>
          </w:tcPr>
          <w:p>
            <w:pPr>
              <w:spacing w:after="0"/>
              <w:rPr>
                <w:sz w:val="1"/>
                <w:szCs w:val="1"/>
                <w:color w:val="auto"/>
              </w:rPr>
            </w:pPr>
          </w:p>
        </w:tc>
      </w:tr>
      <w:tr>
        <w:trPr>
          <w:trHeight w:val="142"/>
        </w:trPr>
        <w:tc>
          <w:tcPr>
            <w:tcW w:w="726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Long-term debt, net</w:t>
            </w:r>
          </w:p>
        </w:tc>
        <w:tc>
          <w:tcPr>
            <w:tcW w:w="1440" w:type="dxa"/>
            <w:vAlign w:val="bottom"/>
            <w:tcBorders>
              <w:bottom w:val="single" w:sz="8" w:color="auto"/>
            </w:tcBorders>
          </w:tcPr>
          <w:p>
            <w:pPr>
              <w:jc w:val="right"/>
              <w:ind w:right="13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809,045</w:t>
            </w:r>
          </w:p>
        </w:tc>
        <w:tc>
          <w:tcPr>
            <w:tcW w:w="80" w:type="dxa"/>
            <w:vAlign w:val="bottom"/>
          </w:tcPr>
          <w:p>
            <w:pPr>
              <w:spacing w:after="0"/>
              <w:rPr>
                <w:sz w:val="12"/>
                <w:szCs w:val="12"/>
                <w:color w:val="auto"/>
              </w:rPr>
            </w:pP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631,965</w:t>
            </w:r>
          </w:p>
        </w:tc>
        <w:tc>
          <w:tcPr>
            <w:tcW w:w="0" w:type="dxa"/>
            <w:vAlign w:val="bottom"/>
          </w:tcPr>
          <w:p>
            <w:pPr>
              <w:spacing w:after="0"/>
              <w:rPr>
                <w:sz w:val="1"/>
                <w:szCs w:val="1"/>
                <w:color w:val="auto"/>
              </w:rPr>
            </w:pPr>
          </w:p>
        </w:tc>
      </w:tr>
      <w:tr>
        <w:trPr>
          <w:trHeight w:val="20"/>
        </w:trPr>
        <w:tc>
          <w:tcPr>
            <w:tcW w:w="7260" w:type="dxa"/>
            <w:vAlign w:val="bottom"/>
            <w:vMerge w:val="restart"/>
          </w:tcPr>
          <w:p>
            <w:pPr>
              <w:ind w:left="5580"/>
              <w:spacing w:after="0"/>
              <w:rPr>
                <w:sz w:val="20"/>
                <w:szCs w:val="20"/>
                <w:color w:val="auto"/>
              </w:rPr>
            </w:pPr>
            <w:r>
              <w:rPr>
                <w:rFonts w:ascii="Times New Roman" w:cs="Times New Roman" w:eastAsia="Times New Roman" w:hAnsi="Times New Roman"/>
                <w:sz w:val="12"/>
                <w:szCs w:val="12"/>
                <w:color w:val="auto"/>
              </w:rPr>
              <w:t>16</w:t>
            </w:r>
          </w:p>
        </w:tc>
        <w:tc>
          <w:tcPr>
            <w:tcW w:w="1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5"/>
        </w:trPr>
        <w:tc>
          <w:tcPr>
            <w:tcW w:w="726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6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7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070" w:right="2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2"/>
          <w:szCs w:val="12"/>
          <w:b w:val="1"/>
          <w:bCs w:val="1"/>
          <w:color w:val="auto"/>
        </w:rPr>
        <w:t>2024 Credit Agreement</w:t>
      </w:r>
    </w:p>
    <w:p>
      <w:pPr>
        <w:spacing w:after="0" w:line="154"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2"/>
          <w:szCs w:val="12"/>
          <w:color w:val="auto"/>
        </w:rPr>
        <w:t xml:space="preserve">On May 16, 2024, the Company entered into a Credit Agreement ("2024 Credit Agreement") which provides 1) a $835.0 million senior secured first lien term loan facility ; and 2) a $70.0 million senior secured revolving facility ("Credit facilities"). Proceeds from these Credit facilities were used to repay the outstanding balances under the 2021 Credit Agreement and redeem a portion of the Company's redeemable senior preferred stock (see </w:t>
      </w:r>
      <w:r>
        <w:rPr>
          <w:rFonts w:ascii="Times New Roman" w:cs="Times New Roman" w:eastAsia="Times New Roman" w:hAnsi="Times New Roman"/>
          <w:sz w:val="12"/>
          <w:szCs w:val="12"/>
          <w:u w:val="single" w:color="auto"/>
          <w:color w:val="0000FF"/>
        </w:rPr>
        <w:t>Note 9.</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0000FF"/>
        </w:rPr>
        <w:t>Redeemable Securities</w:t>
      </w:r>
      <w:r>
        <w:rPr>
          <w:rFonts w:ascii="Times New Roman" w:cs="Times New Roman" w:eastAsia="Times New Roman" w:hAnsi="Times New Roman"/>
          <w:sz w:val="12"/>
          <w:szCs w:val="12"/>
          <w:color w:val="000000"/>
        </w:rPr>
        <w:t>). In accordance with ASC 470, the Company determined on a creditor-by-creditor basis that the 2024 Credit Agreement was both a debt modification and extinguishment of the 2021 Credit Agreement. The</w:t>
      </w:r>
      <w:r>
        <w:rPr>
          <w:rFonts w:ascii="Times New Roman" w:cs="Times New Roman" w:eastAsia="Times New Roman" w:hAnsi="Times New Roman"/>
          <w:sz w:val="12"/>
          <w:szCs w:val="12"/>
          <w:color w:val="0000FF"/>
        </w:rPr>
        <w:t xml:space="preserve"> </w:t>
      </w:r>
      <w:r>
        <w:rPr>
          <w:rFonts w:ascii="Times New Roman" w:cs="Times New Roman" w:eastAsia="Times New Roman" w:hAnsi="Times New Roman"/>
          <w:sz w:val="12"/>
          <w:szCs w:val="12"/>
          <w:color w:val="000000"/>
        </w:rPr>
        <w:t>Company expensed $3.8 million of previously unamortized fees and $4.8 million of debt issuance costs related to the refinancing which is reported in debt extinguishment and modification in the Company's Unaudited Consolidated Statements of Operations and Comprehensive Loss.</w:t>
      </w:r>
    </w:p>
    <w:p>
      <w:pPr>
        <w:spacing w:after="0" w:line="12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Outstanding borrowings under the Credit agreement accrue interest using a base rate or a SOFR rate plus an applicable margin per year, subject to a SOFR rate floor of 0.50% per year. The revolving credit facility incurs an unused commitment fee on any undrawn amount in an amount equal to 0.50% per year of the unused portion. The future applicable interest rate margins may vary based on the Company's Total Net Leverage Ratio in addition to future changes in the underlying market rates for SOFR and the rate used for base-rate borrowings.</w:t>
      </w:r>
    </w:p>
    <w:p>
      <w:pPr>
        <w:spacing w:after="0" w:line="119"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2"/>
          <w:szCs w:val="12"/>
          <w:color w:val="auto"/>
        </w:rPr>
        <w:t>The 2024 Credit Agreement contains representations and warranties, financial and collateral requirements, mandatory payment events, events of default and affirmative and negative covenants, including without limitation, covenants that restrict among other things, the ability to create liens, pay dividends or distribute assets from the loan parties to the Company, merge or consolidate, dispose of assets, incur additional indebtedness, make certain investments or acquisitions, enter into certain transactions (including with affiliates) and to enter into certain leases.</w:t>
      </w:r>
    </w:p>
    <w:p>
      <w:pPr>
        <w:spacing w:after="0" w:line="119"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2"/>
          <w:szCs w:val="12"/>
          <w:color w:val="auto"/>
        </w:rPr>
        <w:t>If the aggregate principal amount of outstanding revolving loans and letters of credit under the 2024 Credit Agreement exceeds 35% of the total revolving credit facility thereunder, the loan parties are required to comply with certain restrictions on its Total Net Leverage Ratio. If applicable, the maximum permitted Total Net Leverage Ratio is: 1) 6.90:1.00 at each fiscal quarter ended September 30, 2024 through December 31, 2025; 2) 6.40:1.00 at each fiscal quarter ended March 31, 2026 and each fiscal quarter thereafter. As of June 30, 2024, the Company was in compliance with the covenants in the 2024 Credit Agreement.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2021 Credit Agreement</w:t>
      </w:r>
    </w:p>
    <w:p>
      <w:pPr>
        <w:spacing w:after="0" w:line="1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2"/>
          <w:szCs w:val="12"/>
          <w:color w:val="auto"/>
        </w:rPr>
        <w:t>On April 27, 2021, the Company entered into the 2021 Credit Agreement with Truist which provides for: 1) a $300.0 million Initial Term Loan; 2) a $290.0 million Delayed Draw Term Loan (together, the "Term Facility"); and 3) a $40.0 million senior secured revolving credit facility. The First Amendment to the Credit Agreement on May 20, 2021, clarified and provided further detail on the Credit Agreement's terms. The Second Amendment to the Credit Agreement on September 17, 2021, increased the amount of the Delayed Draw Term Loan facility by $30.0 million to $320.0 million. The additional Delayed Draw Term Loan is part of the same class of term loans made pursuant to the original commitments under the Credit Agreement. The third amendment amended the reference rate from LIBOR to SOFR and increased the revolving facility from $40.0 million to $65.0 million effecting June 30, 2023. The fourth amendment increased the principal balance by $50.0 million and increased the quarterly principal amortization payment from $1.6 million to $1.7 million. Outstanding borrowings from the 2021 Credit Agreement were repaid on May 16, 2024 as part of the refinancing and the Company was released from any related commitments, guarantees and security interests.</w:t>
      </w:r>
    </w:p>
    <w:p>
      <w:pPr>
        <w:spacing w:after="0" w:line="125"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2"/>
          <w:szCs w:val="12"/>
          <w:color w:val="auto"/>
        </w:rPr>
        <w:t>Outstanding borrowings under the Credit Agreement accrued interest using either a base rate or a SOFR rate plus an applicable margin per year, subject to a SOFR rate floor of 1.00% per year. Accrued interest is payable on each interest payment date (as defined in the Credit Agreement). The revolving credit facility incurs an unused commitment fee on any undrawn amount in an amount equal to 0.50% per year of the unused portion. The future applicable interest rate margins may vary based on the Company's Total Net Leverage Ratio in addition to future changes in the underlying market rates for SOFR and the rate used for base-rate borrowings.</w:t>
      </w:r>
    </w:p>
    <w:p>
      <w:pPr>
        <w:spacing w:after="0" w:line="119"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2"/>
          <w:szCs w:val="12"/>
          <w:color w:val="auto"/>
        </w:rPr>
        <w:t>Proceeds from the Initial Term Loan were used to partially fund the refinancing of the Company's existing credit facilities as of April 27, 2021. Proceeds from the Delayed Draw Term Loan were used to fund the Company's acquisition of Finxera. Proceeds from the Fourth Amendment were used to repay the balance of the revolving credit facility (used to acquire the Plastiq business) and added additional cash for general corporate purposes.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025" w:right="339" w:bottom="1440" w:gutter="0" w:footer="0" w:header="0"/>
        </w:sectPr>
      </w:pPr>
    </w:p>
    <w:bookmarkStart w:id="20" w:name="page21"/>
    <w:bookmarkEnd w:id="20"/>
    <w:p>
      <w:pPr>
        <w:ind w:left="8"/>
        <w:spacing w:after="0"/>
        <w:rPr>
          <w:sz w:val="20"/>
          <w:szCs w:val="20"/>
          <w:color w:val="auto"/>
        </w:rPr>
      </w:pPr>
      <w:r>
        <w:rPr>
          <w:rFonts w:ascii="Times New Roman" w:cs="Times New Roman" w:eastAsia="Times New Roman" w:hAnsi="Times New Roman"/>
          <w:sz w:val="12"/>
          <w:szCs w:val="12"/>
          <w:i w:val="1"/>
          <w:iCs w:val="1"/>
          <w:color w:val="auto"/>
        </w:rPr>
        <w:t>Interest Expense and Amortization of Deferred Loan Costs and Discounts</w:t>
      </w:r>
    </w:p>
    <w:p>
      <w:pPr>
        <w:spacing w:after="0" w:line="152" w:lineRule="exact"/>
        <w:rPr>
          <w:sz w:val="20"/>
          <w:szCs w:val="20"/>
          <w:color w:val="auto"/>
        </w:rPr>
      </w:pPr>
    </w:p>
    <w:p>
      <w:pPr>
        <w:ind w:left="8" w:right="180"/>
        <w:spacing w:after="0" w:line="279" w:lineRule="auto"/>
        <w:rPr>
          <w:sz w:val="20"/>
          <w:szCs w:val="20"/>
          <w:color w:val="auto"/>
        </w:rPr>
      </w:pPr>
      <w:r>
        <w:rPr>
          <w:rFonts w:ascii="Times New Roman" w:cs="Times New Roman" w:eastAsia="Times New Roman" w:hAnsi="Times New Roman"/>
          <w:sz w:val="12"/>
          <w:szCs w:val="12"/>
          <w:color w:val="auto"/>
        </w:rPr>
        <w:t>Deferred financing costs and debt discounts are amortized using the effective interest method over the remaining term of the respective debt and are recorded as a component of interest expense. Unamortized deferred financing costs and debt discounts are included in long-term debt on the Company's Unaudited Consolidated Balance Sheets.</w:t>
      </w:r>
    </w:p>
    <w:p>
      <w:pPr>
        <w:spacing w:after="0" w:line="1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Interest expense for outstanding debt, including fees for undrawn amounts and amortization of deferred financing costs and debt discounts was as follows:</w:t>
      </w:r>
    </w:p>
    <w:p>
      <w:pPr>
        <w:spacing w:after="0" w:line="173"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362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w w:val="99"/>
              </w:rPr>
              <w:t>Three Months Ended June 30,</w:t>
            </w:r>
          </w:p>
        </w:tc>
        <w:tc>
          <w:tcPr>
            <w:tcW w:w="5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right"/>
              <w:ind w:right="6"/>
              <w:spacing w:after="0"/>
              <w:rPr>
                <w:sz w:val="20"/>
                <w:szCs w:val="20"/>
                <w:color w:val="auto"/>
              </w:rPr>
            </w:pPr>
            <w:r>
              <w:rPr>
                <w:rFonts w:ascii="Times New Roman" w:cs="Times New Roman" w:eastAsia="Times New Roman" w:hAnsi="Times New Roman"/>
                <w:sz w:val="12"/>
                <w:szCs w:val="12"/>
                <w:b w:val="1"/>
                <w:bCs w:val="1"/>
                <w:color w:val="auto"/>
              </w:rPr>
              <w:t>Six Months Ended March 31,</w:t>
            </w:r>
          </w:p>
        </w:tc>
        <w:tc>
          <w:tcPr>
            <w:tcW w:w="1200" w:type="dxa"/>
            <w:vAlign w:val="bottom"/>
            <w:tcBorders>
              <w:bottom w:val="single" w:sz="8" w:color="auto"/>
            </w:tcBorders>
          </w:tcPr>
          <w:p>
            <w:pPr>
              <w:spacing w:after="0"/>
              <w:rPr>
                <w:sz w:val="13"/>
                <w:szCs w:val="13"/>
                <w:color w:val="auto"/>
              </w:rPr>
            </w:pPr>
          </w:p>
        </w:tc>
      </w:tr>
      <w:tr>
        <w:trPr>
          <w:trHeight w:val="142"/>
        </w:trPr>
        <w:tc>
          <w:tcPr>
            <w:tcW w:w="3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7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2023</w:t>
            </w: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2024</w:t>
            </w:r>
          </w:p>
        </w:tc>
        <w:tc>
          <w:tcPr>
            <w:tcW w:w="7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82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42"/>
        </w:trPr>
        <w:tc>
          <w:tcPr>
            <w:tcW w:w="3620" w:type="dxa"/>
            <w:vAlign w:val="bottom"/>
            <w:shd w:val="clear" w:color="auto" w:fill="CCEEFF"/>
          </w:tcPr>
          <w:p>
            <w:pPr>
              <w:ind w:left="80"/>
              <w:spacing w:after="0" w:line="142" w:lineRule="exact"/>
              <w:rPr>
                <w:sz w:val="20"/>
                <w:szCs w:val="20"/>
                <w:color w:val="auto"/>
              </w:rPr>
            </w:pPr>
            <w:r>
              <w:rPr>
                <w:rFonts w:ascii="Times New Roman" w:cs="Times New Roman" w:eastAsia="Times New Roman" w:hAnsi="Times New Roman"/>
                <w:sz w:val="12"/>
                <w:szCs w:val="12"/>
                <w:color w:val="auto"/>
              </w:rPr>
              <w:t>Interest expense</w:t>
            </w:r>
            <w:r>
              <w:rPr>
                <w:rFonts w:ascii="Times New Roman" w:cs="Times New Roman" w:eastAsia="Times New Roman" w:hAnsi="Times New Roman"/>
                <w:sz w:val="15"/>
                <w:szCs w:val="15"/>
                <w:color w:val="auto"/>
                <w:vertAlign w:val="superscript"/>
              </w:rPr>
              <w:t>(1),(2)</w:t>
            </w:r>
          </w:p>
        </w:tc>
        <w:tc>
          <w:tcPr>
            <w:tcW w:w="1000" w:type="dxa"/>
            <w:vAlign w:val="bottom"/>
            <w:shd w:val="clear" w:color="auto" w:fill="CCEEFF"/>
          </w:tcPr>
          <w:p>
            <w:pPr>
              <w:jc w:val="right"/>
              <w:ind w:right="86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21,710</w:t>
            </w: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040"/>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17,765</w:t>
            </w:r>
          </w:p>
        </w:tc>
        <w:tc>
          <w:tcPr>
            <w:tcW w:w="8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06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42,590</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6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35,464</w:t>
            </w:r>
          </w:p>
        </w:tc>
      </w:tr>
    </w:tbl>
    <w:p>
      <w:pPr>
        <w:spacing w:after="0" w:line="196" w:lineRule="exact"/>
        <w:rPr>
          <w:sz w:val="20"/>
          <w:szCs w:val="20"/>
          <w:color w:val="auto"/>
        </w:rPr>
      </w:pPr>
    </w:p>
    <w:p>
      <w:pPr>
        <w:ind w:left="428" w:right="180" w:hanging="212"/>
        <w:spacing w:after="0" w:line="222" w:lineRule="auto"/>
        <w:tabs>
          <w:tab w:leader="none" w:pos="420" w:val="left"/>
        </w:tabs>
        <w:numPr>
          <w:ilvl w:val="1"/>
          <w:numId w:val="1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Included in interest expense is $1.2 million and $2.2 million related to the accretion of contingent consideration from acquisitions for the three and six months ended June 30, 2024, respectively, $0.1 million and $0.2 million for the three and six months ended June 30, 2023, respectively.</w:t>
      </w:r>
    </w:p>
    <w:p>
      <w:pPr>
        <w:spacing w:after="0" w:line="134" w:lineRule="exact"/>
        <w:rPr>
          <w:rFonts w:ascii="Times New Roman" w:cs="Times New Roman" w:eastAsia="Times New Roman" w:hAnsi="Times New Roman"/>
          <w:sz w:val="16"/>
          <w:szCs w:val="16"/>
          <w:color w:val="auto"/>
          <w:vertAlign w:val="superscript"/>
        </w:rPr>
      </w:pPr>
    </w:p>
    <w:p>
      <w:pPr>
        <w:ind w:left="428" w:right="200" w:hanging="212"/>
        <w:spacing w:after="0" w:line="222" w:lineRule="auto"/>
        <w:tabs>
          <w:tab w:leader="none" w:pos="420" w:val="left"/>
        </w:tabs>
        <w:numPr>
          <w:ilvl w:val="1"/>
          <w:numId w:val="1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Interest expense included amortization of deferred financing costs and debt discounts of $0.8 million and $1.8 million for the three and six months ended June 30, 2024, respectively, and $0.9 million and $1.8 million for the three and six months ended June 30, 2023, respectively.</w:t>
      </w:r>
    </w:p>
    <w:p>
      <w:pPr>
        <w:spacing w:after="0" w:line="200" w:lineRule="exact"/>
        <w:rPr>
          <w:rFonts w:ascii="Times New Roman" w:cs="Times New Roman" w:eastAsia="Times New Roman" w:hAnsi="Times New Roman"/>
          <w:sz w:val="16"/>
          <w:szCs w:val="16"/>
          <w:color w:val="auto"/>
          <w:vertAlign w:val="superscript"/>
        </w:rPr>
      </w:pPr>
    </w:p>
    <w:p>
      <w:pPr>
        <w:spacing w:after="0" w:line="236" w:lineRule="exact"/>
        <w:rPr>
          <w:rFonts w:ascii="Times New Roman" w:cs="Times New Roman" w:eastAsia="Times New Roman" w:hAnsi="Times New Roman"/>
          <w:sz w:val="16"/>
          <w:szCs w:val="16"/>
          <w:color w:val="auto"/>
          <w:vertAlign w:val="superscript"/>
        </w:rPr>
      </w:pPr>
    </w:p>
    <w:p>
      <w:pPr>
        <w:ind w:left="208" w:hanging="208"/>
        <w:spacing w:after="0"/>
        <w:tabs>
          <w:tab w:leader="none" w:pos="208" w:val="left"/>
        </w:tabs>
        <w:numPr>
          <w:ilvl w:val="0"/>
          <w:numId w:val="1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Redeemable Senior Preferred Stock and Warrants</w:t>
      </w:r>
    </w:p>
    <w:p>
      <w:pPr>
        <w:spacing w:after="0" w:line="154" w:lineRule="exact"/>
        <w:rPr>
          <w:sz w:val="20"/>
          <w:szCs w:val="20"/>
          <w:color w:val="auto"/>
        </w:rPr>
      </w:pPr>
    </w:p>
    <w:p>
      <w:pPr>
        <w:ind w:left="8"/>
        <w:spacing w:after="0" w:line="265" w:lineRule="auto"/>
        <w:rPr>
          <w:sz w:val="20"/>
          <w:szCs w:val="20"/>
          <w:color w:val="auto"/>
        </w:rPr>
      </w:pPr>
      <w:r>
        <w:rPr>
          <w:rFonts w:ascii="Times New Roman" w:cs="Times New Roman" w:eastAsia="Times New Roman" w:hAnsi="Times New Roman"/>
          <w:sz w:val="12"/>
          <w:szCs w:val="12"/>
          <w:color w:val="auto"/>
        </w:rPr>
        <w:t>The redeemable senior preferred stock ranks senior to the Company's Common Stock, equal with any other class of the Company's stock designated as being ranked on a parity basis with the redeemable senior preferred stock and junior to any other class of the Company's stock, including preferred stock, that is designated as being ranked senior to the redeemable senior preferred stock, with respect to the payment and distribution of dividends, the purchase or redemption of the Company's stock and the liquidation, winding up of and distribution of assets of the Company.</w:t>
      </w:r>
    </w:p>
    <w:p>
      <w:pPr>
        <w:spacing w:after="0" w:line="1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following table provides the redemption value of the redeemable senior preferred stock for the periods presented:</w:t>
      </w:r>
    </w:p>
    <w:p>
      <w:pPr>
        <w:spacing w:after="0" w:line="173"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462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00" w:type="dxa"/>
            <w:vAlign w:val="bottom"/>
            <w:gridSpan w:val="2"/>
          </w:tcPr>
          <w:p>
            <w:pPr>
              <w:ind w:left="280"/>
              <w:spacing w:after="0"/>
              <w:rPr>
                <w:sz w:val="20"/>
                <w:szCs w:val="20"/>
                <w:color w:val="auto"/>
              </w:rPr>
            </w:pPr>
            <w:r>
              <w:rPr>
                <w:rFonts w:ascii="Times New Roman" w:cs="Times New Roman" w:eastAsia="Times New Roman" w:hAnsi="Times New Roman"/>
                <w:sz w:val="12"/>
                <w:szCs w:val="12"/>
                <w:b w:val="1"/>
                <w:bCs w:val="1"/>
                <w:color w:val="auto"/>
              </w:rPr>
              <w:t>June 30, 2024</w:t>
            </w:r>
          </w:p>
        </w:tc>
        <w:tc>
          <w:tcPr>
            <w:tcW w:w="280" w:type="dxa"/>
            <w:vAlign w:val="bottom"/>
          </w:tcPr>
          <w:p>
            <w:pPr>
              <w:spacing w:after="0"/>
              <w:rPr>
                <w:sz w:val="13"/>
                <w:szCs w:val="13"/>
                <w:color w:val="auto"/>
              </w:rPr>
            </w:pPr>
          </w:p>
        </w:tc>
        <w:tc>
          <w:tcPr>
            <w:tcW w:w="1700" w:type="dxa"/>
            <w:vAlign w:val="bottom"/>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0" w:type="dxa"/>
            <w:vAlign w:val="bottom"/>
          </w:tcPr>
          <w:p>
            <w:pPr>
              <w:spacing w:after="0"/>
              <w:rPr>
                <w:sz w:val="1"/>
                <w:szCs w:val="1"/>
                <w:color w:val="auto"/>
              </w:rPr>
            </w:pPr>
          </w:p>
        </w:tc>
      </w:tr>
      <w:tr>
        <w:trPr>
          <w:trHeight w:val="142"/>
        </w:trPr>
        <w:tc>
          <w:tcPr>
            <w:tcW w:w="4620" w:type="dxa"/>
            <w:vAlign w:val="bottom"/>
            <w:tcBorders>
              <w:top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Redeemable senior preferred stock</w:t>
            </w:r>
          </w:p>
        </w:tc>
        <w:tc>
          <w:tcPr>
            <w:tcW w:w="264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88,064</w:t>
            </w: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225,000</w:t>
            </w:r>
          </w:p>
        </w:tc>
        <w:tc>
          <w:tcPr>
            <w:tcW w:w="0" w:type="dxa"/>
            <w:vAlign w:val="bottom"/>
          </w:tcPr>
          <w:p>
            <w:pPr>
              <w:spacing w:after="0"/>
              <w:rPr>
                <w:sz w:val="1"/>
                <w:szCs w:val="1"/>
                <w:color w:val="auto"/>
              </w:rPr>
            </w:pPr>
          </w:p>
        </w:tc>
      </w:tr>
      <w:tr>
        <w:trPr>
          <w:trHeight w:val="153"/>
        </w:trPr>
        <w:tc>
          <w:tcPr>
            <w:tcW w:w="4620" w:type="dxa"/>
            <w:vAlign w:val="bottom"/>
          </w:tcPr>
          <w:p>
            <w:pPr>
              <w:spacing w:after="0"/>
              <w:rPr>
                <w:sz w:val="20"/>
                <w:szCs w:val="20"/>
                <w:color w:val="auto"/>
              </w:rPr>
            </w:pPr>
            <w:r>
              <w:rPr>
                <w:rFonts w:ascii="Times New Roman" w:cs="Times New Roman" w:eastAsia="Times New Roman" w:hAnsi="Times New Roman"/>
                <w:sz w:val="12"/>
                <w:szCs w:val="12"/>
                <w:color w:val="auto"/>
              </w:rPr>
              <w:t>Accumulated unpaid dividend</w:t>
            </w:r>
          </w:p>
        </w:tc>
        <w:tc>
          <w:tcPr>
            <w:tcW w:w="2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20,735</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43,498</w:t>
            </w:r>
          </w:p>
        </w:tc>
        <w:tc>
          <w:tcPr>
            <w:tcW w:w="0" w:type="dxa"/>
            <w:vAlign w:val="bottom"/>
          </w:tcPr>
          <w:p>
            <w:pPr>
              <w:spacing w:after="0"/>
              <w:rPr>
                <w:sz w:val="1"/>
                <w:szCs w:val="1"/>
                <w:color w:val="auto"/>
              </w:rPr>
            </w:pPr>
          </w:p>
        </w:tc>
      </w:tr>
      <w:tr>
        <w:trPr>
          <w:trHeight w:val="15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Dividend payable</w:t>
            </w:r>
          </w:p>
        </w:tc>
        <w:tc>
          <w:tcPr>
            <w:tcW w:w="264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2,824</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7,027</w:t>
            </w:r>
          </w:p>
        </w:tc>
        <w:tc>
          <w:tcPr>
            <w:tcW w:w="0" w:type="dxa"/>
            <w:vAlign w:val="bottom"/>
          </w:tcPr>
          <w:p>
            <w:pPr>
              <w:spacing w:after="0"/>
              <w:rPr>
                <w:sz w:val="1"/>
                <w:szCs w:val="1"/>
                <w:color w:val="auto"/>
              </w:rPr>
            </w:pPr>
          </w:p>
        </w:tc>
      </w:tr>
      <w:tr>
        <w:trPr>
          <w:trHeight w:val="142"/>
        </w:trPr>
        <w:tc>
          <w:tcPr>
            <w:tcW w:w="462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Redemption value</w:t>
            </w:r>
          </w:p>
        </w:tc>
        <w:tc>
          <w:tcPr>
            <w:tcW w:w="2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111,623</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275,525</w:t>
            </w:r>
          </w:p>
        </w:tc>
        <w:tc>
          <w:tcPr>
            <w:tcW w:w="0" w:type="dxa"/>
            <w:vAlign w:val="bottom"/>
          </w:tcPr>
          <w:p>
            <w:pPr>
              <w:spacing w:after="0"/>
              <w:rPr>
                <w:sz w:val="1"/>
                <w:szCs w:val="1"/>
                <w:color w:val="auto"/>
              </w:rPr>
            </w:pPr>
          </w:p>
        </w:tc>
      </w:tr>
      <w:tr>
        <w:trPr>
          <w:trHeight w:val="15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unamortized discounts and issuance costs</w:t>
            </w:r>
          </w:p>
        </w:tc>
        <w:tc>
          <w:tcPr>
            <w:tcW w:w="264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(5,939)</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(16,920)</w:t>
            </w:r>
          </w:p>
        </w:tc>
        <w:tc>
          <w:tcPr>
            <w:tcW w:w="0" w:type="dxa"/>
            <w:vAlign w:val="bottom"/>
          </w:tcPr>
          <w:p>
            <w:pPr>
              <w:spacing w:after="0"/>
              <w:rPr>
                <w:sz w:val="1"/>
                <w:szCs w:val="1"/>
                <w:color w:val="auto"/>
              </w:rPr>
            </w:pPr>
          </w:p>
        </w:tc>
      </w:tr>
      <w:tr>
        <w:trPr>
          <w:trHeight w:val="142"/>
        </w:trPr>
        <w:tc>
          <w:tcPr>
            <w:tcW w:w="46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Redeemable senior preferred stock, net of discounts and issuance costs:</w:t>
            </w:r>
          </w:p>
        </w:tc>
        <w:tc>
          <w:tcPr>
            <w:tcW w:w="2640" w:type="dxa"/>
            <w:vAlign w:val="bottom"/>
          </w:tcPr>
          <w:p>
            <w:pPr>
              <w:spacing w:after="0"/>
              <w:rPr>
                <w:sz w:val="12"/>
                <w:szCs w:val="12"/>
                <w:color w:val="auto"/>
              </w:rPr>
            </w:pP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105,684</w:t>
            </w:r>
          </w:p>
        </w:tc>
        <w:tc>
          <w:tcPr>
            <w:tcW w:w="80" w:type="dxa"/>
            <w:vAlign w:val="bottom"/>
          </w:tcPr>
          <w:p>
            <w:pPr>
              <w:spacing w:after="0"/>
              <w:rPr>
                <w:sz w:val="12"/>
                <w:szCs w:val="12"/>
                <w:color w:val="auto"/>
              </w:rPr>
            </w:pP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258,605</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640" w:type="dxa"/>
            <w:vAlign w:val="bottom"/>
            <w:vMerge w:val="restart"/>
          </w:tcPr>
          <w:p>
            <w:pPr>
              <w:jc w:val="right"/>
              <w:ind w:right="1500"/>
              <w:spacing w:after="0"/>
              <w:rPr>
                <w:sz w:val="20"/>
                <w:szCs w:val="20"/>
                <w:color w:val="auto"/>
              </w:rPr>
            </w:pPr>
            <w:r>
              <w:rPr>
                <w:rFonts w:ascii="Times New Roman" w:cs="Times New Roman" w:eastAsia="Times New Roman" w:hAnsi="Times New Roman"/>
                <w:sz w:val="12"/>
                <w:szCs w:val="12"/>
                <w:color w:val="auto"/>
              </w:rPr>
              <w:t>18</w:t>
            </w:r>
          </w:p>
        </w:tc>
        <w:tc>
          <w:tcPr>
            <w:tcW w:w="3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6"/>
        </w:trPr>
        <w:tc>
          <w:tcPr>
            <w:tcW w:w="462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tcBorders>
              <w:bottom w:val="single" w:sz="8" w:color="9A9A9A"/>
            </w:tcBorders>
          </w:tcPr>
          <w:p>
            <w:pPr>
              <w:spacing w:after="0"/>
              <w:rPr>
                <w:sz w:val="18"/>
                <w:szCs w:val="18"/>
                <w:color w:val="auto"/>
              </w:rPr>
            </w:pPr>
          </w:p>
        </w:tc>
        <w:tc>
          <w:tcPr>
            <w:tcW w:w="264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6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7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1027" w:right="29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55"/>
        </w:trPr>
        <w:tc>
          <w:tcPr>
            <w:tcW w:w="7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The following table provides a reconciliation of the beginning and ending carrying amounts of the redeemable senior preferred stock for the periods presented:</w:t>
            </w: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315"/>
        </w:trPr>
        <w:tc>
          <w:tcPr>
            <w:tcW w:w="784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480" w:type="dxa"/>
            <w:vAlign w:val="bottom"/>
            <w:gridSpan w:val="2"/>
          </w:tcPr>
          <w:p>
            <w:pPr>
              <w:ind w:left="2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420" w:type="dxa"/>
            <w:vAlign w:val="bottom"/>
          </w:tcPr>
          <w:p>
            <w:pPr>
              <w:spacing w:after="0"/>
              <w:rPr>
                <w:sz w:val="24"/>
                <w:szCs w:val="24"/>
                <w:color w:val="auto"/>
              </w:rPr>
            </w:pPr>
          </w:p>
        </w:tc>
        <w:tc>
          <w:tcPr>
            <w:tcW w:w="1560" w:type="dxa"/>
            <w:vAlign w:val="bottom"/>
          </w:tcPr>
          <w:p>
            <w:pPr>
              <w:jc w:val="right"/>
              <w:ind w:right="720"/>
              <w:spacing w:after="0"/>
              <w:rPr>
                <w:sz w:val="20"/>
                <w:szCs w:val="20"/>
                <w:color w:val="auto"/>
              </w:rPr>
            </w:pPr>
            <w:r>
              <w:rPr>
                <w:rFonts w:ascii="Times New Roman" w:cs="Times New Roman" w:eastAsia="Times New Roman" w:hAnsi="Times New Roman"/>
                <w:sz w:val="12"/>
                <w:szCs w:val="12"/>
                <w:b w:val="1"/>
                <w:bCs w:val="1"/>
                <w:color w:val="auto"/>
              </w:rPr>
              <w:t>Amount</w:t>
            </w:r>
          </w:p>
        </w:tc>
      </w:tr>
      <w:tr>
        <w:trPr>
          <w:trHeight w:val="142"/>
        </w:trPr>
        <w:tc>
          <w:tcPr>
            <w:tcW w:w="7260" w:type="dxa"/>
            <w:vAlign w:val="bottom"/>
            <w:tcBorders>
              <w:top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December 31, 2023</w:t>
            </w:r>
          </w:p>
        </w:tc>
        <w:tc>
          <w:tcPr>
            <w:tcW w:w="580" w:type="dxa"/>
            <w:vAlign w:val="bottom"/>
            <w:tcBorders>
              <w:top w:val="single" w:sz="8" w:color="auto"/>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w:t>
            </w:r>
          </w:p>
        </w:tc>
        <w:tc>
          <w:tcPr>
            <w:tcW w:w="8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258,605</w:t>
            </w:r>
          </w:p>
        </w:tc>
      </w:tr>
      <w:tr>
        <w:trPr>
          <w:trHeight w:val="153"/>
        </w:trPr>
        <w:tc>
          <w:tcPr>
            <w:tcW w:w="78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Unpaid dividend on redeemable senior preferred stock</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4,699</w:t>
            </w:r>
          </w:p>
        </w:tc>
      </w:tr>
      <w:tr>
        <w:trPr>
          <w:trHeight w:val="153"/>
        </w:trPr>
        <w:tc>
          <w:tcPr>
            <w:tcW w:w="7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Accretion of discounts and issuance costs</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841</w:t>
            </w:r>
          </w:p>
        </w:tc>
      </w:tr>
      <w:tr>
        <w:trPr>
          <w:trHeight w:val="153"/>
        </w:trPr>
        <w:tc>
          <w:tcPr>
            <w:tcW w:w="78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Cash portion of dividend outstanding at March 31, 2024</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7,122</w:t>
            </w:r>
          </w:p>
        </w:tc>
      </w:tr>
      <w:tr>
        <w:trPr>
          <w:trHeight w:val="153"/>
        </w:trPr>
        <w:tc>
          <w:tcPr>
            <w:tcW w:w="7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Payment of cash portion of dividend outstanding at December 31, 2023</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(7,027)</w:t>
            </w:r>
          </w:p>
        </w:tc>
      </w:tr>
      <w:tr>
        <w:trPr>
          <w:trHeight w:val="142"/>
        </w:trPr>
        <w:tc>
          <w:tcPr>
            <w:tcW w:w="72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March 31, 2024</w:t>
            </w:r>
          </w:p>
        </w:tc>
        <w:tc>
          <w:tcPr>
            <w:tcW w:w="58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225</w:t>
            </w:r>
          </w:p>
        </w:tc>
        <w:tc>
          <w:tcPr>
            <w:tcW w:w="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264,240</w:t>
            </w:r>
          </w:p>
        </w:tc>
      </w:tr>
      <w:tr>
        <w:trPr>
          <w:trHeight w:val="153"/>
        </w:trPr>
        <w:tc>
          <w:tcPr>
            <w:tcW w:w="7840" w:type="dxa"/>
            <w:vAlign w:val="bottom"/>
            <w:gridSpan w:val="2"/>
            <w:shd w:val="clear" w:color="auto" w:fill="CCEEFF"/>
          </w:tcPr>
          <w:p>
            <w:pPr>
              <w:ind w:left="80"/>
              <w:spacing w:after="0" w:line="153" w:lineRule="exact"/>
              <w:rPr>
                <w:sz w:val="20"/>
                <w:szCs w:val="20"/>
                <w:color w:val="auto"/>
              </w:rPr>
            </w:pPr>
            <w:r>
              <w:rPr>
                <w:rFonts w:ascii="Times New Roman" w:cs="Times New Roman" w:eastAsia="Times New Roman" w:hAnsi="Times New Roman"/>
                <w:sz w:val="12"/>
                <w:szCs w:val="12"/>
                <w:color w:val="auto"/>
              </w:rPr>
              <w:t>Redemption of senior preferred stock</w:t>
            </w:r>
            <w:r>
              <w:rPr>
                <w:rFonts w:ascii="Times New Roman" w:cs="Times New Roman" w:eastAsia="Times New Roman" w:hAnsi="Times New Roman"/>
                <w:sz w:val="15"/>
                <w:szCs w:val="15"/>
                <w:color w:val="auto"/>
                <w:vertAlign w:val="superscript"/>
              </w:rPr>
              <w:t>(1)</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(166,268)</w:t>
            </w:r>
          </w:p>
        </w:tc>
      </w:tr>
      <w:tr>
        <w:trPr>
          <w:trHeight w:val="153"/>
        </w:trPr>
        <w:tc>
          <w:tcPr>
            <w:tcW w:w="78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Unpaid dividend on redeemable senior preferred stock</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1,871</w:t>
            </w:r>
          </w:p>
        </w:tc>
      </w:tr>
      <w:tr>
        <w:trPr>
          <w:trHeight w:val="153"/>
        </w:trPr>
        <w:tc>
          <w:tcPr>
            <w:tcW w:w="7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Accretion of discounts and issuance costs</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10,139</w:t>
            </w:r>
          </w:p>
        </w:tc>
      </w:tr>
      <w:tr>
        <w:trPr>
          <w:trHeight w:val="153"/>
        </w:trPr>
        <w:tc>
          <w:tcPr>
            <w:tcW w:w="78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Cash portion of dividend outstanding at June 30, 2024</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2,824</w:t>
            </w:r>
          </w:p>
        </w:tc>
      </w:tr>
      <w:tr>
        <w:trPr>
          <w:trHeight w:val="153"/>
        </w:trPr>
        <w:tc>
          <w:tcPr>
            <w:tcW w:w="7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Payment of cash portion of dividend outstanding at March 31, 2024</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(7,122)</w:t>
            </w:r>
          </w:p>
        </w:tc>
      </w:tr>
      <w:tr>
        <w:trPr>
          <w:trHeight w:val="142"/>
        </w:trPr>
        <w:tc>
          <w:tcPr>
            <w:tcW w:w="72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June 30, 2024</w:t>
            </w:r>
          </w:p>
        </w:tc>
        <w:tc>
          <w:tcPr>
            <w:tcW w:w="58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88</w:t>
            </w:r>
          </w:p>
        </w:tc>
        <w:tc>
          <w:tcPr>
            <w:tcW w:w="8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105,684</w:t>
            </w:r>
          </w:p>
        </w:tc>
      </w:tr>
      <w:tr>
        <w:trPr>
          <w:trHeight w:val="20"/>
        </w:trPr>
        <w:tc>
          <w:tcPr>
            <w:tcW w:w="7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420" w:right="260" w:hanging="212"/>
        <w:spacing w:after="0" w:line="261" w:lineRule="auto"/>
        <w:tabs>
          <w:tab w:leader="none" w:pos="412" w:val="left"/>
        </w:tabs>
        <w:numPr>
          <w:ilvl w:val="0"/>
          <w:numId w:val="15"/>
        </w:numPr>
        <w:rPr>
          <w:rFonts w:ascii="Times New Roman" w:cs="Times New Roman" w:eastAsia="Times New Roman" w:hAnsi="Times New Roman"/>
          <w:sz w:val="14"/>
          <w:szCs w:val="14"/>
          <w:color w:val="212529"/>
          <w:vertAlign w:val="superscript"/>
        </w:rPr>
      </w:pPr>
      <w:r>
        <w:rPr>
          <w:rFonts w:ascii="Times New Roman" w:cs="Times New Roman" w:eastAsia="Times New Roman" w:hAnsi="Times New Roman"/>
          <w:sz w:val="11"/>
          <w:szCs w:val="11"/>
          <w:color w:val="212529"/>
        </w:rPr>
        <w:t>On May 16, 2024, the Company used proceeds totaling $170.0 million from the refinancing (</w:t>
      </w:r>
      <w:r>
        <w:rPr>
          <w:rFonts w:ascii="Times New Roman" w:cs="Times New Roman" w:eastAsia="Times New Roman" w:hAnsi="Times New Roman"/>
          <w:sz w:val="11"/>
          <w:szCs w:val="11"/>
          <w:color w:val="000000"/>
        </w:rPr>
        <w:t>see</w:t>
      </w:r>
      <w:r>
        <w:rPr>
          <w:rFonts w:ascii="Times New Roman" w:cs="Times New Roman" w:eastAsia="Times New Roman" w:hAnsi="Times New Roman"/>
          <w:sz w:val="11"/>
          <w:szCs w:val="11"/>
          <w:color w:val="212529"/>
        </w:rPr>
        <w:t xml:space="preserve"> </w:t>
      </w:r>
      <w:r>
        <w:rPr>
          <w:rFonts w:ascii="Times New Roman" w:cs="Times New Roman" w:eastAsia="Times New Roman" w:hAnsi="Times New Roman"/>
          <w:sz w:val="11"/>
          <w:szCs w:val="11"/>
          <w:u w:val="single" w:color="auto"/>
          <w:color w:val="0000FF"/>
        </w:rPr>
        <w:t>Note 8. Debt Obligations</w:t>
      </w:r>
      <w:r>
        <w:rPr>
          <w:rFonts w:ascii="Times New Roman" w:cs="Times New Roman" w:eastAsia="Times New Roman" w:hAnsi="Times New Roman"/>
          <w:sz w:val="11"/>
          <w:szCs w:val="11"/>
          <w:color w:val="212529"/>
        </w:rPr>
        <w:t>) to redeem a portion of the redeemable senior preferred stock. The redemption consisted of $136.9 million of redeemable senior preferred stock, $29.4 million for accumulated unpaid dividend, and $2.2 million of cash dividend and $1.5 million of accumulated unpaid dividend for the quarter ending June 30, 2024.</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060" w:type="dxa"/>
            <w:vAlign w:val="bottom"/>
          </w:tcPr>
          <w:p>
            <w:pPr>
              <w:spacing w:after="0"/>
              <w:rPr>
                <w:sz w:val="20"/>
                <w:szCs w:val="20"/>
                <w:color w:val="auto"/>
              </w:rPr>
            </w:pPr>
            <w:r>
              <w:rPr>
                <w:rFonts w:ascii="Times New Roman" w:cs="Times New Roman" w:eastAsia="Times New Roman" w:hAnsi="Times New Roman"/>
                <w:sz w:val="12"/>
                <w:szCs w:val="12"/>
                <w:color w:val="auto"/>
              </w:rPr>
              <w:t>The dividend rate as of June 30, 2024 and December 31, 2023, was 17.6% and 17.7% respectively.</w:t>
            </w: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5060" w:type="dxa"/>
            <w:vAlign w:val="bottom"/>
          </w:tcPr>
          <w:p>
            <w:pPr>
              <w:spacing w:after="0"/>
              <w:rPr>
                <w:sz w:val="20"/>
                <w:szCs w:val="20"/>
                <w:color w:val="auto"/>
              </w:rPr>
            </w:pPr>
            <w:r>
              <w:rPr>
                <w:rFonts w:ascii="Times New Roman" w:cs="Times New Roman" w:eastAsia="Times New Roman" w:hAnsi="Times New Roman"/>
                <w:sz w:val="12"/>
                <w:szCs w:val="12"/>
                <w:color w:val="auto"/>
              </w:rPr>
              <w:t>The following table provides a summary of the dividends for the periods presented:</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060" w:type="dxa"/>
            <w:vAlign w:val="bottom"/>
            <w:vMerge w:val="restart"/>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360" w:type="dxa"/>
            <w:vAlign w:val="bottom"/>
          </w:tcPr>
          <w:p>
            <w:pPr>
              <w:spacing w:after="0"/>
              <w:rPr>
                <w:sz w:val="14"/>
                <w:szCs w:val="14"/>
                <w:color w:val="auto"/>
              </w:rPr>
            </w:pPr>
          </w:p>
        </w:tc>
        <w:tc>
          <w:tcPr>
            <w:tcW w:w="2800" w:type="dxa"/>
            <w:vAlign w:val="bottom"/>
            <w:gridSpan w:val="5"/>
          </w:tcPr>
          <w:p>
            <w:pPr>
              <w:ind w:left="420"/>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340" w:type="dxa"/>
            <w:vAlign w:val="bottom"/>
          </w:tcPr>
          <w:p>
            <w:pPr>
              <w:spacing w:after="0"/>
              <w:rPr>
                <w:sz w:val="14"/>
                <w:szCs w:val="14"/>
                <w:color w:val="auto"/>
              </w:rPr>
            </w:pPr>
          </w:p>
        </w:tc>
        <w:tc>
          <w:tcPr>
            <w:tcW w:w="2740" w:type="dxa"/>
            <w:vAlign w:val="bottom"/>
            <w:gridSpan w:val="4"/>
          </w:tcPr>
          <w:p>
            <w:pPr>
              <w:jc w:val="right"/>
              <w:ind w:right="780"/>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c>
          <w:tcPr>
            <w:tcW w:w="0" w:type="dxa"/>
            <w:vAlign w:val="bottom"/>
          </w:tcPr>
          <w:p>
            <w:pPr>
              <w:spacing w:after="0"/>
              <w:rPr>
                <w:sz w:val="1"/>
                <w:szCs w:val="1"/>
                <w:color w:val="auto"/>
              </w:rPr>
            </w:pPr>
          </w:p>
        </w:tc>
      </w:tr>
      <w:tr>
        <w:trPr>
          <w:trHeight w:val="142"/>
        </w:trPr>
        <w:tc>
          <w:tcPr>
            <w:tcW w:w="5060" w:type="dxa"/>
            <w:vAlign w:val="bottom"/>
            <w:tcBorders>
              <w:bottom w:val="single" w:sz="8" w:color="CCEEFF"/>
            </w:tcBorders>
            <w:vMerge w:val="continue"/>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6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2023</w:t>
            </w:r>
          </w:p>
        </w:tc>
        <w:tc>
          <w:tcPr>
            <w:tcW w:w="0" w:type="dxa"/>
            <w:vAlign w:val="bottom"/>
          </w:tcPr>
          <w:p>
            <w:pPr>
              <w:spacing w:after="0"/>
              <w:rPr>
                <w:sz w:val="1"/>
                <w:szCs w:val="1"/>
                <w:color w:val="auto"/>
              </w:rPr>
            </w:pPr>
          </w:p>
        </w:tc>
      </w:tr>
      <w:tr>
        <w:trPr>
          <w:trHeight w:val="142"/>
        </w:trPr>
        <w:tc>
          <w:tcPr>
            <w:tcW w:w="50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2"/>
                <w:szCs w:val="12"/>
                <w:color w:val="auto"/>
              </w:rPr>
              <w:t>Dividends paid in cash</w:t>
            </w:r>
            <w:r>
              <w:rPr>
                <w:rFonts w:ascii="Times New Roman" w:cs="Times New Roman" w:eastAsia="Times New Roman" w:hAnsi="Times New Roman"/>
                <w:sz w:val="15"/>
                <w:szCs w:val="15"/>
                <w:color w:val="auto"/>
                <w:vertAlign w:val="superscript"/>
              </w:rPr>
              <w:t>(1)</w:t>
            </w: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5,068</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6,473</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12,190</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12,567</w:t>
            </w:r>
          </w:p>
        </w:tc>
        <w:tc>
          <w:tcPr>
            <w:tcW w:w="0" w:type="dxa"/>
            <w:vAlign w:val="bottom"/>
          </w:tcPr>
          <w:p>
            <w:pPr>
              <w:spacing w:after="0"/>
              <w:rPr>
                <w:sz w:val="1"/>
                <w:szCs w:val="1"/>
                <w:color w:val="auto"/>
              </w:rPr>
            </w:pPr>
          </w:p>
        </w:tc>
      </w:tr>
      <w:tr>
        <w:trPr>
          <w:trHeight w:val="153"/>
        </w:trPr>
        <w:tc>
          <w:tcPr>
            <w:tcW w:w="5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Accumulated dividends accrued as part of the carrying value of redeemable senior preferred stock</w:t>
            </w: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3,358</w:t>
            </w:r>
          </w:p>
        </w:tc>
        <w:tc>
          <w:tcPr>
            <w:tcW w:w="6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4,461</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8,057</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8,844</w:t>
            </w:r>
          </w:p>
        </w:tc>
        <w:tc>
          <w:tcPr>
            <w:tcW w:w="0" w:type="dxa"/>
            <w:vAlign w:val="bottom"/>
          </w:tcPr>
          <w:p>
            <w:pPr>
              <w:spacing w:after="0"/>
              <w:rPr>
                <w:sz w:val="1"/>
                <w:szCs w:val="1"/>
                <w:color w:val="auto"/>
              </w:rPr>
            </w:pPr>
          </w:p>
        </w:tc>
      </w:tr>
      <w:tr>
        <w:trPr>
          <w:trHeight w:val="158"/>
        </w:trPr>
        <w:tc>
          <w:tcPr>
            <w:tcW w:w="50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2"/>
                <w:szCs w:val="12"/>
                <w:b w:val="1"/>
                <w:bCs w:val="1"/>
                <w:color w:val="auto"/>
              </w:rPr>
              <w:t>Dividends declared</w:t>
            </w: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8,426</w:t>
            </w:r>
          </w:p>
        </w:tc>
        <w:tc>
          <w:tcPr>
            <w:tcW w:w="6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10,934</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20,247</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21,411</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420" w:hanging="212"/>
        <w:spacing w:after="0"/>
        <w:tabs>
          <w:tab w:leader="none" w:pos="420" w:val="left"/>
        </w:tabs>
        <w:numPr>
          <w:ilvl w:val="0"/>
          <w:numId w:val="16"/>
        </w:numPr>
        <w:rPr>
          <w:rFonts w:ascii="Times New Roman" w:cs="Times New Roman" w:eastAsia="Times New Roman" w:hAnsi="Times New Roman"/>
          <w:sz w:val="16"/>
          <w:szCs w:val="16"/>
          <w:color w:val="212529"/>
          <w:vertAlign w:val="superscript"/>
        </w:rPr>
      </w:pPr>
      <w:r>
        <w:rPr>
          <w:rFonts w:ascii="Times New Roman" w:cs="Times New Roman" w:eastAsia="Times New Roman" w:hAnsi="Times New Roman"/>
          <w:sz w:val="12"/>
          <w:szCs w:val="12"/>
          <w:color w:val="212529"/>
        </w:rPr>
        <w:t xml:space="preserve">Dividend payable for the three months ended </w:t>
      </w:r>
      <w:r>
        <w:rPr>
          <w:rFonts w:ascii="Times New Roman" w:cs="Times New Roman" w:eastAsia="Times New Roman" w:hAnsi="Times New Roman"/>
          <w:sz w:val="12"/>
          <w:szCs w:val="12"/>
          <w:color w:val="000000"/>
        </w:rPr>
        <w:t>June 30, 2024</w:t>
      </w:r>
      <w:r>
        <w:rPr>
          <w:rFonts w:ascii="Times New Roman" w:cs="Times New Roman" w:eastAsia="Times New Roman" w:hAnsi="Times New Roman"/>
          <w:sz w:val="12"/>
          <w:szCs w:val="12"/>
          <w:color w:val="212529"/>
        </w:rPr>
        <w:t xml:space="preserve"> of </w:t>
      </w:r>
      <w:r>
        <w:rPr>
          <w:rFonts w:ascii="Times New Roman" w:cs="Times New Roman" w:eastAsia="Times New Roman" w:hAnsi="Times New Roman"/>
          <w:sz w:val="12"/>
          <w:szCs w:val="12"/>
          <w:color w:val="000000"/>
        </w:rPr>
        <w:t>$2.8 million</w:t>
      </w:r>
      <w:r>
        <w:rPr>
          <w:rFonts w:ascii="Times New Roman" w:cs="Times New Roman" w:eastAsia="Times New Roman" w:hAnsi="Times New Roman"/>
          <w:sz w:val="12"/>
          <w:szCs w:val="12"/>
          <w:color w:val="212529"/>
        </w:rPr>
        <w:t xml:space="preserve"> was paid on July 1, 2024.</w:t>
      </w:r>
    </w:p>
    <w:p>
      <w:pPr>
        <w:spacing w:after="0" w:line="133"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2"/>
          <w:szCs w:val="12"/>
          <w:color w:val="auto"/>
        </w:rPr>
        <w:t>On June 30, 2023, the Company amended the Certificate of Designation of its redeemable senior preferred stock to transition the reference rate used for the calculation of dividends from LIBOR to SOFR. Under the Amended Certificate of Designation, the dividend rate (capped at 22.50%) is equal to the three-month term SOFR (minimum of 1.00%), plus the three-month term SOFR spread adjustment of 0.26% plus the applicable margin of 12.00%. The dividend rate is subject to future increases if the Company doesn't comply with the minimum cash payment requirements outlined in the agreement, which includes required payments of dividends, required payments related to redemption or required prepayments. The dividend rate may also increase if the Company fails to obtain the required stockholder approval for a forced sale transaction triggered by investors or if an event of default as outlined in the agreement occurs.</w:t>
      </w:r>
    </w:p>
    <w:p>
      <w:pPr>
        <w:spacing w:after="0" w:line="125"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2"/>
          <w:szCs w:val="12"/>
          <w:color w:val="auto"/>
        </w:rPr>
        <w:t>In 2021, the Company issued warrants to purchase up to 1,803,841 shares of the Common Stock, at an exercise price of $0.001. As of June 30, 2024, none of the warrants have been exercised. The warrants are considered to be equity contracts indexed in the Company's own shares and therefore were recorded at their inception date relative fair value and are included in additional paid-in capital on the Company's Unaudited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9" w:right="299" w:bottom="1440" w:gutter="0" w:footer="0" w:header="0"/>
        </w:sectPr>
      </w:pPr>
    </w:p>
    <w:bookmarkStart w:id="22" w:name="page23"/>
    <w:bookmarkEnd w:id="22"/>
    <w:p>
      <w:pPr>
        <w:ind w:left="8"/>
        <w:spacing w:after="0"/>
        <w:tabs>
          <w:tab w:leader="none" w:pos="248" w:val="left"/>
        </w:tabs>
        <w:rPr>
          <w:sz w:val="20"/>
          <w:szCs w:val="20"/>
          <w:color w:val="auto"/>
        </w:rPr>
      </w:pPr>
      <w:r>
        <w:rPr>
          <w:rFonts w:ascii="Times New Roman" w:cs="Times New Roman" w:eastAsia="Times New Roman" w:hAnsi="Times New Roman"/>
          <w:sz w:val="12"/>
          <w:szCs w:val="12"/>
          <w:b w:val="1"/>
          <w:bCs w:val="1"/>
          <w:color w:val="auto"/>
        </w:rPr>
        <w:t>10.</w:t>
      </w:r>
      <w:r>
        <w:rPr>
          <w:sz w:val="20"/>
          <w:szCs w:val="20"/>
          <w:color w:val="auto"/>
        </w:rPr>
        <w:tab/>
      </w:r>
      <w:r>
        <w:rPr>
          <w:rFonts w:ascii="Times New Roman" w:cs="Times New Roman" w:eastAsia="Times New Roman" w:hAnsi="Times New Roman"/>
          <w:sz w:val="11"/>
          <w:szCs w:val="11"/>
          <w:b w:val="1"/>
          <w:bCs w:val="1"/>
          <w:color w:val="auto"/>
        </w:rPr>
        <w:t>Income Taxes</w:t>
      </w:r>
    </w:p>
    <w:p>
      <w:pPr>
        <w:spacing w:after="0" w:line="154"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The Company's consolidated effective income tax rate for the three and six months ended June 30, 2024, was 71.7% and 45.2%, respectively, compared to a consolidated effective income tax rate of 135.1% and 201.3% for the three and six months ended June 30, 2023, respectively. The effective rates differed from the statutory rate of 21.0% primarily due to an increase in the valuation allowance against certain business interest carryover deferred tax assets, and certain forecasted nondeductible expenses.</w:t>
      </w:r>
    </w:p>
    <w:p>
      <w:pPr>
        <w:spacing w:after="0" w:line="1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Valuation Allowance for Deferred Income Tax Assets</w:t>
      </w:r>
    </w:p>
    <w:p>
      <w:pPr>
        <w:spacing w:after="0" w:line="152" w:lineRule="exact"/>
        <w:rPr>
          <w:sz w:val="20"/>
          <w:szCs w:val="20"/>
          <w:color w:val="auto"/>
        </w:rPr>
      </w:pPr>
    </w:p>
    <w:p>
      <w:pPr>
        <w:ind w:left="8" w:right="40"/>
        <w:spacing w:after="0" w:line="327" w:lineRule="auto"/>
        <w:rPr>
          <w:sz w:val="20"/>
          <w:szCs w:val="20"/>
          <w:color w:val="auto"/>
        </w:rPr>
      </w:pPr>
      <w:r>
        <w:rPr>
          <w:rFonts w:ascii="Times New Roman" w:cs="Times New Roman" w:eastAsia="Times New Roman" w:hAnsi="Times New Roman"/>
          <w:sz w:val="11"/>
          <w:szCs w:val="11"/>
          <w:color w:val="auto"/>
        </w:rPr>
        <w:t xml:space="preserve">The Company considers all available positive and negative evidence to determine whether sufficient taxable income will be generated in the future to permit realization of the existing deferred tax assets. In accordance with the provisions of ASC 740, </w:t>
      </w:r>
      <w:r>
        <w:rPr>
          <w:rFonts w:ascii="Times New Roman" w:cs="Times New Roman" w:eastAsia="Times New Roman" w:hAnsi="Times New Roman"/>
          <w:sz w:val="11"/>
          <w:szCs w:val="11"/>
          <w:i w:val="1"/>
          <w:iCs w:val="1"/>
          <w:color w:val="auto"/>
        </w:rPr>
        <w:t>Income Taxes</w:t>
      </w:r>
      <w:r>
        <w:rPr>
          <w:rFonts w:ascii="Times New Roman" w:cs="Times New Roman" w:eastAsia="Times New Roman" w:hAnsi="Times New Roman"/>
          <w:sz w:val="11"/>
          <w:szCs w:val="11"/>
          <w:color w:val="auto"/>
        </w:rPr>
        <w:t>, the Company is required to provide a valuation allowance against deferred income tax assets when it is "more likely than not" that some portion or all of the deferred tax assets will not be realized.</w:t>
      </w:r>
    </w:p>
    <w:p>
      <w:pPr>
        <w:spacing w:after="0" w:line="87" w:lineRule="exact"/>
        <w:rPr>
          <w:sz w:val="20"/>
          <w:szCs w:val="20"/>
          <w:color w:val="auto"/>
        </w:rPr>
      </w:pPr>
    </w:p>
    <w:p>
      <w:pPr>
        <w:ind w:left="8" w:right="120"/>
        <w:spacing w:after="0" w:line="279" w:lineRule="auto"/>
        <w:rPr>
          <w:sz w:val="20"/>
          <w:szCs w:val="20"/>
          <w:color w:val="auto"/>
        </w:rPr>
      </w:pPr>
      <w:r>
        <w:rPr>
          <w:rFonts w:ascii="Times New Roman" w:cs="Times New Roman" w:eastAsia="Times New Roman" w:hAnsi="Times New Roman"/>
          <w:sz w:val="12"/>
          <w:szCs w:val="12"/>
          <w:color w:val="auto"/>
        </w:rPr>
        <w:t>Based on management's assessment, as of June 30, 2024, the Company continues to record a full valuation allowance against non-deductible interest expense. The Company will continue to evaluate the realizability of the net deferred tax asset on a quarterly basis and, as a result, the valuation allowance may change in future periods.</w:t>
      </w:r>
    </w:p>
    <w:p>
      <w:pPr>
        <w:spacing w:after="0" w:line="200" w:lineRule="exact"/>
        <w:rPr>
          <w:sz w:val="20"/>
          <w:szCs w:val="20"/>
          <w:color w:val="auto"/>
        </w:rPr>
      </w:pPr>
    </w:p>
    <w:p>
      <w:pPr>
        <w:spacing w:after="0" w:line="213" w:lineRule="exact"/>
        <w:rPr>
          <w:sz w:val="20"/>
          <w:szCs w:val="20"/>
          <w:color w:val="auto"/>
        </w:rPr>
      </w:pPr>
    </w:p>
    <w:p>
      <w:pPr>
        <w:ind w:left="288" w:hanging="288"/>
        <w:spacing w:after="0"/>
        <w:tabs>
          <w:tab w:leader="none" w:pos="288" w:val="left"/>
        </w:tabs>
        <w:numPr>
          <w:ilvl w:val="0"/>
          <w:numId w:val="1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Stockholders' Deficit</w:t>
      </w:r>
    </w:p>
    <w:p>
      <w:pPr>
        <w:spacing w:after="0" w:line="154" w:lineRule="exact"/>
        <w:rPr>
          <w:sz w:val="20"/>
          <w:szCs w:val="20"/>
          <w:color w:val="auto"/>
        </w:rPr>
      </w:pPr>
    </w:p>
    <w:p>
      <w:pPr>
        <w:ind w:left="8" w:right="260"/>
        <w:spacing w:after="0" w:line="279" w:lineRule="auto"/>
        <w:rPr>
          <w:sz w:val="20"/>
          <w:szCs w:val="20"/>
          <w:color w:val="auto"/>
        </w:rPr>
      </w:pPr>
      <w:r>
        <w:rPr>
          <w:rFonts w:ascii="Times New Roman" w:cs="Times New Roman" w:eastAsia="Times New Roman" w:hAnsi="Times New Roman"/>
          <w:sz w:val="12"/>
          <w:szCs w:val="12"/>
          <w:color w:val="auto"/>
        </w:rPr>
        <w:t>The Company is authorized to issue 100,000,000 shares of preferred stock with such designations, voting and other rights and preferences as may be determined from time to time by the Board of Directors. As of June 30, 2024 and December 31, 2023, the Company has not issued any shares of preferred stock.</w:t>
      </w:r>
    </w:p>
    <w:p>
      <w:pPr>
        <w:spacing w:after="0" w:line="10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Share Repurchase Program</w:t>
      </w:r>
    </w:p>
    <w:p>
      <w:pPr>
        <w:spacing w:after="0" w:line="152" w:lineRule="exact"/>
        <w:rPr>
          <w:sz w:val="20"/>
          <w:szCs w:val="20"/>
          <w:color w:val="auto"/>
        </w:rPr>
      </w:pPr>
    </w:p>
    <w:p>
      <w:pPr>
        <w:ind w:left="8" w:right="20"/>
        <w:spacing w:after="0" w:line="265" w:lineRule="auto"/>
        <w:rPr>
          <w:sz w:val="20"/>
          <w:szCs w:val="20"/>
          <w:color w:val="auto"/>
        </w:rPr>
      </w:pPr>
      <w:r>
        <w:rPr>
          <w:rFonts w:ascii="Times New Roman" w:cs="Times New Roman" w:eastAsia="Times New Roman" w:hAnsi="Times New Roman"/>
          <w:sz w:val="12"/>
          <w:szCs w:val="12"/>
          <w:color w:val="auto"/>
        </w:rPr>
        <w:t>In 2022, PRTH's Board of Directors authorized a general share repurchase program under which the Company may purchase up to 2,000,000 shares of its outstanding Common Stock for a total of up to $10.0 million. Under the terms of this plan, the Company may purchase shares through open market purchases, unsolicited or solicited privately negotiated transactions, or in another manner so long as it complies with applicable rules and regulations. There have been no shares repurchased under this plan since December 2022. As of June 30, 2024, the Company has purchased 1,309,374 shares for $5.7 million under this plan.</w:t>
      </w:r>
    </w:p>
    <w:p>
      <w:pPr>
        <w:spacing w:after="0" w:line="200" w:lineRule="exact"/>
        <w:rPr>
          <w:sz w:val="20"/>
          <w:szCs w:val="20"/>
          <w:color w:val="auto"/>
        </w:rPr>
      </w:pPr>
    </w:p>
    <w:p>
      <w:pPr>
        <w:spacing w:after="0" w:line="221"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49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12.  Stock-based Compensation</w:t>
            </w: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88"/>
        </w:trPr>
        <w:tc>
          <w:tcPr>
            <w:tcW w:w="4960" w:type="dxa"/>
            <w:vAlign w:val="bottom"/>
          </w:tcPr>
          <w:p>
            <w:pPr>
              <w:spacing w:after="0"/>
              <w:rPr>
                <w:sz w:val="20"/>
                <w:szCs w:val="20"/>
                <w:color w:val="auto"/>
              </w:rPr>
            </w:pPr>
            <w:r>
              <w:rPr>
                <w:rFonts w:ascii="Times New Roman" w:cs="Times New Roman" w:eastAsia="Times New Roman" w:hAnsi="Times New Roman"/>
                <w:sz w:val="12"/>
                <w:szCs w:val="12"/>
                <w:color w:val="auto"/>
              </w:rPr>
              <w:t>Stock-based compensation expense was as follows:</w:t>
            </w: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49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w w:val="99"/>
              </w:rPr>
              <w:t>Three Months Ended June 30,</w:t>
            </w: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r>
      <w:tr>
        <w:trPr>
          <w:trHeight w:val="142"/>
        </w:trPr>
        <w:tc>
          <w:tcPr>
            <w:tcW w:w="496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2023</w:t>
            </w:r>
          </w:p>
        </w:tc>
        <w:tc>
          <w:tcPr>
            <w:tcW w:w="5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42"/>
        </w:trPr>
        <w:tc>
          <w:tcPr>
            <w:tcW w:w="49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980" w:type="dxa"/>
            <w:vAlign w:val="bottom"/>
          </w:tcPr>
          <w:p>
            <w:pPr>
              <w:jc w:val="right"/>
              <w:ind w:right="8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1,730</w:t>
            </w:r>
          </w:p>
        </w:tc>
        <w:tc>
          <w:tcPr>
            <w:tcW w:w="100" w:type="dxa"/>
            <w:vAlign w:val="bottom"/>
          </w:tcPr>
          <w:p>
            <w:pPr>
              <w:spacing w:after="0"/>
              <w:rPr>
                <w:sz w:val="12"/>
                <w:szCs w:val="12"/>
                <w:color w:val="auto"/>
              </w:rPr>
            </w:pPr>
          </w:p>
        </w:tc>
        <w:tc>
          <w:tcPr>
            <w:tcW w:w="1220" w:type="dxa"/>
            <w:vAlign w:val="bottom"/>
          </w:tcPr>
          <w:p>
            <w:pPr>
              <w:jc w:val="right"/>
              <w:ind w:right="1080"/>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1,735</w:t>
            </w:r>
          </w:p>
        </w:tc>
        <w:tc>
          <w:tcPr>
            <w:tcW w:w="80" w:type="dxa"/>
            <w:vAlign w:val="bottom"/>
          </w:tcPr>
          <w:p>
            <w:pPr>
              <w:spacing w:after="0"/>
              <w:rPr>
                <w:sz w:val="12"/>
                <w:szCs w:val="12"/>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3,258</w:t>
            </w:r>
          </w:p>
        </w:tc>
        <w:tc>
          <w:tcPr>
            <w:tcW w:w="80" w:type="dxa"/>
            <w:vAlign w:val="bottom"/>
          </w:tcPr>
          <w:p>
            <w:pPr>
              <w:spacing w:after="0"/>
              <w:rPr>
                <w:sz w:val="12"/>
                <w:szCs w:val="12"/>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3,657</w:t>
            </w:r>
          </w:p>
        </w:tc>
      </w:tr>
      <w:tr>
        <w:trPr>
          <w:trHeight w:val="153"/>
        </w:trPr>
        <w:tc>
          <w:tcPr>
            <w:tcW w:w="4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Incentive units compensation expense</w:t>
            </w:r>
          </w:p>
        </w:tc>
        <w:tc>
          <w:tcPr>
            <w:tcW w:w="9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49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ESPP compensation expense</w:t>
            </w:r>
          </w:p>
        </w:tc>
        <w:tc>
          <w:tcPr>
            <w:tcW w:w="9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00" w:type="dxa"/>
            <w:vAlign w:val="bottom"/>
            <w:tcBorders>
              <w:bottom w:val="single" w:sz="8" w:color="CCEEFF"/>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w:t>
            </w:r>
          </w:p>
        </w:tc>
      </w:tr>
      <w:tr>
        <w:trPr>
          <w:trHeight w:val="158"/>
        </w:trPr>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980" w:type="dxa"/>
            <w:vAlign w:val="bottom"/>
            <w:tcBorders>
              <w:bottom w:val="single" w:sz="8" w:color="auto"/>
            </w:tcBorders>
            <w:shd w:val="clear" w:color="auto" w:fill="CCEEFF"/>
          </w:tcPr>
          <w:p>
            <w:pPr>
              <w:jc w:val="right"/>
              <w:ind w:right="8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1,829</w:t>
            </w:r>
          </w:p>
        </w:tc>
        <w:tc>
          <w:tcPr>
            <w:tcW w:w="10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10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1,746</w:t>
            </w:r>
          </w:p>
        </w:tc>
        <w:tc>
          <w:tcPr>
            <w:tcW w:w="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3,462</w:t>
            </w:r>
          </w:p>
        </w:tc>
        <w:tc>
          <w:tcPr>
            <w:tcW w:w="8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3,682</w:t>
            </w:r>
          </w:p>
        </w:tc>
      </w:tr>
    </w:tbl>
    <w:p>
      <w:pPr>
        <w:spacing w:after="0" w:line="19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Income tax benefit for stock-based compensation was immaterial for the three months ended June 30, 2024 and 2023. No stock-based compensation has been capitalized.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025" w:right="2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2"/>
          <w:szCs w:val="12"/>
          <w:b w:val="1"/>
          <w:bCs w:val="1"/>
          <w:color w:val="auto"/>
        </w:rPr>
        <w:t>2018 Plan</w:t>
      </w:r>
    </w:p>
    <w:p>
      <w:pPr>
        <w:spacing w:after="0" w:line="154"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2"/>
          <w:szCs w:val="12"/>
          <w:color w:val="auto"/>
        </w:rPr>
        <w:t>The Company's 2018 Plan initially provided for the issuance of up to 6,685,696 shares of the Company's Common Stock. On March 17, 2022, the Company's Board of Directors unanimously approved an amendment to the 2018 Plan, which was subsequently approved by our shareholders, to increase the number of shares authorized for issuance under the plan by 2,500,000 shares, resulting in 9,185,696 shares of the Company's Common Stock authorized for issuance under the plan.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2021 Stock Purchase Plan</w:t>
      </w:r>
    </w:p>
    <w:p>
      <w:pPr>
        <w:spacing w:after="0" w:line="15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The 2021 Stock Purchase Plan provides for up to 200,000 shares to be purchased under the plan. Shares issued under the plan may be authorized but unissued or reacquired shares of Common Stock. All employees of the Company who work more than 20 hours per week and have been employed by the Company for at least 30 days may participate in the 2021 Stock Purchase Plan.</w:t>
      </w:r>
    </w:p>
    <w:p>
      <w:pPr>
        <w:spacing w:after="0" w:line="111"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Under the 2021 Stock Purchase Plan, participants are offered, on the first day of the offering period, the option to purchase shares of Common Stock at a discount on the last day of the offering period. The offering period shall be for a period of three months and the first offering period began on January 10, 2022. The 2021 Stock Purchase Plan provides eligible employees the opportunity to purchase shares of the Company's Common stock at 95% of the lesser of the fair value on the first and last trading day of each offering period.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Non-voting Incentive Units</w:t>
      </w:r>
    </w:p>
    <w:p>
      <w:pPr>
        <w:spacing w:after="0" w:line="15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The Company issued non-voting incentive units to certain employees and partners in six subsidiaries. These non-voting incentive units were determined to be equity and are accounted for under ASC 718 Stock Compensation. The non-voting incentive units are either fully vested when granted, or vest according to the service period and/or performance measure noted in the grant agreement. As the non-voting incentive units are vested, they are recognized as NCI to the Company, who is the majority owner of the subsidiaries.</w:t>
      </w:r>
    </w:p>
    <w:p>
      <w:pPr>
        <w:spacing w:after="0" w:line="200" w:lineRule="exact"/>
        <w:rPr>
          <w:sz w:val="20"/>
          <w:szCs w:val="20"/>
          <w:color w:val="auto"/>
        </w:rPr>
      </w:pPr>
    </w:p>
    <w:p>
      <w:pPr>
        <w:spacing w:after="0" w:line="221"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2"/>
          <w:szCs w:val="12"/>
          <w:b w:val="1"/>
          <w:bCs w:val="1"/>
          <w:color w:val="auto"/>
        </w:rPr>
        <w:t>13.</w:t>
      </w:r>
      <w:r>
        <w:rPr>
          <w:sz w:val="20"/>
          <w:szCs w:val="20"/>
          <w:color w:val="auto"/>
        </w:rPr>
        <w:tab/>
      </w:r>
      <w:r>
        <w:rPr>
          <w:rFonts w:ascii="Times New Roman" w:cs="Times New Roman" w:eastAsia="Times New Roman" w:hAnsi="Times New Roman"/>
          <w:sz w:val="11"/>
          <w:szCs w:val="11"/>
          <w:b w:val="1"/>
          <w:bCs w:val="1"/>
          <w:color w:val="auto"/>
        </w:rPr>
        <w:t>Related Party Transactions</w:t>
      </w:r>
    </w:p>
    <w:p>
      <w:pPr>
        <w:spacing w:after="0" w:line="15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2"/>
          <w:szCs w:val="12"/>
          <w:color w:val="auto"/>
        </w:rPr>
        <w:t>In February 2019, PHOT, a subsidiary of the Company, received a contribution of substantially all of the operating assets of eTab and Cumulus under asset contribution agreements. PHOT is a part of the Company's SMB reportable segment. These contributed assets were primarily composed of technology-related assets. Prior to these transactions, eTab was 80.0% owned by the Company's Chairman and Chief Executive Officer ("CEO"). No cash consideration was paid to the contributors of the eTab or Cumulus assets on the date of the transactions. As consideration for these contributed assets, the contributors were issued redeemable non-controlling preferred equity interests ("redeemable NCIs") in PHOT. Under these redeemable NCIs, the contributors were eligible to receive up to $4.5 million of profits earned by PHOT, plus a preferred yield (6.0% per year) on any undistributed preferred equity interest ("Total Preferred Equity Interest"). Once the total preferred equity interest is distributed to the holders, the redeemable NCIs cease to exist. The Company's CEO initially owned 83.3% of the redeemable NCIs, which ownership interest was subsequently reduced to 35.3% through the CEO's disposition of interests to others.</w:t>
      </w:r>
    </w:p>
    <w:p>
      <w:pPr>
        <w:spacing w:after="0" w:line="12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In November 2020, the Company agreed with the contributors to an exchange of shares of common stock of the Company, or cash, for the remaining undistributed Total Preferred Equity Interests of $4.8 million. An exchange valuation for the Company's common stock was established as of November 12, 2020 at the prior 20-day volume weighted average price of $2.78 per share. The exchange was contingent upon receiving approval of the Company's lenders; therefore, the binding exchange agreements were not entered into until after lender approval was received in April 2021 in connection with the debt refinancing.</w:t>
      </w:r>
    </w:p>
    <w:p>
      <w:pPr>
        <w:spacing w:after="0" w:line="119"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2"/>
          <w:szCs w:val="12"/>
          <w:color w:val="auto"/>
        </w:rPr>
        <w:t>In May 2021, the Company entered into exchange agreements and completed the exchange of 1,428,358 shares of common stock and $0.8 million of cash for the Total Preferred Equity Interests. The CEO received 605,623 shares of common stock of the Company in exchange for his 35.3% interest, and the Company's Chief Operating Officer (“COO”) received 413,081 shares of common stock of the Company in exchange for her 24.1% interest.</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025" w:right="339" w:bottom="1440" w:gutter="0" w:footer="0" w:header="0"/>
        </w:sectPr>
      </w:pPr>
    </w:p>
    <w:bookmarkStart w:id="24" w:name="page25"/>
    <w:bookmarkEnd w:id="24"/>
    <w:p>
      <w:pPr>
        <w:jc w:val="both"/>
        <w:ind w:right="260"/>
        <w:spacing w:after="0" w:line="260" w:lineRule="auto"/>
        <w:rPr>
          <w:sz w:val="20"/>
          <w:szCs w:val="20"/>
          <w:color w:val="auto"/>
        </w:rPr>
      </w:pPr>
      <w:r>
        <w:rPr>
          <w:rFonts w:ascii="Times New Roman" w:cs="Times New Roman" w:eastAsia="Times New Roman" w:hAnsi="Times New Roman"/>
          <w:sz w:val="12"/>
          <w:szCs w:val="12"/>
          <w:color w:val="auto"/>
        </w:rPr>
        <w:t>On October 31, 2023, a lawsuit was filed alleging that the Board breached its fiduciary duties by approving the above mentioned exchange transaction. The Company denied any wrongdoing. The lawsuit was settled on January 30, 2024, wherein the Company agreed to unwind the exchange transaction and received previously issued shares of common stock of the Company and promissory notes for the amount of cash paid from the CEO, COO and others in exchange of the reissuance of PHOT redeemable preferred units. The returned shares of common stock of the Company are recorded as treasury stock at their closing market price as of the settlement date of January 30, 2024. The reissued PHOT redeemable preferred units are recorded as redeemable NCI at their estimated fair value as of the settlement date on the Company’s Unaudited Consolidated Balance Sheets.</w:t>
      </w:r>
    </w:p>
    <w:p>
      <w:pPr>
        <w:spacing w:after="0" w:line="122" w:lineRule="exact"/>
        <w:rPr>
          <w:sz w:val="20"/>
          <w:szCs w:val="20"/>
          <w:color w:val="auto"/>
        </w:rPr>
      </w:pPr>
    </w:p>
    <w:p>
      <w:pPr>
        <w:jc w:val="both"/>
        <w:ind w:right="140"/>
        <w:spacing w:after="0" w:line="260" w:lineRule="auto"/>
        <w:rPr>
          <w:sz w:val="20"/>
          <w:szCs w:val="20"/>
          <w:color w:val="auto"/>
        </w:rPr>
      </w:pPr>
      <w:r>
        <w:rPr>
          <w:rFonts w:ascii="Times New Roman" w:cs="Times New Roman" w:eastAsia="Times New Roman" w:hAnsi="Times New Roman"/>
          <w:sz w:val="12"/>
          <w:szCs w:val="12"/>
          <w:color w:val="auto"/>
        </w:rPr>
        <w:t>As of May 30, 2024, the Company approved redemption of PHOT redeemable preferred units for cash, common stock of the Company or a combination of both, at the sole discretion of the Company. The redeemable preferred units were accreted to their redemption value of $5.9 million as of May 30, 2024, through net loss available to common stockholders in the Company’s Unaudited Statements of Operations and Comprehensive Loss. The exchange value of the Company's common stock was established based on the 30-day volume weighted average close price adjusted for market illiquidity. As of June 30, 2024, the PHOT redeemable preferred units held by the CEO were redeemed in cash for $2.1 million, the promissory notes were cancelled and other holders are expected to receive their redemption consideration at a later date.</w:t>
      </w:r>
    </w:p>
    <w:p>
      <w:pPr>
        <w:spacing w:after="0" w:line="200" w:lineRule="exact"/>
        <w:rPr>
          <w:sz w:val="20"/>
          <w:szCs w:val="20"/>
          <w:color w:val="auto"/>
        </w:rPr>
      </w:pPr>
    </w:p>
    <w:p>
      <w:pPr>
        <w:spacing w:after="0" w:line="224"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2"/>
          <w:szCs w:val="12"/>
          <w:b w:val="1"/>
          <w:bCs w:val="1"/>
          <w:color w:val="auto"/>
        </w:rPr>
        <w:t>14.</w:t>
      </w:r>
      <w:r>
        <w:rPr>
          <w:sz w:val="20"/>
          <w:szCs w:val="20"/>
          <w:color w:val="auto"/>
        </w:rPr>
        <w:tab/>
      </w:r>
      <w:r>
        <w:rPr>
          <w:rFonts w:ascii="Times New Roman" w:cs="Times New Roman" w:eastAsia="Times New Roman" w:hAnsi="Times New Roman"/>
          <w:sz w:val="11"/>
          <w:szCs w:val="11"/>
          <w:b w:val="1"/>
          <w:bCs w:val="1"/>
          <w:color w:val="auto"/>
        </w:rPr>
        <w:t>Commitments and Contingencies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Minimum Annual Commitments with Third-party Processors</w:t>
      </w:r>
    </w:p>
    <w:p>
      <w:pPr>
        <w:spacing w:after="0" w:line="15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The Company has multi-year agreements with third parties to provide certain payment processing services to the Company. The Company pays processing fees under these agreements. Based on existing contracts in place, the Company is committed to pay minimum processing fees under these agreements of approximately $21.6 million in 2024 and $25.6 million in 2025.</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Annual Commitment with Vendor</w:t>
      </w:r>
    </w:p>
    <w:p>
      <w:pPr>
        <w:spacing w:after="0" w:line="152"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Effective January 1, 2022, the Company entered into a three year business cooperation agreement with a vendor to resell its services. Under the agreement, the Company purchased vendor services worth $1.5 million for the year ended December 31, 2023, and is committed to purchase vendor services worth $2.3 million in 2024.</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Capital Commitments</w:t>
      </w:r>
    </w:p>
    <w:p>
      <w:pPr>
        <w:spacing w:after="0" w:line="152"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 xml:space="preserve">The Company committed to capital contributions to fund the operations of certain subsidiaries totaling </w:t>
      </w:r>
      <w:r>
        <w:rPr>
          <w:rFonts w:ascii="Times New Roman" w:cs="Times New Roman" w:eastAsia="Times New Roman" w:hAnsi="Times New Roman"/>
          <w:sz w:val="12"/>
          <w:szCs w:val="12"/>
          <w:color w:val="auto"/>
          <w:highlight w:val="yellow"/>
        </w:rPr>
        <w:t>$0.0 million</w:t>
      </w:r>
      <w:r>
        <w:rPr>
          <w:rFonts w:ascii="Times New Roman" w:cs="Times New Roman" w:eastAsia="Times New Roman" w:hAnsi="Times New Roman"/>
          <w:sz w:val="12"/>
          <w:szCs w:val="12"/>
          <w:color w:val="auto"/>
        </w:rPr>
        <w:t xml:space="preserve"> as of June 30, 2024 and December 31, 2023. The Company is obligated to make the contributions within 10 business days of receiving notice for such contribution from the subsidiary. As of June 30, 2024 and December 31, 2023, the Company has contributed </w:t>
      </w:r>
      <w:r>
        <w:rPr>
          <w:rFonts w:ascii="Times New Roman" w:cs="Times New Roman" w:eastAsia="Times New Roman" w:hAnsi="Times New Roman"/>
          <w:sz w:val="12"/>
          <w:szCs w:val="12"/>
          <w:color w:val="auto"/>
          <w:highlight w:val="yellow"/>
        </w:rPr>
        <w:t>$0.0 million</w:t>
      </w:r>
      <w:r>
        <w:rPr>
          <w:rFonts w:ascii="Times New Roman" w:cs="Times New Roman" w:eastAsia="Times New Roman" w:hAnsi="Times New Roman"/>
          <w:sz w:val="12"/>
          <w:szCs w:val="12"/>
          <w:color w:val="auto"/>
        </w:rPr>
        <w:t xml:space="preserve"> and $11.8 million, respectively.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Merchant Reserves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See </w:t>
      </w:r>
      <w:r>
        <w:rPr>
          <w:rFonts w:ascii="Times New Roman" w:cs="Times New Roman" w:eastAsia="Times New Roman" w:hAnsi="Times New Roman"/>
          <w:sz w:val="12"/>
          <w:szCs w:val="12"/>
          <w:u w:val="single" w:color="auto"/>
          <w:color w:val="0000FF"/>
        </w:rPr>
        <w:t>Note 4. Settlement Assets and Customer/Subscriber Account Balances and Related Obligations</w:t>
      </w:r>
      <w:r>
        <w:rPr>
          <w:rFonts w:ascii="Times New Roman" w:cs="Times New Roman" w:eastAsia="Times New Roman" w:hAnsi="Times New Roman"/>
          <w:sz w:val="12"/>
          <w:szCs w:val="12"/>
          <w:color w:val="auto"/>
        </w:rPr>
        <w:t>, for information about merchant reserves.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029" w:right="31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57"/>
        </w:trPr>
        <w:tc>
          <w:tcPr>
            <w:tcW w:w="890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Contingent Consideration</w:t>
            </w:r>
          </w:p>
        </w:tc>
        <w:tc>
          <w:tcPr>
            <w:tcW w:w="160" w:type="dxa"/>
            <w:vAlign w:val="bottom"/>
          </w:tcPr>
          <w:p>
            <w:pPr>
              <w:spacing w:after="0"/>
              <w:rPr>
                <w:sz w:val="13"/>
                <w:szCs w:val="13"/>
                <w:color w:val="auto"/>
              </w:rPr>
            </w:pPr>
          </w:p>
        </w:tc>
        <w:tc>
          <w:tcPr>
            <w:tcW w:w="2240" w:type="dxa"/>
            <w:vAlign w:val="bottom"/>
          </w:tcPr>
          <w:p>
            <w:pPr>
              <w:spacing w:after="0"/>
              <w:rPr>
                <w:sz w:val="13"/>
                <w:szCs w:val="13"/>
                <w:color w:val="auto"/>
              </w:rPr>
            </w:pPr>
          </w:p>
        </w:tc>
      </w:tr>
      <w:tr>
        <w:trPr>
          <w:trHeight w:val="288"/>
        </w:trPr>
        <w:tc>
          <w:tcPr>
            <w:tcW w:w="8900" w:type="dxa"/>
            <w:vAlign w:val="bottom"/>
          </w:tcPr>
          <w:p>
            <w:pPr>
              <w:spacing w:after="0"/>
              <w:rPr>
                <w:sz w:val="20"/>
                <w:szCs w:val="20"/>
                <w:color w:val="auto"/>
              </w:rPr>
            </w:pPr>
            <w:r>
              <w:rPr>
                <w:rFonts w:ascii="Times New Roman" w:cs="Times New Roman" w:eastAsia="Times New Roman" w:hAnsi="Times New Roman"/>
                <w:sz w:val="12"/>
                <w:szCs w:val="12"/>
                <w:color w:val="auto"/>
              </w:rPr>
              <w:t>The following table provides a reconciliation of the beginning and ending balance of the Company's contingent consideration liabilities related to completed acquisitions:</w:t>
            </w:r>
          </w:p>
        </w:tc>
        <w:tc>
          <w:tcPr>
            <w:tcW w:w="16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315"/>
        </w:trPr>
        <w:tc>
          <w:tcPr>
            <w:tcW w:w="8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Contingent Consideration Liabilities</w:t>
            </w:r>
          </w:p>
        </w:tc>
      </w:tr>
      <w:tr>
        <w:trPr>
          <w:trHeight w:val="142"/>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December 31, 2023</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13,438</w:t>
            </w:r>
          </w:p>
        </w:tc>
      </w:tr>
      <w:tr>
        <w:trPr>
          <w:trHeight w:val="153"/>
        </w:trPr>
        <w:tc>
          <w:tcPr>
            <w:tcW w:w="89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Accretion of contingent consideration</w:t>
            </w:r>
          </w:p>
        </w:tc>
        <w:tc>
          <w:tcPr>
            <w:tcW w:w="160" w:type="dxa"/>
            <w:vAlign w:val="bottom"/>
          </w:tcPr>
          <w:p>
            <w:pPr>
              <w:spacing w:after="0"/>
              <w:rPr>
                <w:sz w:val="13"/>
                <w:szCs w:val="13"/>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972</w:t>
            </w:r>
          </w:p>
        </w:tc>
      </w:tr>
      <w:tr>
        <w:trPr>
          <w:trHeight w:val="153"/>
        </w:trPr>
        <w:tc>
          <w:tcPr>
            <w:tcW w:w="8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Payment of contingent consideration</w:t>
            </w:r>
          </w:p>
        </w:tc>
        <w:tc>
          <w:tcPr>
            <w:tcW w:w="160" w:type="dxa"/>
            <w:vAlign w:val="bottom"/>
            <w:tcBorders>
              <w:bottom w:val="single" w:sz="8" w:color="auto"/>
            </w:tcBorders>
            <w:shd w:val="clear" w:color="auto" w:fill="CCEEFF"/>
          </w:tcPr>
          <w:p>
            <w:pPr>
              <w:spacing w:after="0"/>
              <w:rPr>
                <w:sz w:val="13"/>
                <w:szCs w:val="13"/>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(3,071)</w:t>
            </w:r>
          </w:p>
        </w:tc>
      </w:tr>
      <w:tr>
        <w:trPr>
          <w:trHeight w:val="142"/>
        </w:trPr>
        <w:tc>
          <w:tcPr>
            <w:tcW w:w="8900" w:type="dxa"/>
            <w:vAlign w:val="bottom"/>
          </w:tcPr>
          <w:p>
            <w:pPr>
              <w:spacing w:after="0"/>
              <w:rPr>
                <w:sz w:val="20"/>
                <w:szCs w:val="20"/>
                <w:color w:val="auto"/>
              </w:rPr>
            </w:pPr>
            <w:r>
              <w:rPr>
                <w:rFonts w:ascii="Times New Roman" w:cs="Times New Roman" w:eastAsia="Times New Roman" w:hAnsi="Times New Roman"/>
                <w:sz w:val="12"/>
                <w:szCs w:val="12"/>
                <w:color w:val="auto"/>
              </w:rPr>
              <w:t>March 31, 2024</w:t>
            </w:r>
          </w:p>
        </w:tc>
        <w:tc>
          <w:tcPr>
            <w:tcW w:w="160" w:type="dxa"/>
            <w:vAlign w:val="bottom"/>
          </w:tcPr>
          <w:p>
            <w:pPr>
              <w:spacing w:after="0"/>
              <w:rPr>
                <w:sz w:val="12"/>
                <w:szCs w:val="12"/>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11,339</w:t>
            </w:r>
          </w:p>
        </w:tc>
      </w:tr>
      <w:tr>
        <w:trPr>
          <w:trHeight w:val="153"/>
        </w:trPr>
        <w:tc>
          <w:tcPr>
            <w:tcW w:w="8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Accretion of discount on contingent consideration</w:t>
            </w:r>
          </w:p>
        </w:tc>
        <w:tc>
          <w:tcPr>
            <w:tcW w:w="160" w:type="dxa"/>
            <w:vAlign w:val="bottom"/>
            <w:shd w:val="clear" w:color="auto" w:fill="CCEEFF"/>
          </w:tcPr>
          <w:p>
            <w:pPr>
              <w:spacing w:after="0"/>
              <w:rPr>
                <w:sz w:val="13"/>
                <w:szCs w:val="13"/>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1,240</w:t>
            </w:r>
          </w:p>
        </w:tc>
      </w:tr>
      <w:tr>
        <w:trPr>
          <w:trHeight w:val="153"/>
        </w:trPr>
        <w:tc>
          <w:tcPr>
            <w:tcW w:w="89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Payment of contingent consideration</w:t>
            </w:r>
          </w:p>
        </w:tc>
        <w:tc>
          <w:tcPr>
            <w:tcW w:w="16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(1,085)</w:t>
            </w:r>
          </w:p>
        </w:tc>
      </w:tr>
      <w:tr>
        <w:trPr>
          <w:trHeight w:val="158"/>
        </w:trPr>
        <w:tc>
          <w:tcPr>
            <w:tcW w:w="8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June 30, 2024</w:t>
            </w: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11,494</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Legal Proceedings</w:t>
      </w:r>
    </w:p>
    <w:p>
      <w:pPr>
        <w:spacing w:after="0" w:line="152" w:lineRule="exact"/>
        <w:rPr>
          <w:sz w:val="20"/>
          <w:szCs w:val="20"/>
          <w:color w:val="auto"/>
        </w:rPr>
      </w:pPr>
    </w:p>
    <w:p>
      <w:pPr>
        <w:jc w:val="both"/>
        <w:ind w:right="40"/>
        <w:spacing w:after="0" w:line="260" w:lineRule="auto"/>
        <w:rPr>
          <w:sz w:val="20"/>
          <w:szCs w:val="20"/>
          <w:color w:val="auto"/>
        </w:rPr>
      </w:pPr>
      <w:r>
        <w:rPr>
          <w:rFonts w:ascii="Times New Roman" w:cs="Times New Roman" w:eastAsia="Times New Roman" w:hAnsi="Times New Roman"/>
          <w:sz w:val="12"/>
          <w:szCs w:val="12"/>
          <w:color w:val="auto"/>
        </w:rPr>
        <w:t>The Company is involved in certain legal proceedings and claims which arise in the ordinary course of business. In the opinion of the Company and based on consultations with internal and external counsel, the results of any of these matters, individually and in the aggregate, are not expected to have a material effect on the Company's results of operations, financial condition or cash flows. As more information becomes available, and the Company determines that an unfavorable outcome is probable on a claim and that the amount of probable loss that the Company will incur on that claim is reasonably estimable, the Company will record an accrued expense for the claim in question. If and when the Company records such an accrual, it could be material and could adversely impact the Company's results of operations, financial condition and cash flows.</w:t>
      </w:r>
    </w:p>
    <w:p>
      <w:pPr>
        <w:spacing w:after="0" w:line="149" w:lineRule="exact"/>
        <w:rPr>
          <w:sz w:val="20"/>
          <w:szCs w:val="20"/>
          <w:color w:val="auto"/>
        </w:rPr>
      </w:pPr>
    </w:p>
    <w:p>
      <w:pPr>
        <w:jc w:val="both"/>
        <w:ind w:right="60"/>
        <w:spacing w:after="0" w:line="309" w:lineRule="auto"/>
        <w:rPr>
          <w:sz w:val="20"/>
          <w:szCs w:val="20"/>
          <w:color w:val="auto"/>
        </w:rPr>
      </w:pPr>
      <w:r>
        <w:rPr>
          <w:rFonts w:ascii="Times New Roman" w:cs="Times New Roman" w:eastAsia="Times New Roman" w:hAnsi="Times New Roman"/>
          <w:sz w:val="11"/>
          <w:szCs w:val="11"/>
          <w:color w:val="auto"/>
        </w:rPr>
        <w:t>The Company is involved in a case that was filed on October 11, 2023 and is currently pending in the United States District Court for the Northern District of California (the “Complaint”). The Complaint is a putative class action against The Credit Wholesale Company, Inc. (“Wholesale”), Priority Technology Holdings, Inc., Priority Payment Systems (“PPS”), LLC and Wells Fargo Bank, N.A. (“Wells Fargo”). The Complaint alleges that Wholesale is an agent</w:t>
      </w:r>
    </w:p>
    <w:p>
      <w:pPr>
        <w:ind w:right="220"/>
        <w:spacing w:after="0" w:line="267" w:lineRule="auto"/>
        <w:rPr>
          <w:sz w:val="20"/>
          <w:szCs w:val="20"/>
          <w:color w:val="auto"/>
        </w:rPr>
      </w:pPr>
      <w:r>
        <w:rPr>
          <w:rFonts w:ascii="Times New Roman" w:cs="Times New Roman" w:eastAsia="Times New Roman" w:hAnsi="Times New Roman"/>
          <w:sz w:val="12"/>
          <w:szCs w:val="12"/>
          <w:color w:val="auto"/>
        </w:rPr>
        <w:t xml:space="preserve">of Priority, PPS and Wells Fargo and that it made non-consensual recordation of telephonic communications with California businesses in violation of California Invasion of Privacy Act (the “Act”). </w:t>
      </w:r>
      <w:r>
        <w:rPr>
          <w:rFonts w:ascii="Times New Roman" w:cs="Times New Roman" w:eastAsia="Times New Roman" w:hAnsi="Times New Roman"/>
          <w:sz w:val="14"/>
          <w:szCs w:val="14"/>
          <w:color w:val="auto"/>
        </w:rPr>
        <w:t>T</w:t>
      </w:r>
      <w:r>
        <w:rPr>
          <w:rFonts w:ascii="Times New Roman" w:cs="Times New Roman" w:eastAsia="Times New Roman" w:hAnsi="Times New Roman"/>
          <w:sz w:val="12"/>
          <w:szCs w:val="12"/>
          <w:color w:val="auto"/>
        </w:rPr>
        <w:t>he Complaint seeks to certify a class of affected businesses and an award of $5,000 per violation of the Act. As of August 8, 2024, the financial impact, if any, of the outcome of this legal proceeding is neither probable nor estimable.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Concentration of Risks</w:t>
      </w:r>
    </w:p>
    <w:p>
      <w:pPr>
        <w:spacing w:after="0" w:line="152" w:lineRule="exact"/>
        <w:rPr>
          <w:sz w:val="20"/>
          <w:szCs w:val="20"/>
          <w:color w:val="auto"/>
        </w:rPr>
      </w:pPr>
    </w:p>
    <w:p>
      <w:pPr>
        <w:ind w:right="420"/>
        <w:spacing w:after="0" w:line="279" w:lineRule="auto"/>
        <w:rPr>
          <w:sz w:val="20"/>
          <w:szCs w:val="20"/>
          <w:color w:val="auto"/>
        </w:rPr>
      </w:pPr>
      <w:r>
        <w:rPr>
          <w:rFonts w:ascii="Times New Roman" w:cs="Times New Roman" w:eastAsia="Times New Roman" w:hAnsi="Times New Roman"/>
          <w:sz w:val="12"/>
          <w:szCs w:val="12"/>
          <w:color w:val="auto"/>
        </w:rPr>
        <w:t>The Company's revenue is substantially derived from processing Visa and Mastercard bankcard transactions. Because the Company is not a member bank, in order to process these bankcard transactions, the Company maintains sponsorship agreements with member banks which require, among other things, that the Company abide by the by-laws and regulations of the card associations.</w:t>
      </w:r>
    </w:p>
    <w:p>
      <w:pPr>
        <w:spacing w:after="0" w:line="111"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2"/>
          <w:szCs w:val="12"/>
          <w:color w:val="auto"/>
        </w:rPr>
        <w:t xml:space="preserve">As of June 30, 2024, the Company's customer account balances of $746 million are maintained in FDIC insured eligible accounts with certain FIs (refer to </w:t>
      </w:r>
      <w:r>
        <w:rPr>
          <w:rFonts w:ascii="Times New Roman" w:cs="Times New Roman" w:eastAsia="Times New Roman" w:hAnsi="Times New Roman"/>
          <w:sz w:val="12"/>
          <w:szCs w:val="12"/>
          <w:u w:val="single" w:color="auto"/>
          <w:color w:val="0000FF"/>
        </w:rPr>
        <w:t>Note 4. Settlement Assets and Customer/Subscriber Account Balances and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0000FF"/>
        </w:rPr>
        <w:t>Related Obligations</w:t>
      </w:r>
      <w:r>
        <w:rPr>
          <w:rFonts w:ascii="Times New Roman" w:cs="Times New Roman" w:eastAsia="Times New Roman" w:hAnsi="Times New Roman"/>
          <w:sz w:val="12"/>
          <w:szCs w:val="12"/>
          <w:color w:val="000000"/>
        </w:rPr>
        <w:t>) A majority of the Company's cash and restricted cash is held in certain FIs, substantially all of which is in excess of FDIC limits. The Company does not believe it is exposed to any significant credit risk from these</w:t>
      </w:r>
      <w:r>
        <w:rPr>
          <w:rFonts w:ascii="Times New Roman" w:cs="Times New Roman" w:eastAsia="Times New Roman" w:hAnsi="Times New Roman"/>
          <w:sz w:val="12"/>
          <w:szCs w:val="12"/>
          <w:color w:val="0000FF"/>
        </w:rPr>
        <w:t xml:space="preserve"> </w:t>
      </w:r>
      <w:r>
        <w:rPr>
          <w:rFonts w:ascii="Times New Roman" w:cs="Times New Roman" w:eastAsia="Times New Roman" w:hAnsi="Times New Roman"/>
          <w:sz w:val="12"/>
          <w:szCs w:val="12"/>
          <w:color w:val="000000"/>
        </w:rPr>
        <w:t>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7" w:right="299" w:bottom="1440" w:gutter="0" w:footer="0" w:header="0"/>
        </w:sectPr>
      </w:pPr>
    </w:p>
    <w:bookmarkStart w:id="26" w:name="page27"/>
    <w:bookmarkEnd w:id="26"/>
    <w:p>
      <w:pPr>
        <w:spacing w:after="0"/>
        <w:tabs>
          <w:tab w:leader="none" w:pos="240" w:val="left"/>
        </w:tabs>
        <w:rPr>
          <w:sz w:val="20"/>
          <w:szCs w:val="20"/>
          <w:color w:val="auto"/>
        </w:rPr>
      </w:pPr>
      <w:r>
        <w:rPr>
          <w:rFonts w:ascii="Times New Roman" w:cs="Times New Roman" w:eastAsia="Times New Roman" w:hAnsi="Times New Roman"/>
          <w:sz w:val="12"/>
          <w:szCs w:val="12"/>
          <w:b w:val="1"/>
          <w:bCs w:val="1"/>
          <w:color w:val="auto"/>
        </w:rPr>
        <w:t>15.</w:t>
      </w:r>
      <w:r>
        <w:rPr>
          <w:sz w:val="20"/>
          <w:szCs w:val="20"/>
          <w:color w:val="auto"/>
        </w:rPr>
        <w:tab/>
      </w:r>
      <w:r>
        <w:rPr>
          <w:rFonts w:ascii="Times New Roman" w:cs="Times New Roman" w:eastAsia="Times New Roman" w:hAnsi="Times New Roman"/>
          <w:sz w:val="11"/>
          <w:szCs w:val="11"/>
          <w:b w:val="1"/>
          <w:bCs w:val="1"/>
          <w:color w:val="auto"/>
        </w:rPr>
        <w:t>Fair Value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Fair Value Measurements</w:t>
      </w:r>
    </w:p>
    <w:p>
      <w:pPr>
        <w:spacing w:after="0" w:line="154"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2"/>
          <w:szCs w:val="12"/>
          <w:color w:val="auto"/>
        </w:rPr>
        <w:t>The Company's contingent consideration derived from business combinations are classified within Level 3 of the fair value hierarchy due to the uncertainty of the fair value measurement created by the absence of quoted market prices, the inherent lack of liquidity and unobservable inputs used to measure fair value which require judgement. The Company uses valuation techniques including discounted cash flow analysis based on cash flow projections and Monte Carlo simulations to estimate fair value based on projection period and assumed growth rates. A change in inputs in the valuation techniques used might result in a significantly higher or lower fair value measurement than what is reported. The current portion of contingent consideration is included in accounts payable and accrued expenses on the Company's Unaudited Consolidated Balance Sheets and the noncurrent portion of contingent consideration is included in other noncurrent liabilities on the Company's Unaudited Consolidated Balance Sheets.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040" w:type="dxa"/>
            <w:vAlign w:val="bottom"/>
          </w:tcPr>
          <w:p>
            <w:pPr>
              <w:spacing w:after="0"/>
              <w:rPr>
                <w:sz w:val="20"/>
                <w:szCs w:val="20"/>
                <w:color w:val="auto"/>
              </w:rPr>
            </w:pPr>
            <w:r>
              <w:rPr>
                <w:rFonts w:ascii="Times New Roman" w:cs="Times New Roman" w:eastAsia="Times New Roman" w:hAnsi="Times New Roman"/>
                <w:sz w:val="12"/>
                <w:szCs w:val="12"/>
                <w:color w:val="auto"/>
              </w:rPr>
              <w:t>Liabilities measured at fair value on a recurring basis consisted of the following:</w:t>
            </w:r>
          </w:p>
        </w:tc>
        <w:tc>
          <w:tcPr>
            <w:tcW w:w="2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315"/>
        </w:trPr>
        <w:tc>
          <w:tcPr>
            <w:tcW w:w="50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2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Fair Value Hierarchy</w:t>
            </w:r>
          </w:p>
        </w:tc>
        <w:tc>
          <w:tcPr>
            <w:tcW w:w="360" w:type="dxa"/>
            <w:vAlign w:val="bottom"/>
          </w:tcPr>
          <w:p>
            <w:pPr>
              <w:spacing w:after="0"/>
              <w:rPr>
                <w:sz w:val="24"/>
                <w:szCs w:val="24"/>
                <w:color w:val="auto"/>
              </w:rPr>
            </w:pPr>
          </w:p>
        </w:tc>
        <w:tc>
          <w:tcPr>
            <w:tcW w:w="1700" w:type="dxa"/>
            <w:vAlign w:val="bottom"/>
            <w:gridSpan w:val="2"/>
          </w:tcPr>
          <w:p>
            <w:pPr>
              <w:ind w:left="280"/>
              <w:spacing w:after="0"/>
              <w:rPr>
                <w:sz w:val="20"/>
                <w:szCs w:val="20"/>
                <w:color w:val="auto"/>
              </w:rPr>
            </w:pPr>
            <w:r>
              <w:rPr>
                <w:rFonts w:ascii="Times New Roman" w:cs="Times New Roman" w:eastAsia="Times New Roman" w:hAnsi="Times New Roman"/>
                <w:sz w:val="12"/>
                <w:szCs w:val="12"/>
                <w:b w:val="1"/>
                <w:bCs w:val="1"/>
                <w:color w:val="auto"/>
              </w:rPr>
              <w:t>June 30, 2024</w:t>
            </w:r>
          </w:p>
        </w:tc>
        <w:tc>
          <w:tcPr>
            <w:tcW w:w="280" w:type="dxa"/>
            <w:vAlign w:val="bottom"/>
          </w:tcPr>
          <w:p>
            <w:pPr>
              <w:spacing w:after="0"/>
              <w:rPr>
                <w:sz w:val="24"/>
                <w:szCs w:val="24"/>
                <w:color w:val="auto"/>
              </w:rPr>
            </w:pPr>
          </w:p>
        </w:tc>
        <w:tc>
          <w:tcPr>
            <w:tcW w:w="1700" w:type="dxa"/>
            <w:vAlign w:val="bottom"/>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December 31, 2023</w:t>
            </w:r>
          </w:p>
        </w:tc>
      </w:tr>
      <w:tr>
        <w:trPr>
          <w:trHeight w:val="142"/>
        </w:trPr>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Contingent consideration, current portion</w:t>
            </w: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Level 3</w:t>
            </w:r>
          </w:p>
        </w:tc>
        <w:tc>
          <w:tcPr>
            <w:tcW w:w="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5,026</w:t>
            </w: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5,951</w:t>
            </w:r>
          </w:p>
        </w:tc>
      </w:tr>
      <w:tr>
        <w:trPr>
          <w:trHeight w:val="153"/>
        </w:trPr>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Contingent consideration, noncurrent portion</w:t>
            </w:r>
          </w:p>
        </w:tc>
        <w:tc>
          <w:tcPr>
            <w:tcW w:w="2220" w:type="dxa"/>
            <w:vAlign w:val="bottom"/>
            <w:tcBorders>
              <w:bottom w:val="single" w:sz="8" w:color="CCEEFF"/>
            </w:tcBorders>
            <w:gridSpan w:val="2"/>
          </w:tcPr>
          <w:p>
            <w:pPr>
              <w:jc w:val="center"/>
              <w:ind w:right="60"/>
              <w:spacing w:after="0"/>
              <w:rPr>
                <w:sz w:val="20"/>
                <w:szCs w:val="20"/>
                <w:color w:val="auto"/>
              </w:rPr>
            </w:pPr>
            <w:r>
              <w:rPr>
                <w:rFonts w:ascii="Times New Roman" w:cs="Times New Roman" w:eastAsia="Times New Roman" w:hAnsi="Times New Roman"/>
                <w:sz w:val="12"/>
                <w:szCs w:val="12"/>
                <w:color w:val="auto"/>
                <w:w w:val="98"/>
              </w:rPr>
              <w:t>Level 3</w:t>
            </w:r>
          </w:p>
        </w:tc>
        <w:tc>
          <w:tcPr>
            <w:tcW w:w="36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6,468</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7,487</w:t>
            </w:r>
          </w:p>
        </w:tc>
      </w:tr>
      <w:tr>
        <w:trPr>
          <w:trHeight w:val="158"/>
        </w:trPr>
        <w:tc>
          <w:tcPr>
            <w:tcW w:w="50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2"/>
                <w:szCs w:val="12"/>
                <w:b w:val="1"/>
                <w:bCs w:val="1"/>
                <w:color w:val="auto"/>
              </w:rPr>
              <w:t>Total contingent consideration</w:t>
            </w:r>
          </w:p>
        </w:tc>
        <w:tc>
          <w:tcPr>
            <w:tcW w:w="21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11,494</w:t>
            </w: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13,438</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During the three and six months ended June 30, 2024, there were no transfers into, out of, or between levels of the fair value hierarchy.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Fair Value Disclosures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Notes Receivable</w:t>
      </w:r>
    </w:p>
    <w:p>
      <w:pPr>
        <w:spacing w:after="0" w:line="152"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2"/>
          <w:szCs w:val="12"/>
          <w:color w:val="auto"/>
        </w:rPr>
        <w:t>Notes receivable are carried at amortized cost. Substantially all of the Company's notes receivable are secured, and the Company provides for allowances when it believes that certain notes receivable may not be collectible. The carrying value of the Company's notes receivable, net approximates fair value and was approximately $7.2 million and $5.2 million at June 30, 2024 and December 31, 2023, respectively. On the fair value hierarchy, Level 3 inputs are used to estimate the fair value of these notes receivable.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Debt Obligations</w:t>
      </w:r>
    </w:p>
    <w:p>
      <w:pPr>
        <w:spacing w:after="0" w:line="152"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 xml:space="preserve">Outstanding debt obligations (see </w:t>
      </w:r>
      <w:r>
        <w:rPr>
          <w:rFonts w:ascii="Times New Roman" w:cs="Times New Roman" w:eastAsia="Times New Roman" w:hAnsi="Times New Roman"/>
          <w:sz w:val="12"/>
          <w:szCs w:val="12"/>
          <w:u w:val="single" w:color="auto"/>
          <w:color w:val="0000FF"/>
        </w:rPr>
        <w:t>Note 8. Debt Obligations</w:t>
      </w:r>
      <w:r>
        <w:rPr>
          <w:rFonts w:ascii="Times New Roman" w:cs="Times New Roman" w:eastAsia="Times New Roman" w:hAnsi="Times New Roman"/>
          <w:sz w:val="12"/>
          <w:szCs w:val="12"/>
          <w:color w:val="auto"/>
        </w:rPr>
        <w:t>) are reflected in the Company's Unaudited Consolidated Balance Sheets at carrying value since the Company did not elect to remeasure debt obligations to fair value at the end of each reporting period.</w:t>
      </w:r>
    </w:p>
    <w:p>
      <w:pPr>
        <w:spacing w:after="0" w:line="111" w:lineRule="exact"/>
        <w:rPr>
          <w:sz w:val="20"/>
          <w:szCs w:val="20"/>
          <w:color w:val="auto"/>
        </w:rPr>
      </w:pPr>
    </w:p>
    <w:p>
      <w:pPr>
        <w:ind w:right="220"/>
        <w:spacing w:after="0" w:line="279" w:lineRule="auto"/>
        <w:rPr>
          <w:sz w:val="20"/>
          <w:szCs w:val="20"/>
          <w:color w:val="auto"/>
        </w:rPr>
      </w:pPr>
      <w:r>
        <w:rPr>
          <w:rFonts w:ascii="Times New Roman" w:cs="Times New Roman" w:eastAsia="Times New Roman" w:hAnsi="Times New Roman"/>
          <w:sz w:val="12"/>
          <w:szCs w:val="12"/>
          <w:color w:val="auto"/>
        </w:rPr>
        <w:t>The fair value of the term facility was estimated to be $835.0 million and $651.9 million at June 30, 2024 and December 31, 2023, respectively, and was estimated using binding and non-binding quoted prices in an active secondary market, which considers the credit risk and market related conditions, and is within Level 2 of the fair value hierarchy.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carrying values of the other long-term debt obligations approximate fair value due to mechanisms in the credit agreements that adjust the applicable interest rates and the lack of a market for these debt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5" w:right="299" w:bottom="1440" w:gutter="0" w:footer="0" w:header="0"/>
        </w:sectPr>
      </w:pPr>
    </w:p>
    <w:bookmarkStart w:id="27" w:name="page28"/>
    <w:bookmarkEnd w:id="27"/>
    <w:p>
      <w:pPr>
        <w:spacing w:after="0"/>
        <w:tabs>
          <w:tab w:leader="none" w:pos="240" w:val="left"/>
        </w:tabs>
        <w:rPr>
          <w:sz w:val="20"/>
          <w:szCs w:val="20"/>
          <w:color w:val="auto"/>
        </w:rPr>
      </w:pPr>
      <w:r>
        <w:rPr>
          <w:rFonts w:ascii="Times New Roman" w:cs="Times New Roman" w:eastAsia="Times New Roman" w:hAnsi="Times New Roman"/>
          <w:sz w:val="12"/>
          <w:szCs w:val="12"/>
          <w:b w:val="1"/>
          <w:bCs w:val="1"/>
          <w:color w:val="auto"/>
        </w:rPr>
        <w:t>16.</w:t>
        <w:tab/>
        <w:t>Segment Information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has three reportable segments:</w:t>
      </w:r>
    </w:p>
    <w:p>
      <w:pPr>
        <w:spacing w:after="0" w:line="148" w:lineRule="exact"/>
        <w:rPr>
          <w:sz w:val="20"/>
          <w:szCs w:val="20"/>
          <w:color w:val="auto"/>
        </w:rPr>
      </w:pPr>
    </w:p>
    <w:p>
      <w:pPr>
        <w:ind w:left="420" w:right="420" w:hanging="212"/>
        <w:spacing w:after="0" w:line="283" w:lineRule="auto"/>
        <w:tabs>
          <w:tab w:leader="none" w:pos="417" w:val="left"/>
        </w:tabs>
        <w:numPr>
          <w:ilvl w:val="0"/>
          <w:numId w:val="18"/>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 xml:space="preserve">SMB Payments – </w:t>
      </w:r>
      <w:r>
        <w:rPr>
          <w:rFonts w:ascii="Times New Roman" w:cs="Times New Roman" w:eastAsia="Times New Roman" w:hAnsi="Times New Roman"/>
          <w:sz w:val="12"/>
          <w:szCs w:val="12"/>
          <w:color w:val="auto"/>
        </w:rPr>
        <w:t>Provides full-service acquiring and payment-enabled solutions for B2C transactions, leveraging Priority's proprietary software platform, distributed through ISO, direct sales and vertically focused ISV</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channels.</w:t>
      </w:r>
    </w:p>
    <w:p>
      <w:pPr>
        <w:spacing w:after="0" w:line="106" w:lineRule="exact"/>
        <w:rPr>
          <w:rFonts w:ascii="Times New Roman" w:cs="Times New Roman" w:eastAsia="Times New Roman" w:hAnsi="Times New Roman"/>
          <w:sz w:val="12"/>
          <w:szCs w:val="12"/>
          <w:i w:val="1"/>
          <w:iCs w:val="1"/>
          <w:color w:val="auto"/>
        </w:rPr>
      </w:pPr>
    </w:p>
    <w:p>
      <w:pPr>
        <w:ind w:left="420" w:right="40" w:hanging="212"/>
        <w:spacing w:after="0" w:line="283" w:lineRule="auto"/>
        <w:tabs>
          <w:tab w:leader="none" w:pos="417" w:val="left"/>
        </w:tabs>
        <w:numPr>
          <w:ilvl w:val="0"/>
          <w:numId w:val="18"/>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 xml:space="preserve">B2B Payments – </w:t>
      </w:r>
      <w:r>
        <w:rPr>
          <w:rFonts w:ascii="Times New Roman" w:cs="Times New Roman" w:eastAsia="Times New Roman" w:hAnsi="Times New Roman"/>
          <w:sz w:val="12"/>
          <w:szCs w:val="12"/>
          <w:color w:val="auto"/>
        </w:rPr>
        <w:t>provides market-leading AP automation solutions to corporations, software partners and industry leading FIs (including Citibank and Mastercard) in addition to improving cash flow by providing instant access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to working capital.</w:t>
      </w:r>
    </w:p>
    <w:p>
      <w:pPr>
        <w:spacing w:after="0" w:line="106" w:lineRule="exact"/>
        <w:rPr>
          <w:rFonts w:ascii="Times New Roman" w:cs="Times New Roman" w:eastAsia="Times New Roman" w:hAnsi="Times New Roman"/>
          <w:sz w:val="12"/>
          <w:szCs w:val="12"/>
          <w:i w:val="1"/>
          <w:iCs w:val="1"/>
          <w:color w:val="auto"/>
        </w:rPr>
      </w:pPr>
    </w:p>
    <w:p>
      <w:pPr>
        <w:ind w:left="420" w:hanging="212"/>
        <w:spacing w:after="0"/>
        <w:tabs>
          <w:tab w:leader="none" w:pos="4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Enterprise Payments – </w:t>
      </w:r>
      <w:r>
        <w:rPr>
          <w:rFonts w:ascii="Times New Roman" w:cs="Times New Roman" w:eastAsia="Times New Roman" w:hAnsi="Times New Roman"/>
          <w:sz w:val="12"/>
          <w:szCs w:val="12"/>
          <w:color w:val="auto"/>
        </w:rPr>
        <w:t>Provides embedded finance and treasury solutions to enterprise customers to modernize legacy platforms and accelerate software partners' strategies to monetize payments.</w:t>
      </w:r>
    </w:p>
    <w:p>
      <w:pPr>
        <w:spacing w:after="0" w:line="152"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2"/>
          <w:szCs w:val="12"/>
          <w:color w:val="auto"/>
        </w:rPr>
        <w:t>The Company does not have dedicated assets assigned to any particular reportable segment and such information is not available and continues to be aggregated. Corporate includes costs of corporate functions and shared services not allocated to our reportable segments.</w:t>
      </w:r>
    </w:p>
    <w:p>
      <w:pPr>
        <w:spacing w:after="0" w:line="11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2"/>
          <w:szCs w:val="12"/>
          <w:color w:val="auto"/>
        </w:rPr>
        <w:t>Due to the recent acquisitions, growth, implementation of a shared services model and management of a single unified commerce engine across our payments infrastructure, the costs of operating overhead and shared services becomes less identifiable at the segment level. Therefore, the process of review of the CODM was updated during the quarter. The CODM's review of segment performance and allocation of resources are based on adjusted earnings before interest, income tax and depreciation and amortization expenses ("EBITDA"). Adjusted EBITDA at each segment level includes revenues of the segment, less costs of revenue (excluding depreciation and amortization) and operating expenses that are directly related to those revenues. Operating overhead and shared costs are managed centrally and included in the corporate segment. All comparative periods have been adjusted to reflect this update.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Information on reportable segments and reconciliations to income (loss) before income taxes are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3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8"/>
              </w:rPr>
              <w:t>Three Months Ended June 30, 2024</w:t>
            </w: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SMB Payments</w:t>
            </w:r>
          </w:p>
        </w:tc>
        <w:tc>
          <w:tcPr>
            <w:tcW w:w="220" w:type="dxa"/>
            <w:vAlign w:val="bottom"/>
          </w:tcPr>
          <w:p>
            <w:pPr>
              <w:spacing w:after="0"/>
              <w:rPr>
                <w:sz w:val="9"/>
                <w:szCs w:val="9"/>
                <w:color w:val="auto"/>
              </w:rPr>
            </w:pPr>
          </w:p>
        </w:tc>
        <w:tc>
          <w:tcPr>
            <w:tcW w:w="1060" w:type="dxa"/>
            <w:vAlign w:val="bottom"/>
            <w:gridSpan w:val="2"/>
          </w:tcPr>
          <w:p>
            <w:pPr>
              <w:jc w:val="center"/>
              <w:ind w:right="280"/>
              <w:spacing w:after="0" w:line="106" w:lineRule="exact"/>
              <w:rPr>
                <w:sz w:val="20"/>
                <w:szCs w:val="20"/>
                <w:color w:val="auto"/>
              </w:rPr>
            </w:pPr>
            <w:r>
              <w:rPr>
                <w:rFonts w:ascii="Times New Roman" w:cs="Times New Roman" w:eastAsia="Times New Roman" w:hAnsi="Times New Roman"/>
                <w:sz w:val="12"/>
                <w:szCs w:val="12"/>
                <w:b w:val="1"/>
                <w:bCs w:val="1"/>
                <w:color w:val="auto"/>
                <w:w w:val="99"/>
              </w:rPr>
              <w:t>B2B</w:t>
            </w: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Enterprise Payments</w:t>
            </w:r>
          </w:p>
        </w:tc>
        <w:tc>
          <w:tcPr>
            <w:tcW w:w="200" w:type="dxa"/>
            <w:vAlign w:val="bottom"/>
          </w:tcPr>
          <w:p>
            <w:pPr>
              <w:spacing w:after="0"/>
              <w:rPr>
                <w:sz w:val="9"/>
                <w:szCs w:val="9"/>
                <w:color w:val="auto"/>
              </w:rPr>
            </w:pP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200" w:type="dxa"/>
            <w:vAlign w:val="bottom"/>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Eliminations</w:t>
            </w:r>
          </w:p>
        </w:tc>
        <w:tc>
          <w:tcPr>
            <w:tcW w:w="140" w:type="dxa"/>
            <w:vAlign w:val="bottom"/>
          </w:tcPr>
          <w:p>
            <w:pPr>
              <w:spacing w:after="0"/>
              <w:rPr>
                <w:sz w:val="9"/>
                <w:szCs w:val="9"/>
                <w:color w:val="auto"/>
              </w:rPr>
            </w:pPr>
          </w:p>
        </w:tc>
        <w:tc>
          <w:tcPr>
            <w:tcW w:w="1260" w:type="dxa"/>
            <w:vAlign w:val="bottom"/>
            <w:vMerge w:val="restart"/>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Total Consolidated</w:t>
            </w:r>
          </w:p>
        </w:tc>
        <w:tc>
          <w:tcPr>
            <w:tcW w:w="0" w:type="dxa"/>
            <w:vAlign w:val="bottom"/>
          </w:tcPr>
          <w:p>
            <w:pPr>
              <w:spacing w:after="0"/>
              <w:rPr>
                <w:sz w:val="1"/>
                <w:szCs w:val="1"/>
                <w:color w:val="auto"/>
              </w:rPr>
            </w:pPr>
          </w:p>
        </w:tc>
      </w:tr>
      <w:tr>
        <w:trPr>
          <w:trHeight w:val="162"/>
        </w:trPr>
        <w:tc>
          <w:tcPr>
            <w:tcW w:w="33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Payments</w:t>
            </w: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155,101</w:t>
            </w:r>
          </w:p>
        </w:tc>
        <w:tc>
          <w:tcPr>
            <w:tcW w:w="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21,881</w:t>
            </w: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43,670</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(785)</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219,867</w:t>
            </w:r>
          </w:p>
        </w:tc>
        <w:tc>
          <w:tcPr>
            <w:tcW w:w="0" w:type="dxa"/>
            <w:vAlign w:val="bottom"/>
          </w:tcPr>
          <w:p>
            <w:pPr>
              <w:spacing w:after="0"/>
              <w:rPr>
                <w:sz w:val="1"/>
                <w:szCs w:val="1"/>
                <w:color w:val="auto"/>
              </w:rPr>
            </w:pPr>
          </w:p>
        </w:tc>
      </w:tr>
      <w:tr>
        <w:trPr>
          <w:trHeight w:val="155"/>
        </w:trPr>
        <w:tc>
          <w:tcPr>
            <w:tcW w:w="33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Adjusted EBITDA</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28,597</w:t>
            </w:r>
          </w:p>
        </w:tc>
        <w:tc>
          <w:tcPr>
            <w:tcW w:w="6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1,530</w:t>
            </w:r>
          </w:p>
        </w:tc>
        <w:tc>
          <w:tcPr>
            <w:tcW w:w="80" w:type="dxa"/>
            <w:vAlign w:val="bottom"/>
          </w:tcPr>
          <w:p>
            <w:pPr>
              <w:spacing w:after="0"/>
              <w:rPr>
                <w:sz w:val="13"/>
                <w:szCs w:val="13"/>
                <w:color w:val="auto"/>
              </w:rPr>
            </w:pP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37,244</w:t>
            </w:r>
          </w:p>
        </w:tc>
        <w:tc>
          <w:tcPr>
            <w:tcW w:w="80" w:type="dxa"/>
            <w:vAlign w:val="bottom"/>
          </w:tcPr>
          <w:p>
            <w:pPr>
              <w:spacing w:after="0"/>
              <w:rPr>
                <w:sz w:val="13"/>
                <w:szCs w:val="13"/>
                <w:color w:val="auto"/>
              </w:rPr>
            </w:pP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(15,820)</w:t>
            </w:r>
          </w:p>
        </w:tc>
        <w:tc>
          <w:tcPr>
            <w:tcW w:w="80" w:type="dxa"/>
            <w:vAlign w:val="bottom"/>
          </w:tcPr>
          <w:p>
            <w:pPr>
              <w:spacing w:after="0"/>
              <w:rPr>
                <w:sz w:val="13"/>
                <w:szCs w:val="13"/>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51,551</w:t>
            </w:r>
          </w:p>
        </w:tc>
        <w:tc>
          <w:tcPr>
            <w:tcW w:w="0" w:type="dxa"/>
            <w:vAlign w:val="bottom"/>
          </w:tcPr>
          <w:p>
            <w:pPr>
              <w:spacing w:after="0"/>
              <w:rPr>
                <w:sz w:val="1"/>
                <w:szCs w:val="1"/>
                <w:color w:val="auto"/>
              </w:rPr>
            </w:pPr>
          </w:p>
        </w:tc>
      </w:tr>
      <w:tr>
        <w:trPr>
          <w:trHeight w:val="376"/>
        </w:trPr>
        <w:tc>
          <w:tcPr>
            <w:tcW w:w="33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8"/>
              </w:rPr>
              <w:t>Three Months Ended June 30, 2023</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3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SMB Payments</w:t>
            </w:r>
          </w:p>
        </w:tc>
        <w:tc>
          <w:tcPr>
            <w:tcW w:w="220" w:type="dxa"/>
            <w:vAlign w:val="bottom"/>
          </w:tcPr>
          <w:p>
            <w:pPr>
              <w:spacing w:after="0"/>
              <w:rPr>
                <w:sz w:val="9"/>
                <w:szCs w:val="9"/>
                <w:color w:val="auto"/>
              </w:rPr>
            </w:pPr>
          </w:p>
        </w:tc>
        <w:tc>
          <w:tcPr>
            <w:tcW w:w="1060" w:type="dxa"/>
            <w:vAlign w:val="bottom"/>
            <w:gridSpan w:val="2"/>
          </w:tcPr>
          <w:p>
            <w:pPr>
              <w:jc w:val="center"/>
              <w:ind w:right="280"/>
              <w:spacing w:after="0" w:line="106" w:lineRule="exact"/>
              <w:rPr>
                <w:sz w:val="20"/>
                <w:szCs w:val="20"/>
                <w:color w:val="auto"/>
              </w:rPr>
            </w:pPr>
            <w:r>
              <w:rPr>
                <w:rFonts w:ascii="Times New Roman" w:cs="Times New Roman" w:eastAsia="Times New Roman" w:hAnsi="Times New Roman"/>
                <w:sz w:val="12"/>
                <w:szCs w:val="12"/>
                <w:b w:val="1"/>
                <w:bCs w:val="1"/>
                <w:color w:val="auto"/>
                <w:w w:val="99"/>
              </w:rPr>
              <w:t>B2B</w:t>
            </w: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Enterprise Payments</w:t>
            </w:r>
          </w:p>
        </w:tc>
        <w:tc>
          <w:tcPr>
            <w:tcW w:w="200" w:type="dxa"/>
            <w:vAlign w:val="bottom"/>
          </w:tcPr>
          <w:p>
            <w:pPr>
              <w:spacing w:after="0"/>
              <w:rPr>
                <w:sz w:val="9"/>
                <w:szCs w:val="9"/>
                <w:color w:val="auto"/>
              </w:rPr>
            </w:pP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200" w:type="dxa"/>
            <w:vAlign w:val="bottom"/>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Eliminations</w:t>
            </w:r>
          </w:p>
        </w:tc>
        <w:tc>
          <w:tcPr>
            <w:tcW w:w="140" w:type="dxa"/>
            <w:vAlign w:val="bottom"/>
          </w:tcPr>
          <w:p>
            <w:pPr>
              <w:spacing w:after="0"/>
              <w:rPr>
                <w:sz w:val="9"/>
                <w:szCs w:val="9"/>
                <w:color w:val="auto"/>
              </w:rPr>
            </w:pPr>
          </w:p>
        </w:tc>
        <w:tc>
          <w:tcPr>
            <w:tcW w:w="1260" w:type="dxa"/>
            <w:vAlign w:val="bottom"/>
            <w:vMerge w:val="restart"/>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Total Consolidated</w:t>
            </w:r>
          </w:p>
        </w:tc>
        <w:tc>
          <w:tcPr>
            <w:tcW w:w="0" w:type="dxa"/>
            <w:vAlign w:val="bottom"/>
          </w:tcPr>
          <w:p>
            <w:pPr>
              <w:spacing w:after="0"/>
              <w:rPr>
                <w:sz w:val="1"/>
                <w:szCs w:val="1"/>
                <w:color w:val="auto"/>
              </w:rPr>
            </w:pPr>
          </w:p>
        </w:tc>
      </w:tr>
      <w:tr>
        <w:trPr>
          <w:trHeight w:val="162"/>
        </w:trPr>
        <w:tc>
          <w:tcPr>
            <w:tcW w:w="33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Payments</w:t>
            </w: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147,948</w:t>
            </w:r>
          </w:p>
        </w:tc>
        <w:tc>
          <w:tcPr>
            <w:tcW w:w="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2,974</w:t>
            </w: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31,438</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182,290</w:t>
            </w:r>
          </w:p>
        </w:tc>
        <w:tc>
          <w:tcPr>
            <w:tcW w:w="0" w:type="dxa"/>
            <w:vAlign w:val="bottom"/>
          </w:tcPr>
          <w:p>
            <w:pPr>
              <w:spacing w:after="0"/>
              <w:rPr>
                <w:sz w:val="1"/>
                <w:szCs w:val="1"/>
                <w:color w:val="auto"/>
              </w:rPr>
            </w:pPr>
          </w:p>
        </w:tc>
      </w:tr>
      <w:tr>
        <w:trPr>
          <w:trHeight w:val="155"/>
        </w:trPr>
        <w:tc>
          <w:tcPr>
            <w:tcW w:w="33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Adjusted EBITDA</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28,434</w:t>
            </w:r>
          </w:p>
        </w:tc>
        <w:tc>
          <w:tcPr>
            <w:tcW w:w="6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608</w:t>
            </w:r>
          </w:p>
        </w:tc>
        <w:tc>
          <w:tcPr>
            <w:tcW w:w="80" w:type="dxa"/>
            <w:vAlign w:val="bottom"/>
          </w:tcPr>
          <w:p>
            <w:pPr>
              <w:spacing w:after="0"/>
              <w:rPr>
                <w:sz w:val="13"/>
                <w:szCs w:val="13"/>
                <w:color w:val="auto"/>
              </w:rPr>
            </w:pP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25,728</w:t>
            </w:r>
          </w:p>
        </w:tc>
        <w:tc>
          <w:tcPr>
            <w:tcW w:w="80" w:type="dxa"/>
            <w:vAlign w:val="bottom"/>
          </w:tcPr>
          <w:p>
            <w:pPr>
              <w:spacing w:after="0"/>
              <w:rPr>
                <w:sz w:val="13"/>
                <w:szCs w:val="13"/>
                <w:color w:val="auto"/>
              </w:rPr>
            </w:pP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(13,677)</w:t>
            </w:r>
          </w:p>
        </w:tc>
        <w:tc>
          <w:tcPr>
            <w:tcW w:w="80" w:type="dxa"/>
            <w:vAlign w:val="bottom"/>
          </w:tcPr>
          <w:p>
            <w:pPr>
              <w:spacing w:after="0"/>
              <w:rPr>
                <w:sz w:val="13"/>
                <w:szCs w:val="13"/>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41,093</w:t>
            </w:r>
          </w:p>
        </w:tc>
        <w:tc>
          <w:tcPr>
            <w:tcW w:w="0" w:type="dxa"/>
            <w:vAlign w:val="bottom"/>
          </w:tcPr>
          <w:p>
            <w:pPr>
              <w:spacing w:after="0"/>
              <w:rPr>
                <w:sz w:val="1"/>
                <w:szCs w:val="1"/>
                <w:color w:val="auto"/>
              </w:rPr>
            </w:pPr>
          </w:p>
        </w:tc>
      </w:tr>
      <w:tr>
        <w:trPr>
          <w:trHeight w:val="367"/>
        </w:trPr>
        <w:tc>
          <w:tcPr>
            <w:tcW w:w="33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Six Months Ended June 30, 2024</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3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SMB Payments</w:t>
            </w:r>
          </w:p>
        </w:tc>
        <w:tc>
          <w:tcPr>
            <w:tcW w:w="220" w:type="dxa"/>
            <w:vAlign w:val="bottom"/>
          </w:tcPr>
          <w:p>
            <w:pPr>
              <w:spacing w:after="0"/>
              <w:rPr>
                <w:sz w:val="9"/>
                <w:szCs w:val="9"/>
                <w:color w:val="auto"/>
              </w:rPr>
            </w:pPr>
          </w:p>
        </w:tc>
        <w:tc>
          <w:tcPr>
            <w:tcW w:w="1060" w:type="dxa"/>
            <w:vAlign w:val="bottom"/>
            <w:gridSpan w:val="2"/>
          </w:tcPr>
          <w:p>
            <w:pPr>
              <w:jc w:val="center"/>
              <w:ind w:right="280"/>
              <w:spacing w:after="0" w:line="109" w:lineRule="exact"/>
              <w:rPr>
                <w:sz w:val="20"/>
                <w:szCs w:val="20"/>
                <w:color w:val="auto"/>
              </w:rPr>
            </w:pPr>
            <w:r>
              <w:rPr>
                <w:rFonts w:ascii="Times New Roman" w:cs="Times New Roman" w:eastAsia="Times New Roman" w:hAnsi="Times New Roman"/>
                <w:sz w:val="12"/>
                <w:szCs w:val="12"/>
                <w:b w:val="1"/>
                <w:bCs w:val="1"/>
                <w:color w:val="auto"/>
                <w:w w:val="99"/>
              </w:rPr>
              <w:t>B2B</w:t>
            </w: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Enterprise Payments</w:t>
            </w:r>
          </w:p>
        </w:tc>
        <w:tc>
          <w:tcPr>
            <w:tcW w:w="200" w:type="dxa"/>
            <w:vAlign w:val="bottom"/>
          </w:tcPr>
          <w:p>
            <w:pPr>
              <w:spacing w:after="0"/>
              <w:rPr>
                <w:sz w:val="9"/>
                <w:szCs w:val="9"/>
                <w:color w:val="auto"/>
              </w:rPr>
            </w:pP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200" w:type="dxa"/>
            <w:vAlign w:val="bottom"/>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Eliminations</w:t>
            </w:r>
          </w:p>
        </w:tc>
        <w:tc>
          <w:tcPr>
            <w:tcW w:w="140" w:type="dxa"/>
            <w:vAlign w:val="bottom"/>
          </w:tcPr>
          <w:p>
            <w:pPr>
              <w:spacing w:after="0"/>
              <w:rPr>
                <w:sz w:val="9"/>
                <w:szCs w:val="9"/>
                <w:color w:val="auto"/>
              </w:rPr>
            </w:pPr>
          </w:p>
        </w:tc>
        <w:tc>
          <w:tcPr>
            <w:tcW w:w="1260" w:type="dxa"/>
            <w:vAlign w:val="bottom"/>
            <w:vMerge w:val="restart"/>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Total Consolidated</w:t>
            </w:r>
          </w:p>
        </w:tc>
        <w:tc>
          <w:tcPr>
            <w:tcW w:w="0" w:type="dxa"/>
            <w:vAlign w:val="bottom"/>
          </w:tcPr>
          <w:p>
            <w:pPr>
              <w:spacing w:after="0"/>
              <w:rPr>
                <w:sz w:val="1"/>
                <w:szCs w:val="1"/>
                <w:color w:val="auto"/>
              </w:rPr>
            </w:pPr>
          </w:p>
        </w:tc>
      </w:tr>
      <w:tr>
        <w:trPr>
          <w:trHeight w:val="159"/>
        </w:trPr>
        <w:tc>
          <w:tcPr>
            <w:tcW w:w="33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4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Payments</w:t>
            </w:r>
          </w:p>
        </w:tc>
        <w:tc>
          <w:tcPr>
            <w:tcW w:w="128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3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299,105</w:t>
            </w:r>
          </w:p>
        </w:tc>
        <w:tc>
          <w:tcPr>
            <w:tcW w:w="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43,225</w:t>
            </w: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84,660</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(1,404)</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425,586</w:t>
            </w:r>
          </w:p>
        </w:tc>
        <w:tc>
          <w:tcPr>
            <w:tcW w:w="0" w:type="dxa"/>
            <w:vAlign w:val="bottom"/>
          </w:tcPr>
          <w:p>
            <w:pPr>
              <w:spacing w:after="0"/>
              <w:rPr>
                <w:sz w:val="1"/>
                <w:szCs w:val="1"/>
                <w:color w:val="auto"/>
              </w:rPr>
            </w:pPr>
          </w:p>
        </w:tc>
      </w:tr>
      <w:tr>
        <w:trPr>
          <w:trHeight w:val="155"/>
        </w:trPr>
        <w:tc>
          <w:tcPr>
            <w:tcW w:w="33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Adjusted EBITDA</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53,620</w:t>
            </w:r>
          </w:p>
        </w:tc>
        <w:tc>
          <w:tcPr>
            <w:tcW w:w="6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3,276</w:t>
            </w:r>
          </w:p>
        </w:tc>
        <w:tc>
          <w:tcPr>
            <w:tcW w:w="80" w:type="dxa"/>
            <w:vAlign w:val="bottom"/>
          </w:tcPr>
          <w:p>
            <w:pPr>
              <w:spacing w:after="0"/>
              <w:rPr>
                <w:sz w:val="13"/>
                <w:szCs w:val="13"/>
                <w:color w:val="auto"/>
              </w:rPr>
            </w:pP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71,971</w:t>
            </w:r>
          </w:p>
        </w:tc>
        <w:tc>
          <w:tcPr>
            <w:tcW w:w="80" w:type="dxa"/>
            <w:vAlign w:val="bottom"/>
          </w:tcPr>
          <w:p>
            <w:pPr>
              <w:spacing w:after="0"/>
              <w:rPr>
                <w:sz w:val="13"/>
                <w:szCs w:val="13"/>
                <w:color w:val="auto"/>
              </w:rPr>
            </w:pP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(30,976)</w:t>
            </w:r>
          </w:p>
        </w:tc>
        <w:tc>
          <w:tcPr>
            <w:tcW w:w="80" w:type="dxa"/>
            <w:vAlign w:val="bottom"/>
          </w:tcPr>
          <w:p>
            <w:pPr>
              <w:spacing w:after="0"/>
              <w:rPr>
                <w:sz w:val="13"/>
                <w:szCs w:val="13"/>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97,891</w:t>
            </w:r>
          </w:p>
        </w:tc>
        <w:tc>
          <w:tcPr>
            <w:tcW w:w="0" w:type="dxa"/>
            <w:vAlign w:val="bottom"/>
          </w:tcPr>
          <w:p>
            <w:pPr>
              <w:spacing w:after="0"/>
              <w:rPr>
                <w:sz w:val="1"/>
                <w:szCs w:val="1"/>
                <w:color w:val="auto"/>
              </w:rPr>
            </w:pPr>
          </w:p>
        </w:tc>
      </w:tr>
      <w:tr>
        <w:trPr>
          <w:trHeight w:val="817"/>
        </w:trPr>
        <w:tc>
          <w:tcPr>
            <w:tcW w:w="3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25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8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025" w:right="29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59"/>
        </w:trPr>
        <w:tc>
          <w:tcPr>
            <w:tcW w:w="33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10"/>
          </w:tcPr>
          <w:p>
            <w:pPr>
              <w:ind w:left="200"/>
              <w:spacing w:after="0"/>
              <w:rPr>
                <w:sz w:val="20"/>
                <w:szCs w:val="20"/>
                <w:color w:val="auto"/>
              </w:rPr>
            </w:pPr>
            <w:r>
              <w:rPr>
                <w:rFonts w:ascii="Times New Roman" w:cs="Times New Roman" w:eastAsia="Times New Roman" w:hAnsi="Times New Roman"/>
                <w:sz w:val="12"/>
                <w:szCs w:val="12"/>
                <w:b w:val="1"/>
                <w:bCs w:val="1"/>
                <w:color w:val="auto"/>
              </w:rPr>
              <w:t>Six Months Ended June 30, 2023</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vMerge w:val="restart"/>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SMB Payments</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gridSpan w:val="2"/>
          </w:tcPr>
          <w:p>
            <w:pPr>
              <w:jc w:val="right"/>
              <w:ind w:right="400"/>
              <w:spacing w:after="0" w:line="106" w:lineRule="exact"/>
              <w:rPr>
                <w:sz w:val="20"/>
                <w:szCs w:val="20"/>
                <w:color w:val="auto"/>
              </w:rPr>
            </w:pPr>
            <w:r>
              <w:rPr>
                <w:rFonts w:ascii="Times New Roman" w:cs="Times New Roman" w:eastAsia="Times New Roman" w:hAnsi="Times New Roman"/>
                <w:sz w:val="12"/>
                <w:szCs w:val="12"/>
                <w:b w:val="1"/>
                <w:bCs w:val="1"/>
                <w:color w:val="auto"/>
              </w:rPr>
              <w:t>B2B</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6"/>
            <w:vMerge w:val="restart"/>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Enterprise Payments</w:t>
            </w:r>
          </w:p>
        </w:tc>
        <w:tc>
          <w:tcPr>
            <w:tcW w:w="160" w:type="dxa"/>
            <w:vAlign w:val="bottom"/>
          </w:tcPr>
          <w:p>
            <w:pPr>
              <w:spacing w:after="0"/>
              <w:rPr>
                <w:sz w:val="9"/>
                <w:szCs w:val="9"/>
                <w:color w:val="auto"/>
              </w:rPr>
            </w:pPr>
          </w:p>
        </w:tc>
        <w:tc>
          <w:tcPr>
            <w:tcW w:w="1120" w:type="dxa"/>
            <w:vAlign w:val="bottom"/>
            <w:gridSpan w:val="5"/>
            <w:vMerge w:val="restart"/>
          </w:tcPr>
          <w:p>
            <w:pPr>
              <w:ind w:left="18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vMerge w:val="restart"/>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Eliminations</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vMerge w:val="restart"/>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6"/>
              </w:rPr>
              <w:t>Total Consolidated</w:t>
            </w:r>
          </w:p>
        </w:tc>
        <w:tc>
          <w:tcPr>
            <w:tcW w:w="0" w:type="dxa"/>
            <w:vAlign w:val="bottom"/>
          </w:tcPr>
          <w:p>
            <w:pPr>
              <w:spacing w:after="0"/>
              <w:rPr>
                <w:sz w:val="1"/>
                <w:szCs w:val="1"/>
                <w:color w:val="auto"/>
              </w:rPr>
            </w:pPr>
          </w:p>
        </w:tc>
      </w:tr>
      <w:tr>
        <w:trPr>
          <w:trHeight w:val="162"/>
        </w:trPr>
        <w:tc>
          <w:tcPr>
            <w:tcW w:w="33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Payments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6"/>
            <w:vMerge w:val="continue"/>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302,881</w:t>
            </w: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5,760</w:t>
            </w: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58,744</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(67)</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2"/>
                <w:szCs w:val="12"/>
                <w:color w:val="auto"/>
                <w:w w:val="99"/>
              </w:rPr>
              <w:t>$</w:t>
            </w:r>
          </w:p>
        </w:tc>
        <w:tc>
          <w:tcPr>
            <w:tcW w:w="14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367,318</w:t>
            </w:r>
          </w:p>
        </w:tc>
        <w:tc>
          <w:tcPr>
            <w:tcW w:w="0" w:type="dxa"/>
            <w:vAlign w:val="bottom"/>
          </w:tcPr>
          <w:p>
            <w:pPr>
              <w:spacing w:after="0"/>
              <w:rPr>
                <w:sz w:val="1"/>
                <w:szCs w:val="1"/>
                <w:color w:val="auto"/>
              </w:rPr>
            </w:pPr>
          </w:p>
        </w:tc>
      </w:tr>
      <w:tr>
        <w:trPr>
          <w:trHeight w:val="155"/>
        </w:trPr>
        <w:tc>
          <w:tcPr>
            <w:tcW w:w="33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Adjusted EBITDA</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56,836</w:t>
            </w:r>
          </w:p>
        </w:tc>
        <w:tc>
          <w:tcPr>
            <w:tcW w:w="28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518</w:t>
            </w: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48,096</w:t>
            </w:r>
          </w:p>
        </w:tc>
        <w:tc>
          <w:tcPr>
            <w:tcW w:w="80" w:type="dxa"/>
            <w:vAlign w:val="bottom"/>
          </w:tcPr>
          <w:p>
            <w:pPr>
              <w:spacing w:after="0"/>
              <w:rPr>
                <w:sz w:val="13"/>
                <w:szCs w:val="13"/>
                <w:color w:val="auto"/>
              </w:rPr>
            </w:pP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7"/>
              </w:rPr>
              <w:t>(26,717)</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gridSpan w:val="3"/>
          </w:tcPr>
          <w:p>
            <w:pPr>
              <w:jc w:val="center"/>
              <w:ind w:right="60"/>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gridSpan w:val="2"/>
          </w:tcPr>
          <w:p>
            <w:pPr>
              <w:jc w:val="center"/>
              <w:ind w:right="20"/>
              <w:spacing w:after="0"/>
              <w:rPr>
                <w:sz w:val="20"/>
                <w:szCs w:val="20"/>
                <w:color w:val="auto"/>
              </w:rPr>
            </w:pPr>
            <w:r>
              <w:rPr>
                <w:rFonts w:ascii="Times New Roman" w:cs="Times New Roman" w:eastAsia="Times New Roman" w:hAnsi="Times New Roman"/>
                <w:sz w:val="12"/>
                <w:szCs w:val="12"/>
                <w:color w:val="auto"/>
                <w:w w:val="99"/>
              </w:rPr>
              <w:t>$</w:t>
            </w:r>
          </w:p>
        </w:tc>
        <w:tc>
          <w:tcPr>
            <w:tcW w:w="1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78,733</w:t>
            </w:r>
          </w:p>
        </w:tc>
        <w:tc>
          <w:tcPr>
            <w:tcW w:w="0" w:type="dxa"/>
            <w:vAlign w:val="bottom"/>
          </w:tcPr>
          <w:p>
            <w:pPr>
              <w:spacing w:after="0"/>
              <w:rPr>
                <w:sz w:val="1"/>
                <w:szCs w:val="1"/>
                <w:color w:val="auto"/>
              </w:rPr>
            </w:pPr>
          </w:p>
        </w:tc>
      </w:tr>
      <w:tr>
        <w:trPr>
          <w:trHeight w:val="340"/>
        </w:trPr>
        <w:tc>
          <w:tcPr>
            <w:tcW w:w="3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40" w:type="dxa"/>
            <w:vAlign w:val="bottom"/>
            <w:gridSpan w:val="6"/>
          </w:tcPr>
          <w:p>
            <w:pPr>
              <w:jc w:val="right"/>
              <w:ind w:right="83"/>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8"/>
          </w:tcPr>
          <w:p>
            <w:pPr>
              <w:jc w:val="right"/>
              <w:spacing w:after="0"/>
              <w:rPr>
                <w:sz w:val="20"/>
                <w:szCs w:val="20"/>
                <w:color w:val="auto"/>
              </w:rPr>
            </w:pPr>
            <w:r>
              <w:rPr>
                <w:rFonts w:ascii="Times New Roman" w:cs="Times New Roman" w:eastAsia="Times New Roman" w:hAnsi="Times New Roman"/>
                <w:sz w:val="12"/>
                <w:szCs w:val="12"/>
                <w:b w:val="1"/>
                <w:bCs w:val="1"/>
                <w:color w:val="auto"/>
              </w:rPr>
              <w:t>Six Months Ended</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right"/>
              <w:ind w:right="423"/>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40" w:type="dxa"/>
            <w:vAlign w:val="bottom"/>
            <w:tcBorders>
              <w:bottom w:val="single" w:sz="8" w:color="CCEEFF"/>
            </w:tcBorders>
          </w:tcPr>
          <w:p>
            <w:pPr>
              <w:spacing w:after="0"/>
              <w:rPr>
                <w:sz w:val="12"/>
                <w:szCs w:val="12"/>
                <w:color w:val="auto"/>
              </w:rPr>
            </w:pPr>
          </w:p>
        </w:tc>
        <w:tc>
          <w:tcPr>
            <w:tcW w:w="10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2023</w:t>
            </w:r>
          </w:p>
        </w:tc>
        <w:tc>
          <w:tcPr>
            <w:tcW w:w="0" w:type="dxa"/>
            <w:vAlign w:val="bottom"/>
          </w:tcPr>
          <w:p>
            <w:pPr>
              <w:spacing w:after="0"/>
              <w:rPr>
                <w:sz w:val="1"/>
                <w:szCs w:val="1"/>
                <w:color w:val="auto"/>
              </w:rPr>
            </w:pPr>
          </w:p>
        </w:tc>
      </w:tr>
      <w:tr>
        <w:trPr>
          <w:trHeight w:val="133"/>
        </w:trPr>
        <w:tc>
          <w:tcPr>
            <w:tcW w:w="4600" w:type="dxa"/>
            <w:vAlign w:val="bottom"/>
            <w:gridSpan w:val="3"/>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Reconciliation of Segment measure of profit or loss to income (loss) before income taxes</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80" w:type="dxa"/>
            <w:vAlign w:val="bottom"/>
          </w:tcPr>
          <w:p>
            <w:pPr>
              <w:spacing w:after="0"/>
              <w:rPr>
                <w:sz w:val="20"/>
                <w:szCs w:val="20"/>
                <w:color w:val="auto"/>
              </w:rPr>
            </w:pPr>
            <w:r>
              <w:rPr>
                <w:rFonts w:ascii="Times New Roman" w:cs="Times New Roman" w:eastAsia="Times New Roman" w:hAnsi="Times New Roman"/>
                <w:sz w:val="12"/>
                <w:szCs w:val="12"/>
                <w:color w:val="auto"/>
              </w:rPr>
              <w:t>Total consolidated Adjusted EBITDA</w:t>
            </w: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w w:val="96"/>
              </w:rPr>
              <w:t>51,551</w:t>
            </w:r>
          </w:p>
        </w:tc>
        <w:tc>
          <w:tcPr>
            <w:tcW w:w="720" w:type="dxa"/>
            <w:vAlign w:val="bottom"/>
            <w:gridSpan w:val="2"/>
          </w:tcPr>
          <w:p>
            <w:pPr>
              <w:jc w:val="right"/>
              <w:ind w:right="52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41,093</w:t>
            </w:r>
          </w:p>
        </w:tc>
        <w:tc>
          <w:tcPr>
            <w:tcW w:w="60" w:type="dxa"/>
            <w:vAlign w:val="bottom"/>
          </w:tcPr>
          <w:p>
            <w:pPr>
              <w:spacing w:after="0"/>
              <w:rPr>
                <w:sz w:val="13"/>
                <w:szCs w:val="13"/>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97,891</w:t>
            </w:r>
          </w:p>
        </w:tc>
        <w:tc>
          <w:tcPr>
            <w:tcW w:w="240" w:type="dxa"/>
            <w:vAlign w:val="bottom"/>
            <w:gridSpan w:val="3"/>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78,733</w:t>
            </w:r>
          </w:p>
        </w:tc>
        <w:tc>
          <w:tcPr>
            <w:tcW w:w="0" w:type="dxa"/>
            <w:vAlign w:val="bottom"/>
          </w:tcPr>
          <w:p>
            <w:pPr>
              <w:spacing w:after="0"/>
              <w:rPr>
                <w:sz w:val="1"/>
                <w:szCs w:val="1"/>
                <w:color w:val="auto"/>
              </w:rPr>
            </w:pPr>
          </w:p>
        </w:tc>
      </w:tr>
      <w:tr>
        <w:trPr>
          <w:trHeight w:val="153"/>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(21,710)</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(17,765)</w:t>
            </w: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(42,590)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(35,464)</w:t>
            </w:r>
          </w:p>
        </w:tc>
        <w:tc>
          <w:tcPr>
            <w:tcW w:w="0" w:type="dxa"/>
            <w:vAlign w:val="bottom"/>
          </w:tcPr>
          <w:p>
            <w:pPr>
              <w:spacing w:after="0"/>
              <w:rPr>
                <w:sz w:val="1"/>
                <w:szCs w:val="1"/>
                <w:color w:val="auto"/>
              </w:rPr>
            </w:pPr>
          </w:p>
        </w:tc>
      </w:tr>
      <w:tr>
        <w:trPr>
          <w:trHeight w:val="153"/>
        </w:trPr>
        <w:tc>
          <w:tcPr>
            <w:tcW w:w="338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5"/>
          </w:tcPr>
          <w:p>
            <w:pPr>
              <w:jc w:val="right"/>
              <w:spacing w:after="0"/>
              <w:rPr>
                <w:sz w:val="20"/>
                <w:szCs w:val="20"/>
                <w:color w:val="auto"/>
              </w:rPr>
            </w:pPr>
            <w:r>
              <w:rPr>
                <w:rFonts w:ascii="Times New Roman" w:cs="Times New Roman" w:eastAsia="Times New Roman" w:hAnsi="Times New Roman"/>
                <w:sz w:val="12"/>
                <w:szCs w:val="12"/>
                <w:color w:val="auto"/>
              </w:rPr>
              <w:t>(15,244)</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(17,980)</w:t>
            </w: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(30,497)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(36,028)</w:t>
            </w:r>
          </w:p>
        </w:tc>
        <w:tc>
          <w:tcPr>
            <w:tcW w:w="0" w:type="dxa"/>
            <w:vAlign w:val="bottom"/>
          </w:tcPr>
          <w:p>
            <w:pPr>
              <w:spacing w:after="0"/>
              <w:rPr>
                <w:sz w:val="1"/>
                <w:szCs w:val="1"/>
                <w:color w:val="auto"/>
              </w:rPr>
            </w:pPr>
          </w:p>
        </w:tc>
      </w:tr>
      <w:tr>
        <w:trPr>
          <w:trHeight w:val="153"/>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Debt modification and extinguishment expenses</w:t>
            </w: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(8,623)</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(8,623)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338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(636)</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(1,859)</w:t>
            </w: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(2,296)</w:t>
            </w:r>
          </w:p>
        </w:tc>
        <w:tc>
          <w:tcPr>
            <w:tcW w:w="0" w:type="dxa"/>
            <w:vAlign w:val="bottom"/>
          </w:tcPr>
          <w:p>
            <w:pPr>
              <w:spacing w:after="0"/>
              <w:rPr>
                <w:sz w:val="1"/>
                <w:szCs w:val="1"/>
                <w:color w:val="auto"/>
              </w:rPr>
            </w:pPr>
          </w:p>
        </w:tc>
      </w:tr>
      <w:tr>
        <w:trPr>
          <w:trHeight w:val="153"/>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Non-cash stock based compensation</w:t>
            </w: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(1,829)</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(1,746)</w:t>
            </w: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(3,462)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(3,682)</w:t>
            </w:r>
          </w:p>
        </w:tc>
        <w:tc>
          <w:tcPr>
            <w:tcW w:w="0" w:type="dxa"/>
            <w:vAlign w:val="bottom"/>
          </w:tcPr>
          <w:p>
            <w:pPr>
              <w:spacing w:after="0"/>
              <w:rPr>
                <w:sz w:val="1"/>
                <w:szCs w:val="1"/>
                <w:color w:val="auto"/>
              </w:rPr>
            </w:pPr>
          </w:p>
        </w:tc>
      </w:tr>
      <w:tr>
        <w:trPr>
          <w:trHeight w:val="153"/>
        </w:trPr>
        <w:tc>
          <w:tcPr>
            <w:tcW w:w="3380" w:type="dxa"/>
            <w:vAlign w:val="bottom"/>
          </w:tcPr>
          <w:p>
            <w:pPr>
              <w:spacing w:after="0"/>
              <w:rPr>
                <w:sz w:val="20"/>
                <w:szCs w:val="20"/>
                <w:color w:val="auto"/>
              </w:rPr>
            </w:pPr>
            <w:r>
              <w:rPr>
                <w:rFonts w:ascii="Times New Roman" w:cs="Times New Roman" w:eastAsia="Times New Roman" w:hAnsi="Times New Roman"/>
                <w:sz w:val="12"/>
                <w:szCs w:val="12"/>
                <w:color w:val="auto"/>
              </w:rPr>
              <w:t>Other non-recurring loss, net</w:t>
            </w: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(159)</w:t>
            </w:r>
          </w:p>
        </w:tc>
        <w:tc>
          <w:tcPr>
            <w:tcW w:w="0" w:type="dxa"/>
            <w:vAlign w:val="bottom"/>
          </w:tcPr>
          <w:p>
            <w:pPr>
              <w:spacing w:after="0"/>
              <w:rPr>
                <w:sz w:val="1"/>
                <w:szCs w:val="1"/>
                <w:color w:val="auto"/>
              </w:rPr>
            </w:pPr>
          </w:p>
        </w:tc>
      </w:tr>
      <w:tr>
        <w:trPr>
          <w:trHeight w:val="162"/>
        </w:trPr>
        <w:tc>
          <w:tcPr>
            <w:tcW w:w="3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before income taxes</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08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3,509</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jc w:val="right"/>
              <w:ind w:right="523"/>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1,743</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11,284</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center"/>
              <w:ind w:right="20"/>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1,104</w:t>
            </w:r>
          </w:p>
        </w:tc>
        <w:tc>
          <w:tcPr>
            <w:tcW w:w="0" w:type="dxa"/>
            <w:vAlign w:val="bottom"/>
          </w:tcPr>
          <w:p>
            <w:pPr>
              <w:spacing w:after="0"/>
              <w:rPr>
                <w:sz w:val="1"/>
                <w:szCs w:val="1"/>
                <w:color w:val="auto"/>
              </w:rPr>
            </w:pPr>
          </w:p>
        </w:tc>
      </w:tr>
      <w:tr>
        <w:trPr>
          <w:trHeight w:val="644"/>
        </w:trPr>
        <w:tc>
          <w:tcPr>
            <w:tcW w:w="33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17.  Loss per Common Share</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840" w:type="dxa"/>
            <w:vAlign w:val="bottom"/>
            <w:gridSpan w:val="8"/>
          </w:tcPr>
          <w:p>
            <w:pPr>
              <w:spacing w:after="0"/>
              <w:rPr>
                <w:sz w:val="20"/>
                <w:szCs w:val="20"/>
                <w:color w:val="auto"/>
              </w:rPr>
            </w:pPr>
            <w:r>
              <w:rPr>
                <w:rFonts w:ascii="Times New Roman" w:cs="Times New Roman" w:eastAsia="Times New Roman" w:hAnsi="Times New Roman"/>
                <w:sz w:val="12"/>
                <w:szCs w:val="12"/>
                <w:color w:val="auto"/>
              </w:rPr>
              <w:t>The following tables set forth the computation of the Company's basic and diluted loss per common share: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3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9"/>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Six Months Ended June 30,</w:t>
            </w:r>
          </w:p>
        </w:tc>
        <w:tc>
          <w:tcPr>
            <w:tcW w:w="0" w:type="dxa"/>
            <w:vAlign w:val="bottom"/>
          </w:tcPr>
          <w:p>
            <w:pPr>
              <w:spacing w:after="0"/>
              <w:rPr>
                <w:sz w:val="1"/>
                <w:szCs w:val="1"/>
                <w:color w:val="auto"/>
              </w:rPr>
            </w:pPr>
          </w:p>
        </w:tc>
      </w:tr>
      <w:tr>
        <w:trPr>
          <w:trHeight w:val="142"/>
        </w:trPr>
        <w:tc>
          <w:tcPr>
            <w:tcW w:w="3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(in thousands except per share amounts)</w:t>
            </w:r>
          </w:p>
        </w:tc>
        <w:tc>
          <w:tcPr>
            <w:tcW w:w="140" w:type="dxa"/>
            <w:vAlign w:val="bottom"/>
            <w:tcBorders>
              <w:bottom w:val="single" w:sz="8" w:color="CCEEFF"/>
            </w:tcBorders>
          </w:tcPr>
          <w:p>
            <w:pPr>
              <w:spacing w:after="0"/>
              <w:rPr>
                <w:sz w:val="12"/>
                <w:szCs w:val="12"/>
                <w:color w:val="auto"/>
              </w:rPr>
            </w:pPr>
          </w:p>
        </w:tc>
        <w:tc>
          <w:tcPr>
            <w:tcW w:w="10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5"/>
          </w:tcPr>
          <w:p>
            <w:pPr>
              <w:jc w:val="right"/>
              <w:ind w:right="543"/>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2023</w:t>
            </w:r>
          </w:p>
        </w:tc>
        <w:tc>
          <w:tcPr>
            <w:tcW w:w="0" w:type="dxa"/>
            <w:vAlign w:val="bottom"/>
          </w:tcPr>
          <w:p>
            <w:pPr>
              <w:spacing w:after="0"/>
              <w:rPr>
                <w:sz w:val="1"/>
                <w:szCs w:val="1"/>
                <w:color w:val="auto"/>
              </w:rPr>
            </w:pPr>
          </w:p>
        </w:tc>
      </w:tr>
      <w:tr>
        <w:trPr>
          <w:trHeight w:val="133"/>
        </w:trPr>
        <w:tc>
          <w:tcPr>
            <w:tcW w:w="33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Numerator:</w:t>
            </w:r>
          </w:p>
        </w:tc>
        <w:tc>
          <w:tcPr>
            <w:tcW w:w="1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Net income (loss)</w:t>
            </w: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994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(612)</w:t>
            </w:r>
          </w:p>
        </w:tc>
        <w:tc>
          <w:tcPr>
            <w:tcW w:w="20" w:type="dxa"/>
            <w:vAlign w:val="bottom"/>
          </w:tcPr>
          <w:p>
            <w:pPr>
              <w:spacing w:after="0"/>
              <w:rPr>
                <w:sz w:val="13"/>
                <w:szCs w:val="13"/>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gridSpan w:val="5"/>
          </w:tcPr>
          <w:p>
            <w:pPr>
              <w:jc w:val="center"/>
              <w:ind w:left="820"/>
              <w:spacing w:after="0"/>
              <w:rPr>
                <w:sz w:val="20"/>
                <w:szCs w:val="20"/>
                <w:color w:val="auto"/>
              </w:rPr>
            </w:pPr>
            <w:r>
              <w:rPr>
                <w:rFonts w:ascii="Times New Roman" w:cs="Times New Roman" w:eastAsia="Times New Roman" w:hAnsi="Times New Roman"/>
                <w:sz w:val="12"/>
                <w:szCs w:val="12"/>
                <w:color w:val="auto"/>
              </w:rPr>
              <w:t>6,187</w:t>
            </w:r>
          </w:p>
        </w:tc>
        <w:tc>
          <w:tcPr>
            <w:tcW w:w="220" w:type="dxa"/>
            <w:vAlign w:val="bottom"/>
            <w:gridSpan w:val="3"/>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(1,118)</w:t>
            </w:r>
          </w:p>
        </w:tc>
        <w:tc>
          <w:tcPr>
            <w:tcW w:w="0" w:type="dxa"/>
            <w:vAlign w:val="bottom"/>
          </w:tcPr>
          <w:p>
            <w:pPr>
              <w:spacing w:after="0"/>
              <w:rPr>
                <w:sz w:val="1"/>
                <w:szCs w:val="1"/>
                <w:color w:val="auto"/>
              </w:rPr>
            </w:pPr>
          </w:p>
        </w:tc>
      </w:tr>
      <w:tr>
        <w:trPr>
          <w:trHeight w:val="153"/>
        </w:trPr>
        <w:tc>
          <w:tcPr>
            <w:tcW w:w="46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Less: Dividends and accretion attributable to redeemable senior preferred stockholders</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(18,565)</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(11,765)</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(31,227)</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(23,060)</w:t>
            </w:r>
          </w:p>
        </w:tc>
        <w:tc>
          <w:tcPr>
            <w:tcW w:w="0" w:type="dxa"/>
            <w:vAlign w:val="bottom"/>
          </w:tcPr>
          <w:p>
            <w:pPr>
              <w:spacing w:after="0"/>
              <w:rPr>
                <w:sz w:val="1"/>
                <w:szCs w:val="1"/>
                <w:color w:val="auto"/>
              </w:rPr>
            </w:pPr>
          </w:p>
        </w:tc>
      </w:tr>
      <w:tr>
        <w:trPr>
          <w:trHeight w:val="153"/>
        </w:trPr>
        <w:tc>
          <w:tcPr>
            <w:tcW w:w="33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Less: Return on redeemable NCI in consolidated subsidiary</w:t>
            </w: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gridSpan w:val="4"/>
          </w:tcPr>
          <w:p>
            <w:pPr>
              <w:jc w:val="right"/>
              <w:ind w:right="20"/>
              <w:spacing w:after="0"/>
              <w:rPr>
                <w:sz w:val="20"/>
                <w:szCs w:val="20"/>
                <w:color w:val="auto"/>
              </w:rPr>
            </w:pPr>
            <w:r>
              <w:rPr>
                <w:rFonts w:ascii="Times New Roman" w:cs="Times New Roman" w:eastAsia="Times New Roman" w:hAnsi="Times New Roman"/>
                <w:sz w:val="12"/>
                <w:szCs w:val="12"/>
                <w:color w:val="auto"/>
              </w:rPr>
              <w:t>(639)</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2"/>
        </w:trPr>
        <w:tc>
          <w:tcPr>
            <w:tcW w:w="338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Net loss attributable to common stockholders</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08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62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(17,629)</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(12,377)</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40" w:type="dxa"/>
            <w:vAlign w:val="bottom"/>
            <w:tcBorders>
              <w:top w:val="single" w:sz="8" w:color="auto"/>
              <w:bottom w:val="single" w:sz="8" w:color="auto"/>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(25,679)</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(24,178)</w:t>
            </w:r>
          </w:p>
        </w:tc>
        <w:tc>
          <w:tcPr>
            <w:tcW w:w="0" w:type="dxa"/>
            <w:vAlign w:val="bottom"/>
          </w:tcPr>
          <w:p>
            <w:pPr>
              <w:spacing w:after="0"/>
              <w:rPr>
                <w:sz w:val="1"/>
                <w:szCs w:val="1"/>
                <w:color w:val="auto"/>
              </w:rPr>
            </w:pPr>
          </w:p>
        </w:tc>
      </w:tr>
      <w:tr>
        <w:trPr>
          <w:trHeight w:val="131"/>
        </w:trPr>
        <w:tc>
          <w:tcPr>
            <w:tcW w:w="3380" w:type="dxa"/>
            <w:vAlign w:val="bottom"/>
          </w:tcPr>
          <w:p>
            <w:pPr>
              <w:spacing w:after="0" w:line="131" w:lineRule="exact"/>
              <w:rPr>
                <w:sz w:val="20"/>
                <w:szCs w:val="20"/>
                <w:color w:val="auto"/>
              </w:rPr>
            </w:pPr>
            <w:r>
              <w:rPr>
                <w:rFonts w:ascii="Times New Roman" w:cs="Times New Roman" w:eastAsia="Times New Roman" w:hAnsi="Times New Roman"/>
                <w:sz w:val="12"/>
                <w:szCs w:val="12"/>
                <w:color w:val="auto"/>
              </w:rPr>
              <w:t>Denominator:</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Basic and diluted:</w:t>
            </w: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380" w:type="dxa"/>
            <w:vAlign w:val="bottom"/>
          </w:tcPr>
          <w:p>
            <w:pPr>
              <w:ind w:left="80"/>
              <w:spacing w:after="0" w:line="153" w:lineRule="exact"/>
              <w:rPr>
                <w:sz w:val="20"/>
                <w:szCs w:val="20"/>
                <w:color w:val="auto"/>
              </w:rPr>
            </w:pPr>
            <w:r>
              <w:rPr>
                <w:rFonts w:ascii="Times New Roman" w:cs="Times New Roman" w:eastAsia="Times New Roman" w:hAnsi="Times New Roman"/>
                <w:sz w:val="12"/>
                <w:szCs w:val="12"/>
                <w:color w:val="auto"/>
              </w:rPr>
              <w:t>Weighted-average common shares outstanding</w:t>
            </w:r>
            <w:r>
              <w:rPr>
                <w:rFonts w:ascii="Times New Roman" w:cs="Times New Roman" w:eastAsia="Times New Roman" w:hAnsi="Times New Roman"/>
                <w:sz w:val="15"/>
                <w:szCs w:val="15"/>
                <w:color w:val="auto"/>
                <w:vertAlign w:val="superscript"/>
              </w:rPr>
              <w:t>(1)</w:t>
            </w: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77,736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78,292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5"/>
          </w:tcPr>
          <w:p>
            <w:pPr>
              <w:jc w:val="right"/>
              <w:ind w:right="40"/>
              <w:spacing w:after="0"/>
              <w:rPr>
                <w:sz w:val="20"/>
                <w:szCs w:val="20"/>
                <w:color w:val="auto"/>
              </w:rPr>
            </w:pPr>
            <w:r>
              <w:rPr>
                <w:rFonts w:ascii="Times New Roman" w:cs="Times New Roman" w:eastAsia="Times New Roman" w:hAnsi="Times New Roman"/>
                <w:sz w:val="12"/>
                <w:szCs w:val="12"/>
                <w:color w:val="auto"/>
              </w:rPr>
              <w:t>77,878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78,213</w:t>
            </w:r>
          </w:p>
        </w:tc>
        <w:tc>
          <w:tcPr>
            <w:tcW w:w="0" w:type="dxa"/>
            <w:vAlign w:val="bottom"/>
          </w:tcPr>
          <w:p>
            <w:pPr>
              <w:spacing w:after="0"/>
              <w:rPr>
                <w:sz w:val="1"/>
                <w:szCs w:val="1"/>
                <w:color w:val="auto"/>
              </w:rPr>
            </w:pPr>
          </w:p>
        </w:tc>
      </w:tr>
      <w:tr>
        <w:trPr>
          <w:trHeight w:val="153"/>
        </w:trPr>
        <w:tc>
          <w:tcPr>
            <w:tcW w:w="3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b w:val="1"/>
                <w:bCs w:val="1"/>
                <w:color w:val="auto"/>
              </w:rPr>
              <w:t>Loss per common share</w:t>
            </w: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(0.23)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(0.16)</w:t>
            </w:r>
          </w:p>
        </w:tc>
        <w:tc>
          <w:tcPr>
            <w:tcW w:w="2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920" w:type="dxa"/>
            <w:vAlign w:val="bottom"/>
            <w:shd w:val="clear" w:color="auto" w:fill="CCEEFF"/>
          </w:tcPr>
          <w:p>
            <w:pPr>
              <w:spacing w:after="0"/>
              <w:rPr>
                <w:sz w:val="13"/>
                <w:szCs w:val="13"/>
                <w:color w:val="auto"/>
              </w:rPr>
            </w:pPr>
          </w:p>
        </w:tc>
        <w:tc>
          <w:tcPr>
            <w:tcW w:w="3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w w:val="96"/>
              </w:rPr>
              <w:t>(0.33)</w:t>
            </w:r>
          </w:p>
        </w:tc>
        <w:tc>
          <w:tcPr>
            <w:tcW w:w="220" w:type="dxa"/>
            <w:vAlign w:val="bottom"/>
            <w:gridSpan w:val="3"/>
            <w:shd w:val="clear" w:color="auto" w:fill="CCEEFF"/>
          </w:tcPr>
          <w:p>
            <w:pPr>
              <w:jc w:val="right"/>
              <w:ind w:right="26"/>
              <w:spacing w:after="0"/>
              <w:rPr>
                <w:sz w:val="20"/>
                <w:szCs w:val="20"/>
                <w:color w:val="auto"/>
              </w:rPr>
            </w:pPr>
            <w:r>
              <w:rPr>
                <w:rFonts w:ascii="Times New Roman" w:cs="Times New Roman" w:eastAsia="Times New Roman" w:hAnsi="Times New Roman"/>
                <w:sz w:val="12"/>
                <w:szCs w:val="12"/>
                <w:b w:val="1"/>
                <w:bCs w:val="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(0.31)</w:t>
            </w:r>
          </w:p>
        </w:tc>
        <w:tc>
          <w:tcPr>
            <w:tcW w:w="0" w:type="dxa"/>
            <w:vAlign w:val="bottom"/>
          </w:tcPr>
          <w:p>
            <w:pPr>
              <w:spacing w:after="0"/>
              <w:rPr>
                <w:sz w:val="1"/>
                <w:szCs w:val="1"/>
                <w:color w:val="auto"/>
              </w:rPr>
            </w:pPr>
          </w:p>
        </w:tc>
      </w:tr>
      <w:tr>
        <w:trPr>
          <w:trHeight w:val="819"/>
        </w:trPr>
        <w:tc>
          <w:tcPr>
            <w:tcW w:w="3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8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96" w:right="299" w:bottom="1440" w:gutter="0" w:footer="0" w:header="0"/>
        </w:sectPr>
      </w:pPr>
    </w:p>
    <w:bookmarkStart w:id="29" w:name="page30"/>
    <w:bookmarkEnd w:id="29"/>
    <w:p>
      <w:pPr>
        <w:ind w:left="420" w:hanging="212"/>
        <w:spacing w:after="0"/>
        <w:tabs>
          <w:tab w:leader="none" w:pos="420" w:val="left"/>
        </w:tabs>
        <w:numPr>
          <w:ilvl w:val="0"/>
          <w:numId w:val="1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 xml:space="preserve">The weighted-average common shares outstanding includes 1,803,841 warrants (refer to </w:t>
      </w:r>
      <w:r>
        <w:rPr>
          <w:rFonts w:ascii="Times New Roman" w:cs="Times New Roman" w:eastAsia="Times New Roman" w:hAnsi="Times New Roman"/>
          <w:sz w:val="12"/>
          <w:szCs w:val="12"/>
          <w:u w:val="single" w:color="auto"/>
          <w:color w:val="0000FF"/>
        </w:rPr>
        <w:t>Note 9. Redeemable Senior Preferred Stock and Warrants</w:t>
      </w:r>
      <w:r>
        <w:rPr>
          <w:rFonts w:ascii="Times New Roman" w:cs="Times New Roman" w:eastAsia="Times New Roman" w:hAnsi="Times New Roman"/>
          <w:sz w:val="12"/>
          <w:szCs w:val="12"/>
          <w:color w:val="auto"/>
        </w:rPr>
        <w:t>).</w:t>
      </w:r>
    </w:p>
    <w:p>
      <w:pPr>
        <w:spacing w:after="0" w:line="133" w:lineRule="exact"/>
        <w:rPr>
          <w:sz w:val="20"/>
          <w:szCs w:val="20"/>
          <w:color w:val="auto"/>
        </w:rPr>
      </w:pPr>
    </w:p>
    <w:p>
      <w:pPr>
        <w:ind w:right="420"/>
        <w:spacing w:after="0" w:line="279" w:lineRule="auto"/>
        <w:rPr>
          <w:sz w:val="20"/>
          <w:szCs w:val="20"/>
          <w:color w:val="auto"/>
        </w:rPr>
      </w:pPr>
      <w:r>
        <w:rPr>
          <w:rFonts w:ascii="Times New Roman" w:cs="Times New Roman" w:eastAsia="Times New Roman" w:hAnsi="Times New Roman"/>
          <w:sz w:val="12"/>
          <w:szCs w:val="12"/>
          <w:color w:val="auto"/>
        </w:rPr>
        <w:t>For the three and six months ended June 30, 2024 and 2023, all potentially dilutive securities were anti-dilutive, so diluted net loss per share was equivalent to basic net loss per share. Potentially anti-dilutive securities that were excluded from the Company's loss per common share are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280" w:type="dxa"/>
            <w:vAlign w:val="bottom"/>
          </w:tcPr>
          <w:p>
            <w:pPr>
              <w:spacing w:after="0"/>
              <w:rPr>
                <w:sz w:val="13"/>
                <w:szCs w:val="13"/>
                <w:color w:val="auto"/>
              </w:rPr>
            </w:pPr>
          </w:p>
        </w:tc>
        <w:tc>
          <w:tcPr>
            <w:tcW w:w="3040" w:type="dxa"/>
            <w:vAlign w:val="bottom"/>
            <w:gridSpan w:val="4"/>
          </w:tcPr>
          <w:p>
            <w:pPr>
              <w:ind w:left="700"/>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2980" w:type="dxa"/>
            <w:vAlign w:val="bottom"/>
            <w:gridSpan w:val="3"/>
          </w:tcPr>
          <w:p>
            <w:pPr>
              <w:jc w:val="right"/>
              <w:ind w:right="740"/>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r>
      <w:tr>
        <w:trPr>
          <w:trHeight w:val="142"/>
        </w:trPr>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44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Borders>
              <w:top w:val="single" w:sz="8" w:color="auto"/>
              <w:bottom w:val="single" w:sz="8" w:color="CCEEFF"/>
            </w:tcBorders>
          </w:tcPr>
          <w:p>
            <w:pPr>
              <w:spacing w:after="0"/>
              <w:rPr>
                <w:sz w:val="12"/>
                <w:szCs w:val="12"/>
                <w:color w:val="auto"/>
              </w:rPr>
            </w:pPr>
          </w:p>
        </w:tc>
        <w:tc>
          <w:tcPr>
            <w:tcW w:w="144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Borders>
              <w:bottom w:val="single" w:sz="8" w:color="CCEEFF"/>
            </w:tcBorders>
          </w:tcPr>
          <w:p>
            <w:pPr>
              <w:spacing w:after="0"/>
              <w:rPr>
                <w:sz w:val="12"/>
                <w:szCs w:val="12"/>
                <w:color w:val="auto"/>
              </w:rPr>
            </w:pPr>
          </w:p>
        </w:tc>
        <w:tc>
          <w:tcPr>
            <w:tcW w:w="144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Borders>
              <w:top w:val="single" w:sz="8" w:color="auto"/>
              <w:bottom w:val="single" w:sz="8" w:color="CCEEFF"/>
            </w:tcBorders>
          </w:tcPr>
          <w:p>
            <w:pPr>
              <w:spacing w:after="0"/>
              <w:rPr>
                <w:sz w:val="12"/>
                <w:szCs w:val="12"/>
                <w:color w:val="auto"/>
              </w:rPr>
            </w:pPr>
          </w:p>
        </w:tc>
        <w:tc>
          <w:tcPr>
            <w:tcW w:w="144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42"/>
        </w:trPr>
        <w:tc>
          <w:tcPr>
            <w:tcW w:w="52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2"/>
                <w:szCs w:val="12"/>
                <w:color w:val="auto"/>
              </w:rPr>
              <w:t>Outstanding warrants on Common Stock</w:t>
            </w:r>
            <w:r>
              <w:rPr>
                <w:rFonts w:ascii="Times New Roman" w:cs="Times New Roman" w:eastAsia="Times New Roman" w:hAnsi="Times New Roman"/>
                <w:sz w:val="15"/>
                <w:szCs w:val="15"/>
                <w:color w:val="auto"/>
                <w:vertAlign w:val="superscript"/>
              </w:rPr>
              <w:t>(1)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3,557</w:t>
            </w: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3,557</w:t>
            </w:r>
          </w:p>
        </w:tc>
      </w:tr>
      <w:tr>
        <w:trPr>
          <w:trHeight w:val="153"/>
        </w:trPr>
        <w:tc>
          <w:tcPr>
            <w:tcW w:w="5280" w:type="dxa"/>
            <w:vAlign w:val="bottom"/>
          </w:tcPr>
          <w:p>
            <w:pPr>
              <w:spacing w:after="0" w:line="153" w:lineRule="exact"/>
              <w:rPr>
                <w:sz w:val="20"/>
                <w:szCs w:val="20"/>
                <w:color w:val="auto"/>
              </w:rPr>
            </w:pPr>
            <w:r>
              <w:rPr>
                <w:rFonts w:ascii="Times New Roman" w:cs="Times New Roman" w:eastAsia="Times New Roman" w:hAnsi="Times New Roman"/>
                <w:sz w:val="12"/>
                <w:szCs w:val="12"/>
                <w:color w:val="auto"/>
              </w:rPr>
              <w:t>Outstanding options and warrants issued to adviser</w:t>
            </w:r>
            <w:r>
              <w:rPr>
                <w:rFonts w:ascii="Times New Roman" w:cs="Times New Roman" w:eastAsia="Times New Roman" w:hAnsi="Times New Roman"/>
                <w:sz w:val="15"/>
                <w:szCs w:val="15"/>
                <w:color w:val="auto"/>
                <w:vertAlign w:val="superscript"/>
              </w:rPr>
              <w:t>(2)</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w:t>
            </w:r>
          </w:p>
        </w:tc>
        <w:tc>
          <w:tcPr>
            <w:tcW w:w="80" w:type="dxa"/>
            <w:vAlign w:val="bottom"/>
          </w:tcPr>
          <w:p>
            <w:pPr>
              <w:spacing w:after="0"/>
              <w:rPr>
                <w:sz w:val="13"/>
                <w:szCs w:val="13"/>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w:t>
            </w:r>
          </w:p>
        </w:tc>
      </w:tr>
      <w:tr>
        <w:trPr>
          <w:trHeight w:val="153"/>
        </w:trPr>
        <w:tc>
          <w:tcPr>
            <w:tcW w:w="528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Restricted stock awards</w:t>
            </w:r>
            <w:r>
              <w:rPr>
                <w:rFonts w:ascii="Times New Roman" w:cs="Times New Roman" w:eastAsia="Times New Roman" w:hAnsi="Times New Roman"/>
                <w:sz w:val="15"/>
                <w:szCs w:val="15"/>
                <w:color w:val="auto"/>
                <w:vertAlign w:val="superscript"/>
              </w:rPr>
              <w:t>(3)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889</w:t>
            </w:r>
          </w:p>
        </w:tc>
        <w:tc>
          <w:tcPr>
            <w:tcW w:w="8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1,159</w:t>
            </w:r>
          </w:p>
        </w:tc>
        <w:tc>
          <w:tcPr>
            <w:tcW w:w="8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946</w:t>
            </w: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1,018</w:t>
            </w:r>
          </w:p>
        </w:tc>
      </w:tr>
      <w:tr>
        <w:trPr>
          <w:trHeight w:val="153"/>
        </w:trPr>
        <w:tc>
          <w:tcPr>
            <w:tcW w:w="5280" w:type="dxa"/>
            <w:vAlign w:val="bottom"/>
            <w:tcBorders>
              <w:bottom w:val="single" w:sz="8" w:color="CCEEFF"/>
            </w:tcBorders>
          </w:tcPr>
          <w:p>
            <w:pPr>
              <w:spacing w:after="0" w:line="153" w:lineRule="exact"/>
              <w:rPr>
                <w:sz w:val="20"/>
                <w:szCs w:val="20"/>
                <w:color w:val="auto"/>
              </w:rPr>
            </w:pPr>
            <w:r>
              <w:rPr>
                <w:rFonts w:ascii="Times New Roman" w:cs="Times New Roman" w:eastAsia="Times New Roman" w:hAnsi="Times New Roman"/>
                <w:sz w:val="12"/>
                <w:szCs w:val="12"/>
                <w:color w:val="auto"/>
              </w:rPr>
              <w:t>Outstanding stock option awards</w:t>
            </w:r>
            <w:r>
              <w:rPr>
                <w:rFonts w:ascii="Times New Roman" w:cs="Times New Roman" w:eastAsia="Times New Roman" w:hAnsi="Times New Roman"/>
                <w:sz w:val="15"/>
                <w:szCs w:val="15"/>
                <w:color w:val="auto"/>
                <w:vertAlign w:val="superscript"/>
              </w:rPr>
              <w:t>(3)</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866</w:t>
            </w:r>
          </w:p>
        </w:tc>
        <w:tc>
          <w:tcPr>
            <w:tcW w:w="8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916</w:t>
            </w:r>
          </w:p>
        </w:tc>
        <w:tc>
          <w:tcPr>
            <w:tcW w:w="8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865</w:t>
            </w:r>
          </w:p>
        </w:tc>
        <w:tc>
          <w:tcPr>
            <w:tcW w:w="10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919</w:t>
            </w:r>
          </w:p>
        </w:tc>
      </w:tr>
      <w:tr>
        <w:trPr>
          <w:trHeight w:val="158"/>
        </w:trPr>
        <w:tc>
          <w:tcPr>
            <w:tcW w:w="5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1,755</w:t>
            </w:r>
          </w:p>
        </w:tc>
        <w:tc>
          <w:tcPr>
            <w:tcW w:w="80" w:type="dxa"/>
            <w:vAlign w:val="bottom"/>
            <w:tcBorders>
              <w:bottom w:val="single" w:sz="8" w:color="CCEEFF"/>
            </w:tcBorders>
            <w:shd w:val="clear" w:color="auto" w:fill="CCEEFF"/>
          </w:tcPr>
          <w:p>
            <w:pPr>
              <w:spacing w:after="0"/>
              <w:rPr>
                <w:sz w:val="13"/>
                <w:szCs w:val="1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6,232</w:t>
            </w:r>
          </w:p>
        </w:tc>
        <w:tc>
          <w:tcPr>
            <w:tcW w:w="80" w:type="dxa"/>
            <w:vAlign w:val="bottom"/>
            <w:tcBorders>
              <w:bottom w:val="single" w:sz="8" w:color="CCEEFF"/>
            </w:tcBorders>
            <w:shd w:val="clear" w:color="auto" w:fill="CCEEFF"/>
          </w:tcPr>
          <w:p>
            <w:pPr>
              <w:spacing w:after="0"/>
              <w:rPr>
                <w:sz w:val="13"/>
                <w:szCs w:val="1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1,811</w:t>
            </w:r>
          </w:p>
        </w:tc>
        <w:tc>
          <w:tcPr>
            <w:tcW w:w="100" w:type="dxa"/>
            <w:vAlign w:val="bottom"/>
            <w:tcBorders>
              <w:bottom w:val="single" w:sz="8" w:color="CCEEFF"/>
            </w:tcBorders>
            <w:shd w:val="clear" w:color="auto" w:fill="CCEEFF"/>
          </w:tcPr>
          <w:p>
            <w:pPr>
              <w:spacing w:after="0"/>
              <w:rPr>
                <w:sz w:val="13"/>
                <w:szCs w:val="1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6,094</w:t>
            </w:r>
          </w:p>
        </w:tc>
      </w:tr>
    </w:tbl>
    <w:p>
      <w:pPr>
        <w:spacing w:after="0" w:line="167" w:lineRule="exact"/>
        <w:rPr>
          <w:sz w:val="20"/>
          <w:szCs w:val="20"/>
          <w:color w:val="auto"/>
        </w:rPr>
      </w:pPr>
    </w:p>
    <w:p>
      <w:pPr>
        <w:ind w:left="420" w:hanging="212"/>
        <w:spacing w:after="0"/>
        <w:tabs>
          <w:tab w:leader="none" w:pos="420" w:val="left"/>
        </w:tabs>
        <w:numPr>
          <w:ilvl w:val="0"/>
          <w:numId w:val="2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warrants were issued in 2018 and were exercisable at $11.50 per share. These warrants expired on August 24, 2023.</w:t>
      </w:r>
    </w:p>
    <w:p>
      <w:pPr>
        <w:spacing w:after="0" w:line="1" w:lineRule="exact"/>
        <w:rPr>
          <w:rFonts w:ascii="Times New Roman" w:cs="Times New Roman" w:eastAsia="Times New Roman" w:hAnsi="Times New Roman"/>
          <w:sz w:val="16"/>
          <w:szCs w:val="16"/>
          <w:color w:val="auto"/>
          <w:vertAlign w:val="superscript"/>
        </w:rPr>
      </w:pPr>
    </w:p>
    <w:p>
      <w:pPr>
        <w:ind w:left="420" w:hanging="212"/>
        <w:spacing w:after="0" w:line="186" w:lineRule="auto"/>
        <w:tabs>
          <w:tab w:leader="none" w:pos="420" w:val="left"/>
        </w:tabs>
        <w:numPr>
          <w:ilvl w:val="0"/>
          <w:numId w:val="2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warrants were issued in 2018 and were exercisable at $12.00 per share. These warrants expired on August 24, 2023.</w:t>
      </w:r>
    </w:p>
    <w:p>
      <w:pPr>
        <w:spacing w:after="0" w:line="1" w:lineRule="exact"/>
        <w:rPr>
          <w:rFonts w:ascii="Times New Roman" w:cs="Times New Roman" w:eastAsia="Times New Roman" w:hAnsi="Times New Roman"/>
          <w:sz w:val="16"/>
          <w:szCs w:val="16"/>
          <w:color w:val="auto"/>
          <w:vertAlign w:val="superscript"/>
        </w:rPr>
      </w:pPr>
    </w:p>
    <w:p>
      <w:pPr>
        <w:ind w:left="420" w:hanging="212"/>
        <w:spacing w:after="0" w:line="186" w:lineRule="auto"/>
        <w:tabs>
          <w:tab w:leader="none" w:pos="420" w:val="left"/>
        </w:tabs>
        <w:numPr>
          <w:ilvl w:val="0"/>
          <w:numId w:val="2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Granted under the 2018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00" w:right="2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2"/>
          <w:szCs w:val="12"/>
          <w:b w:val="1"/>
          <w:bCs w:val="1"/>
          <w:color w:val="auto"/>
        </w:rPr>
        <w:t>Item 2. Management's Discussion and Analysis of Financial Condition and Results of Operations</w:t>
      </w:r>
    </w:p>
    <w:p>
      <w:pPr>
        <w:spacing w:after="0" w:line="15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2"/>
          <w:szCs w:val="12"/>
          <w:i w:val="1"/>
          <w:iCs w:val="1"/>
          <w:color w:val="auto"/>
        </w:rPr>
        <w:t>The following discussion and analysis of our financial condition and results of operations should be read in conjunction with our Audited Consolidated Financial Statements and related Notes and the section entitled "Management's Discussion and Analysis of Financial Condition and Results of Operations," included in the Company's Annual Report on Form 10-K for the year ended December 31, 2023. Certain amounts in this section may not add mathematically due to rounding.</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Cautionary Note Regarding Forward-looking Statements</w:t>
      </w:r>
    </w:p>
    <w:p>
      <w:pPr>
        <w:spacing w:after="0" w:line="15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2"/>
          <w:szCs w:val="12"/>
          <w:color w:val="auto"/>
        </w:rPr>
        <w:t>Some of the statements made in this Quarterly Report on Form 10-Q constitute forward-looking statements within the meaning of the federal securities laws. Such forward-looking statements include, but are not limited to, statements regarding our management's expectations, hopes, beliefs, intentions or strategies regarding the future. In addition, any statements that refer to projections, forecasts or other characterizations of future events or circumstances, such as statements about our future financial performance, including any underlying assumptions, are forward-looking statements. The words "anticipate," "believe," "continue," "could," "estimate," "expect," "future," "goal," "intend," "likely," "may," "might," "plan," "possible," "potential," "predict," "project," "seek," "should," "would," "will," "approximately," "shall" and similar expressions may identify forward-looking statements, but the absence of these words does not mean that a statement is not forward-looking. Forward-looking statements contained in this Quarterly Report on Form 10-Q include, but are not limited to, statements about:</w:t>
      </w:r>
    </w:p>
    <w:p>
      <w:pPr>
        <w:spacing w:after="0" w:line="125" w:lineRule="exact"/>
        <w:rPr>
          <w:sz w:val="20"/>
          <w:szCs w:val="20"/>
          <w:color w:val="auto"/>
        </w:rPr>
      </w:pPr>
    </w:p>
    <w:p>
      <w:pPr>
        <w:ind w:left="420" w:right="280" w:hanging="212"/>
        <w:spacing w:after="0" w:line="279" w:lineRule="auto"/>
        <w:tabs>
          <w:tab w:leader="none" w:pos="417" w:val="left"/>
        </w:tabs>
        <w:numPr>
          <w:ilvl w:val="0"/>
          <w:numId w:val="21"/>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rPr>
        <w:t>negative economic and political conditions that adversely affect the general economy, consumer confidence and consumer and commercial spending habits, which may, among other things, negatively impact our business, financial condition and results of operations;</w:t>
      </w:r>
    </w:p>
    <w:p>
      <w:pPr>
        <w:spacing w:after="0" w:line="111" w:lineRule="exact"/>
        <w:rPr>
          <w:rFonts w:ascii="Times New Roman" w:cs="Times New Roman" w:eastAsia="Times New Roman" w:hAnsi="Times New Roman"/>
          <w:sz w:val="12"/>
          <w:szCs w:val="12"/>
          <w:color w:val="auto"/>
          <w:strike w:val="1"/>
        </w:rPr>
      </w:pPr>
    </w:p>
    <w:p>
      <w:pPr>
        <w:ind w:left="420" w:hanging="212"/>
        <w:spacing w:after="0"/>
        <w:tabs>
          <w:tab w:leader="none" w:pos="4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competition in the payment processing industry;</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use of distribution partners;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unauthorized disclosures of merchant or cardholder data, whether through breach of our computer systems, computer viruses or otherwise;</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breakdowns in our processing systems;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government regulation, including regulation of consumer information;</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use of third-party vendors;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changes in card association and debit network fees or products;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failure to comply with the rules established by payment networks or standards established by third-party processors;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proposed acquisitions or dispositions or any risks associated with completed acquisitions or dispositions;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risks and uncertainties set forth in the "</w:t>
      </w:r>
      <w:r>
        <w:rPr>
          <w:rFonts w:ascii="Times New Roman" w:cs="Times New Roman" w:eastAsia="Times New Roman" w:hAnsi="Times New Roman"/>
          <w:sz w:val="12"/>
          <w:szCs w:val="12"/>
          <w:u w:val="single" w:color="auto"/>
          <w:color w:val="0000FF"/>
        </w:rPr>
        <w:t>Item 1A - Risk Factors</w:t>
      </w:r>
      <w:r>
        <w:rPr>
          <w:rFonts w:ascii="Times New Roman" w:cs="Times New Roman" w:eastAsia="Times New Roman" w:hAnsi="Times New Roman"/>
          <w:sz w:val="12"/>
          <w:szCs w:val="12"/>
          <w:color w:val="auto"/>
        </w:rPr>
        <w:t>" section of this Quarterly Report on Form 10-Q or our Annual Report on Form 10-K.</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caution you that the foregoing list may not contain all of the forward-looking statements made in this Quarterly Report on Form 10-Q.</w:t>
      </w:r>
    </w:p>
    <w:p>
      <w:pPr>
        <w:spacing w:after="0" w:line="15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The forward-looking statements contained in this Quarterly Report on Form 10-Q are based on our current expectations and beliefs concerning future developments and their potential effects on us. You should not place undue reliance on these forward-looking statements in deciding whether to invest in our securities. We cannot assure you that future developments affecting us will be those that we have anticipated. These forward-looking statements involve a number of risks, uncertainties (some of which are beyond our control) or other assumptions, including the risk factors set forth in the "</w:t>
      </w:r>
      <w:r>
        <w:rPr>
          <w:rFonts w:ascii="Times New Roman" w:cs="Times New Roman" w:eastAsia="Times New Roman" w:hAnsi="Times New Roman"/>
          <w:sz w:val="12"/>
          <w:szCs w:val="12"/>
          <w:u w:val="single" w:color="auto"/>
          <w:color w:val="0000FF"/>
        </w:rPr>
        <w:t>Item 1A - Risk Factors</w:t>
      </w:r>
      <w:r>
        <w:rPr>
          <w:rFonts w:ascii="Times New Roman" w:cs="Times New Roman" w:eastAsia="Times New Roman" w:hAnsi="Times New Roman"/>
          <w:sz w:val="12"/>
          <w:szCs w:val="12"/>
          <w:color w:val="auto"/>
        </w:rPr>
        <w:t>" section of this Quarterly Report on Form 10-Q or our Annual Report on Form 10-K, that may cause our actual results or performance to</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025" w:right="319" w:bottom="1440" w:gutter="0" w:footer="0" w:header="0"/>
        </w:sectPr>
      </w:pPr>
    </w:p>
    <w:bookmarkStart w:id="31" w:name="page32"/>
    <w:bookmarkEnd w:id="31"/>
    <w:p>
      <w:pPr>
        <w:ind w:right="80"/>
        <w:spacing w:after="0" w:line="279" w:lineRule="auto"/>
        <w:rPr>
          <w:sz w:val="20"/>
          <w:szCs w:val="20"/>
          <w:color w:val="auto"/>
        </w:rPr>
      </w:pPr>
      <w:r>
        <w:rPr>
          <w:rFonts w:ascii="Times New Roman" w:cs="Times New Roman" w:eastAsia="Times New Roman" w:hAnsi="Times New Roman"/>
          <w:sz w:val="12"/>
          <w:szCs w:val="12"/>
          <w:color w:val="auto"/>
        </w:rPr>
        <w:t>be materially different from those expressed or implied by these forward-looking statements. Should one or more of these risks or uncertainties materialize, or should any of our assumptions prove incorrect, actual results may vary in material respects from those projected in these forward-looking statements.</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19" w:lineRule="exact"/>
        <w:rPr>
          <w:sz w:val="20"/>
          <w:szCs w:val="20"/>
          <w:color w:val="auto"/>
        </w:rPr>
      </w:pPr>
    </w:p>
    <w:p>
      <w:pPr>
        <w:ind w:right="340"/>
        <w:spacing w:after="0" w:line="279" w:lineRule="auto"/>
        <w:rPr>
          <w:sz w:val="20"/>
          <w:szCs w:val="20"/>
          <w:color w:val="auto"/>
        </w:rPr>
      </w:pPr>
      <w:r>
        <w:rPr>
          <w:rFonts w:ascii="Times New Roman" w:cs="Times New Roman" w:eastAsia="Times New Roman" w:hAnsi="Times New Roman"/>
          <w:sz w:val="12"/>
          <w:szCs w:val="12"/>
          <w:color w:val="auto"/>
        </w:rPr>
        <w:t>You should read this Quarterly Report on Form 10-Q with the understanding that our actual future results, levels of activity, performance and achievements may be materially different from what we expect. We qualify all of our forward-looking statements by these cautionary statements.</w:t>
      </w:r>
    </w:p>
    <w:p>
      <w:pPr>
        <w:spacing w:after="0" w:line="111"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Forward-looking statements speak only as of the date they were made. We undertake no obligation to update or revise any forward-looking statements, whether as a result of new information, future events or otherwise, except as may be required under applicable securities laws.</w:t>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Terms Used in this Quarterly Report on Form 10-Q</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used in this Quarterly Report on Form 10-Q, unless the context otherwise requires, references to the terms "Company," "Priority," "we," "us" and "our" refer to Priority Technology Holdings, Inc. and its consolidated subsidiaries.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Results of Operations</w:t>
      </w:r>
    </w:p>
    <w:p>
      <w:pPr>
        <w:spacing w:after="0" w:line="154"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2"/>
          <w:szCs w:val="12"/>
          <w:color w:val="auto"/>
        </w:rPr>
        <w:t>This section includes certain components of our results of operations for the three and six months ended June 30, 2024, compared to the three and six months ended June 30, 2023. We have derived this data, except the key indicators, from our Unaudited Consolidated Financial Statements included elsewhere in this Quarterly Report on Form 10-Q and our Audited Consolidated Financial Statements included in our Annual Report on Form 10-K for the year ended December 31, 2023.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Revenues</w:t>
      </w:r>
    </w:p>
    <w:p>
      <w:pPr>
        <w:spacing w:after="0" w:line="15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For the three months ended June 30, 2024, our consolidated revenue of $219.9 million increased by $37.6 million, or 20.6%, from $182.3 million for the three months ended June 30, 2023. This overall increase was mainly driven by increase in merchant bankcard volume in our SMB Payments segment, an increase in new enrollments and higher interest income in our Enterprise Payments segment, and acquisition of the Plastiq business during Q3 2023 in our B2B Payments Segment.</w:t>
      </w:r>
    </w:p>
    <w:p>
      <w:pPr>
        <w:spacing w:after="0" w:line="11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For the six months ended June 30, 2024, our consolidated revenue of $425.6 million increased by $58.3 million, or 15.9%, from $367.3 million for the six months ended June 30, 2023. This overall increase was mainly driven by increase in merchant bankcard volume in our SMB Payments segment, an increase in new enrollments and higher interest income in our Enterprise Payments segment, and acquisition of the Plastiq business during Q3 2023 in our B2B Payments Segment.</w:t>
      </w:r>
    </w:p>
    <w:p>
      <w:pPr>
        <w:spacing w:after="0" w:line="200" w:lineRule="exact"/>
        <w:rPr>
          <w:sz w:val="20"/>
          <w:szCs w:val="20"/>
          <w:color w:val="auto"/>
        </w:rPr>
      </w:pPr>
    </w:p>
    <w:p>
      <w:pPr>
        <w:spacing w:after="0" w:line="3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1029" w:right="37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55"/>
        </w:trPr>
        <w:tc>
          <w:tcPr>
            <w:tcW w:w="4120" w:type="dxa"/>
            <w:vAlign w:val="bottom"/>
          </w:tcPr>
          <w:p>
            <w:pPr>
              <w:spacing w:after="0"/>
              <w:rPr>
                <w:sz w:val="20"/>
                <w:szCs w:val="20"/>
                <w:color w:val="auto"/>
              </w:rPr>
            </w:pPr>
            <w:r>
              <w:rPr>
                <w:rFonts w:ascii="Times New Roman" w:cs="Times New Roman" w:eastAsia="Times New Roman" w:hAnsi="Times New Roman"/>
                <w:sz w:val="12"/>
                <w:szCs w:val="12"/>
                <w:color w:val="auto"/>
              </w:rPr>
              <w:t>The following table presents our revenues by type:</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315"/>
        </w:trPr>
        <w:tc>
          <w:tcPr>
            <w:tcW w:w="412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9"/>
              </w:rPr>
              <w:t>Six Months Ended June 30,</w:t>
            </w:r>
          </w:p>
        </w:tc>
        <w:tc>
          <w:tcPr>
            <w:tcW w:w="920" w:type="dxa"/>
            <w:vAlign w:val="bottom"/>
            <w:tcBorders>
              <w:bottom w:val="single" w:sz="8" w:color="auto"/>
            </w:tcBorders>
          </w:tcPr>
          <w:p>
            <w:pPr>
              <w:spacing w:after="0"/>
              <w:rPr>
                <w:sz w:val="24"/>
                <w:szCs w:val="24"/>
                <w:color w:val="auto"/>
              </w:rPr>
            </w:pPr>
          </w:p>
        </w:tc>
      </w:tr>
      <w:tr>
        <w:trPr>
          <w:trHeight w:val="142"/>
        </w:trPr>
        <w:tc>
          <w:tcPr>
            <w:tcW w:w="4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242424"/>
              </w:rPr>
              <w:t>2024</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242424"/>
              </w:rPr>
              <w:t>2023</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b w:val="1"/>
                <w:bCs w:val="1"/>
                <w:color w:val="242424"/>
              </w:rPr>
              <w:t>2024</w:t>
            </w: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242424"/>
              </w:rPr>
              <w:t>2023</w:t>
            </w: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 Change</w:t>
            </w:r>
          </w:p>
        </w:tc>
      </w:tr>
      <w:tr>
        <w:trPr>
          <w:trHeight w:val="133"/>
        </w:trPr>
        <w:tc>
          <w:tcPr>
            <w:tcW w:w="41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Revenue Type:</w:t>
            </w: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153"/>
        </w:trPr>
        <w:tc>
          <w:tcPr>
            <w:tcW w:w="41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Merchant card fees</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169,246</w:t>
            </w:r>
          </w:p>
        </w:tc>
        <w:tc>
          <w:tcPr>
            <w:tcW w:w="10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144,524</w:t>
            </w:r>
          </w:p>
        </w:tc>
        <w:tc>
          <w:tcPr>
            <w:tcW w:w="8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24,722</w:t>
            </w:r>
          </w:p>
        </w:tc>
        <w:tc>
          <w:tcPr>
            <w:tcW w:w="100" w:type="dxa"/>
            <w:vAlign w:val="bottom"/>
          </w:tcPr>
          <w:p>
            <w:pPr>
              <w:spacing w:after="0"/>
              <w:rPr>
                <w:sz w:val="13"/>
                <w:szCs w:val="13"/>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327,193</w:t>
            </w: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294,168</w:t>
            </w:r>
          </w:p>
        </w:tc>
        <w:tc>
          <w:tcPr>
            <w:tcW w:w="60" w:type="dxa"/>
            <w:vAlign w:val="bottom"/>
          </w:tcPr>
          <w:p>
            <w:pPr>
              <w:spacing w:after="0"/>
              <w:rPr>
                <w:sz w:val="13"/>
                <w:szCs w:val="13"/>
                <w:color w:val="auto"/>
              </w:rPr>
            </w:pP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33,025</w:t>
            </w:r>
          </w:p>
        </w:tc>
      </w:tr>
      <w:tr>
        <w:trPr>
          <w:trHeight w:val="153"/>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Money transmission services</w:t>
            </w: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31,340</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23,718</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7,622</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60,484</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45,124</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15,360</w:t>
            </w:r>
          </w:p>
        </w:tc>
      </w:tr>
      <w:tr>
        <w:trPr>
          <w:trHeight w:val="153"/>
        </w:trPr>
        <w:tc>
          <w:tcPr>
            <w:tcW w:w="41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Outsourced services and other services</w:t>
            </w:r>
          </w:p>
        </w:tc>
        <w:tc>
          <w:tcPr>
            <w:tcW w:w="260" w:type="dxa"/>
            <w:vAlign w:val="bottom"/>
          </w:tcPr>
          <w:p>
            <w:pPr>
              <w:spacing w:after="0"/>
              <w:rPr>
                <w:sz w:val="13"/>
                <w:szCs w:val="13"/>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16,256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10,582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5,674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31,921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21,587</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10,334</w:t>
            </w:r>
          </w:p>
        </w:tc>
      </w:tr>
      <w:tr>
        <w:trPr>
          <w:trHeight w:val="153"/>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Equipment</w:t>
            </w:r>
          </w:p>
        </w:tc>
        <w:tc>
          <w:tcPr>
            <w:tcW w:w="2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3,025</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3,466</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(441)</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5,988</w:t>
            </w:r>
          </w:p>
        </w:tc>
        <w:tc>
          <w:tcPr>
            <w:tcW w:w="10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6,439</w:t>
            </w:r>
          </w:p>
        </w:tc>
        <w:tc>
          <w:tcPr>
            <w:tcW w:w="6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(451)</w:t>
            </w:r>
          </w:p>
        </w:tc>
      </w:tr>
      <w:tr>
        <w:trPr>
          <w:trHeight w:val="142"/>
        </w:trPr>
        <w:tc>
          <w:tcPr>
            <w:tcW w:w="4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revenues</w:t>
            </w: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219,867</w:t>
            </w:r>
          </w:p>
        </w:tc>
        <w:tc>
          <w:tcPr>
            <w:tcW w:w="100" w:type="dxa"/>
            <w:vAlign w:val="bottom"/>
          </w:tcPr>
          <w:p>
            <w:pPr>
              <w:spacing w:after="0"/>
              <w:rPr>
                <w:sz w:val="12"/>
                <w:szCs w:val="12"/>
                <w:color w:val="auto"/>
              </w:rPr>
            </w:pP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182,290</w:t>
            </w:r>
          </w:p>
        </w:tc>
        <w:tc>
          <w:tcPr>
            <w:tcW w:w="80" w:type="dxa"/>
            <w:vAlign w:val="bottom"/>
          </w:tcPr>
          <w:p>
            <w:pPr>
              <w:spacing w:after="0"/>
              <w:rPr>
                <w:sz w:val="12"/>
                <w:szCs w:val="12"/>
                <w:color w:val="auto"/>
              </w:rPr>
            </w:pP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37,577</w:t>
            </w:r>
          </w:p>
        </w:tc>
        <w:tc>
          <w:tcPr>
            <w:tcW w:w="100" w:type="dxa"/>
            <w:vAlign w:val="bottom"/>
          </w:tcPr>
          <w:p>
            <w:pPr>
              <w:spacing w:after="0"/>
              <w:rPr>
                <w:sz w:val="12"/>
                <w:szCs w:val="12"/>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425,586</w:t>
            </w:r>
          </w:p>
        </w:tc>
        <w:tc>
          <w:tcPr>
            <w:tcW w:w="1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367,318</w:t>
            </w:r>
          </w:p>
        </w:tc>
        <w:tc>
          <w:tcPr>
            <w:tcW w:w="60" w:type="dxa"/>
            <w:vAlign w:val="bottom"/>
          </w:tcPr>
          <w:p>
            <w:pPr>
              <w:spacing w:after="0"/>
              <w:rPr>
                <w:sz w:val="12"/>
                <w:szCs w:val="12"/>
                <w:color w:val="auto"/>
              </w:rPr>
            </w:pPr>
          </w:p>
        </w:tc>
        <w:tc>
          <w:tcPr>
            <w:tcW w:w="2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58,268</w:t>
            </w:r>
          </w:p>
        </w:tc>
      </w:tr>
      <w:tr>
        <w:trPr>
          <w:trHeight w:val="20"/>
        </w:trPr>
        <w:tc>
          <w:tcPr>
            <w:tcW w:w="4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Merchant card fees</w:t>
      </w:r>
    </w:p>
    <w:p>
      <w:pPr>
        <w:spacing w:after="0" w:line="150"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2"/>
          <w:szCs w:val="12"/>
          <w:color w:val="auto"/>
        </w:rPr>
        <w:t>Merchant card fees revenue for the three months ended June 30, 2024 was $169.2 million, an increase of $24.7 million, or 17.1%, from $144.5 million for the three months ended June 30, 2023. This increase was primarily driven by an increase in the transaction count processed by the Company, rate increases, and the acquisition of the Plastiq business during Q3 2023.</w:t>
      </w:r>
    </w:p>
    <w:p>
      <w:pPr>
        <w:spacing w:after="0" w:line="111" w:lineRule="exact"/>
        <w:rPr>
          <w:sz w:val="20"/>
          <w:szCs w:val="20"/>
          <w:color w:val="auto"/>
        </w:rPr>
      </w:pPr>
    </w:p>
    <w:p>
      <w:pPr>
        <w:ind w:right="340"/>
        <w:spacing w:after="0" w:line="279" w:lineRule="auto"/>
        <w:rPr>
          <w:sz w:val="20"/>
          <w:szCs w:val="20"/>
          <w:color w:val="auto"/>
        </w:rPr>
      </w:pPr>
      <w:r>
        <w:rPr>
          <w:rFonts w:ascii="Times New Roman" w:cs="Times New Roman" w:eastAsia="Times New Roman" w:hAnsi="Times New Roman"/>
          <w:sz w:val="12"/>
          <w:szCs w:val="12"/>
          <w:color w:val="auto"/>
        </w:rPr>
        <w:t>Merchant card fees revenue for the six months ended June 30, 2024 was $327.2 million an increase of $33.0 million or 11.2%, from $294.2 million for the six months ended June 30, 2023. The increase was primarily driven by an increase in the transaction count processed by the Company, rate increases, and the acquisition of the Plastiq business during Q3 2023.</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Money transmission services</w:t>
      </w:r>
    </w:p>
    <w:p>
      <w:pPr>
        <w:spacing w:after="0" w:line="150"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2"/>
          <w:szCs w:val="12"/>
          <w:color w:val="auto"/>
        </w:rPr>
        <w:t>Money transmission services for the three months ended June 30, 2024 was $31.3 million, an increase of $7.6 million, or 32.1%, from $23.7 million for the three months ended June 30, 2023. This increase was primarily driven by an increase in customer enrollments.</w:t>
      </w:r>
    </w:p>
    <w:p>
      <w:pPr>
        <w:spacing w:after="0" w:line="111"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12"/>
          <w:szCs w:val="12"/>
          <w:color w:val="auto"/>
        </w:rPr>
        <w:t>Money transmission services for the six months ended June 30, 2024 was $60.5 million, an increase of $15.4 million, or 34.0%, from $45.1 million for the six months ended June 30, 2023. This increase was primarily driven by an increase in customer enrollments.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Outsourced services and other services revenue</w:t>
      </w:r>
    </w:p>
    <w:p>
      <w:pPr>
        <w:spacing w:after="0" w:line="150"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2"/>
          <w:szCs w:val="12"/>
          <w:color w:val="auto"/>
        </w:rPr>
        <w:t>Outsourced services and other services revenue of $16.3 million for the three months ended June 30, 2024 increased by $5.7 million, or 53.6%, from $10.6 million for the three months ended June 30, 2023, primarily due to growth in interest income due to higher interest rates and deposit balances.</w:t>
      </w:r>
    </w:p>
    <w:p>
      <w:pPr>
        <w:spacing w:after="0" w:line="111"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12"/>
          <w:szCs w:val="12"/>
          <w:color w:val="auto"/>
        </w:rPr>
        <w:t>Outsourced services and other services revenue of $31.9 million for the six months ended June 30, 2024 increased by $10.3 million, or 47.9%, from $21.6 million for the six months ended June 30, 2023, primarily due to growth in interest income due to higher interest rates and deposit balances.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Equipment</w:t>
      </w:r>
    </w:p>
    <w:p>
      <w:pPr>
        <w:spacing w:after="0" w:line="150" w:lineRule="exact"/>
        <w:rPr>
          <w:sz w:val="20"/>
          <w:szCs w:val="20"/>
          <w:color w:val="auto"/>
        </w:rPr>
      </w:pPr>
    </w:p>
    <w:p>
      <w:pPr>
        <w:ind w:right="320"/>
        <w:spacing w:after="0" w:line="279" w:lineRule="auto"/>
        <w:rPr>
          <w:sz w:val="20"/>
          <w:szCs w:val="20"/>
          <w:color w:val="auto"/>
        </w:rPr>
      </w:pPr>
      <w:r>
        <w:rPr>
          <w:rFonts w:ascii="Times New Roman" w:cs="Times New Roman" w:eastAsia="Times New Roman" w:hAnsi="Times New Roman"/>
          <w:sz w:val="12"/>
          <w:szCs w:val="12"/>
          <w:color w:val="auto"/>
        </w:rPr>
        <w:t>Equipment revenue of $3.0 million for the three months ended June 30, 2024 decreased by $0.4 million, or 12.7%, from $3.5 million for the three months ended June 30, 2023. The decrease was primarily due to decreased sales of point-of-sale equipment.</w:t>
      </w:r>
    </w:p>
    <w:p>
      <w:pPr>
        <w:spacing w:after="0" w:line="111"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2"/>
          <w:szCs w:val="12"/>
          <w:color w:val="auto"/>
        </w:rPr>
        <w:t>Equipment revenue of $6.0 million for the six months ended June 30, 2024 decreased by $0.5 million, or 7.0% from $6.4 million for the six months ended June 30, 2023. The decrease was primarily due to decreased sales of point-of-sale equipment.</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9" w:right="29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55"/>
        </w:trPr>
        <w:tc>
          <w:tcPr>
            <w:tcW w:w="4080" w:type="dxa"/>
            <w:vAlign w:val="bottom"/>
          </w:tcPr>
          <w:p>
            <w:pPr>
              <w:spacing w:after="0"/>
              <w:rPr>
                <w:sz w:val="20"/>
                <w:szCs w:val="20"/>
                <w:color w:val="auto"/>
              </w:rPr>
            </w:pPr>
            <w:r>
              <w:rPr>
                <w:rFonts w:ascii="Times New Roman" w:cs="Times New Roman" w:eastAsia="Times New Roman" w:hAnsi="Times New Roman"/>
                <w:sz w:val="12"/>
                <w:szCs w:val="12"/>
                <w:color w:val="auto"/>
              </w:rPr>
              <w:t>Operating expenses were as follows:</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315"/>
        </w:trPr>
        <w:tc>
          <w:tcPr>
            <w:tcW w:w="40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6"/>
          </w:tcPr>
          <w:p>
            <w:pPr>
              <w:jc w:val="right"/>
              <w:ind w:right="46"/>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9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6"/>
          </w:tcPr>
          <w:p>
            <w:pPr>
              <w:jc w:val="right"/>
              <w:ind w:right="86"/>
              <w:spacing w:after="0"/>
              <w:rPr>
                <w:sz w:val="20"/>
                <w:szCs w:val="20"/>
                <w:color w:val="auto"/>
              </w:rPr>
            </w:pPr>
            <w:r>
              <w:rPr>
                <w:rFonts w:ascii="Times New Roman" w:cs="Times New Roman" w:eastAsia="Times New Roman" w:hAnsi="Times New Roman"/>
                <w:sz w:val="12"/>
                <w:szCs w:val="12"/>
                <w:b w:val="1"/>
                <w:bCs w:val="1"/>
                <w:color w:val="auto"/>
                <w:w w:val="99"/>
              </w:rPr>
              <w:t>Six Months Ended June 30,</w:t>
            </w:r>
          </w:p>
        </w:tc>
        <w:tc>
          <w:tcPr>
            <w:tcW w:w="940" w:type="dxa"/>
            <w:vAlign w:val="bottom"/>
            <w:tcBorders>
              <w:bottom w:val="single" w:sz="8" w:color="auto"/>
            </w:tcBorders>
          </w:tcPr>
          <w:p>
            <w:pPr>
              <w:spacing w:after="0"/>
              <w:rPr>
                <w:sz w:val="24"/>
                <w:szCs w:val="24"/>
                <w:color w:val="auto"/>
              </w:rPr>
            </w:pPr>
          </w:p>
        </w:tc>
      </w:tr>
      <w:tr>
        <w:trPr>
          <w:trHeight w:val="142"/>
        </w:trPr>
        <w:tc>
          <w:tcPr>
            <w:tcW w:w="40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242424"/>
              </w:rPr>
              <w:t>2024</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242424"/>
              </w:rPr>
              <w:t>2023</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b w:val="1"/>
                <w:bCs w:val="1"/>
                <w:color w:val="242424"/>
              </w:rPr>
              <w:t>2024</w:t>
            </w: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242424"/>
              </w:rPr>
              <w:t>2023</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 Change</w:t>
            </w:r>
          </w:p>
        </w:tc>
      </w:tr>
      <w:tr>
        <w:trPr>
          <w:trHeight w:val="133"/>
        </w:trPr>
        <w:tc>
          <w:tcPr>
            <w:tcW w:w="40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Operating expenses</w:t>
            </w: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r>
      <w:tr>
        <w:trPr>
          <w:trHeight w:val="153"/>
        </w:trPr>
        <w:tc>
          <w:tcPr>
            <w:tcW w:w="40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Cost of revenue (excludes depreciation and amortization)</w:t>
            </w: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138,118</w:t>
            </w:r>
          </w:p>
        </w:tc>
        <w:tc>
          <w:tcPr>
            <w:tcW w:w="100" w:type="dxa"/>
            <w:vAlign w:val="bottom"/>
          </w:tcPr>
          <w:p>
            <w:pPr>
              <w:spacing w:after="0"/>
              <w:rPr>
                <w:sz w:val="13"/>
                <w:szCs w:val="13"/>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115,281</w:t>
            </w:r>
          </w:p>
        </w:tc>
        <w:tc>
          <w:tcPr>
            <w:tcW w:w="100" w:type="dxa"/>
            <w:vAlign w:val="bottom"/>
          </w:tcPr>
          <w:p>
            <w:pPr>
              <w:spacing w:after="0"/>
              <w:rPr>
                <w:sz w:val="13"/>
                <w:szCs w:val="13"/>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22,837</w:t>
            </w:r>
          </w:p>
        </w:tc>
        <w:tc>
          <w:tcPr>
            <w:tcW w:w="8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267,416</w:t>
            </w:r>
          </w:p>
        </w:tc>
        <w:tc>
          <w:tcPr>
            <w:tcW w:w="40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237,247</w:t>
            </w:r>
          </w:p>
        </w:tc>
        <w:tc>
          <w:tcPr>
            <w:tcW w:w="80" w:type="dxa"/>
            <w:vAlign w:val="bottom"/>
          </w:tcPr>
          <w:p>
            <w:pPr>
              <w:spacing w:after="0"/>
              <w:rPr>
                <w:sz w:val="13"/>
                <w:szCs w:val="13"/>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30,169</w:t>
            </w:r>
          </w:p>
        </w:tc>
      </w:tr>
      <w:tr>
        <w:trPr>
          <w:trHeight w:val="153"/>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Salary and employee benefits</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22,119</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19,109</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3,010</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44,269</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38,157</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6,112</w:t>
            </w:r>
          </w:p>
        </w:tc>
      </w:tr>
      <w:tr>
        <w:trPr>
          <w:trHeight w:val="153"/>
        </w:trPr>
        <w:tc>
          <w:tcPr>
            <w:tcW w:w="40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260" w:type="dxa"/>
            <w:vAlign w:val="bottom"/>
          </w:tcPr>
          <w:p>
            <w:pPr>
              <w:spacing w:after="0"/>
              <w:rPr>
                <w:sz w:val="13"/>
                <w:szCs w:val="13"/>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15,244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17,980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(2,736)</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30,497</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36,028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(5,531)</w:t>
            </w:r>
          </w:p>
        </w:tc>
      </w:tr>
      <w:tr>
        <w:trPr>
          <w:trHeight w:val="153"/>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11,212</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10,787</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425</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22,207</w:t>
            </w:r>
          </w:p>
        </w:tc>
        <w:tc>
          <w:tcPr>
            <w:tcW w:w="8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19,905</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2,302</w:t>
            </w:r>
          </w:p>
        </w:tc>
      </w:tr>
      <w:tr>
        <w:trPr>
          <w:trHeight w:val="142"/>
        </w:trPr>
        <w:tc>
          <w:tcPr>
            <w:tcW w:w="40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operating expenses</w:t>
            </w: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186,693</w:t>
            </w:r>
          </w:p>
        </w:tc>
        <w:tc>
          <w:tcPr>
            <w:tcW w:w="100" w:type="dxa"/>
            <w:vAlign w:val="bottom"/>
          </w:tcPr>
          <w:p>
            <w:pPr>
              <w:spacing w:after="0"/>
              <w:rPr>
                <w:sz w:val="12"/>
                <w:szCs w:val="12"/>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163,157</w:t>
            </w:r>
          </w:p>
        </w:tc>
        <w:tc>
          <w:tcPr>
            <w:tcW w:w="100" w:type="dxa"/>
            <w:vAlign w:val="bottom"/>
          </w:tcPr>
          <w:p>
            <w:pPr>
              <w:spacing w:after="0"/>
              <w:rPr>
                <w:sz w:val="12"/>
                <w:szCs w:val="12"/>
                <w:color w:val="auto"/>
              </w:rPr>
            </w:pP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23,536</w:t>
            </w:r>
          </w:p>
        </w:tc>
        <w:tc>
          <w:tcPr>
            <w:tcW w:w="80" w:type="dxa"/>
            <w:vAlign w:val="bottom"/>
          </w:tcPr>
          <w:p>
            <w:pPr>
              <w:spacing w:after="0"/>
              <w:rPr>
                <w:sz w:val="12"/>
                <w:szCs w:val="12"/>
                <w:color w:val="auto"/>
              </w:rPr>
            </w:pP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364,389</w:t>
            </w:r>
          </w:p>
        </w:tc>
        <w:tc>
          <w:tcPr>
            <w:tcW w:w="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331,337</w:t>
            </w:r>
          </w:p>
        </w:tc>
        <w:tc>
          <w:tcPr>
            <w:tcW w:w="80" w:type="dxa"/>
            <w:vAlign w:val="bottom"/>
          </w:tcPr>
          <w:p>
            <w:pPr>
              <w:spacing w:after="0"/>
              <w:rPr>
                <w:sz w:val="12"/>
                <w:szCs w:val="12"/>
                <w:color w:val="auto"/>
              </w:rPr>
            </w:pPr>
          </w:p>
        </w:tc>
        <w:tc>
          <w:tcPr>
            <w:tcW w:w="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33,052</w:t>
            </w:r>
          </w:p>
        </w:tc>
      </w:tr>
      <w:tr>
        <w:trPr>
          <w:trHeight w:val="20"/>
        </w:trPr>
        <w:tc>
          <w:tcPr>
            <w:tcW w:w="4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Cost of revenue (excludes depreciation and amortization)</w:t>
      </w:r>
    </w:p>
    <w:p>
      <w:pPr>
        <w:spacing w:after="0" w:line="150" w:lineRule="exact"/>
        <w:rPr>
          <w:sz w:val="20"/>
          <w:szCs w:val="20"/>
          <w:color w:val="auto"/>
        </w:rPr>
      </w:pPr>
    </w:p>
    <w:p>
      <w:pPr>
        <w:jc w:val="both"/>
        <w:ind w:right="120"/>
        <w:spacing w:after="0" w:line="279" w:lineRule="auto"/>
        <w:rPr>
          <w:sz w:val="20"/>
          <w:szCs w:val="20"/>
          <w:color w:val="auto"/>
        </w:rPr>
      </w:pPr>
      <w:r>
        <w:rPr>
          <w:rFonts w:ascii="Times New Roman" w:cs="Times New Roman" w:eastAsia="Times New Roman" w:hAnsi="Times New Roman"/>
          <w:sz w:val="12"/>
          <w:szCs w:val="12"/>
          <w:color w:val="auto"/>
        </w:rPr>
        <w:t>Cost of revenue (excludes depreciation and amortization) of $138.1 million for the three months ended June 30, 2024 increased by $22.8 million, or 19.8%, from $115.3 million for the three months ended June 30, 2023, primarily due to corresponding increase in revenues.</w:t>
      </w:r>
    </w:p>
    <w:p>
      <w:pPr>
        <w:spacing w:after="0" w:line="111"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Cost of revenue (excludes depreciation and amortization) of $267.4 million for the six months ended June 30, 2024 increased by $30.2 million, or 12.7%, from $237.2 million for the six months ended June 30, 2023, primarily due to the corresponding increase in revenues.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Salary and employee benefits</w:t>
      </w:r>
    </w:p>
    <w:p>
      <w:pPr>
        <w:spacing w:after="0" w:line="150"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12"/>
          <w:szCs w:val="12"/>
          <w:color w:val="auto"/>
        </w:rPr>
        <w:t>Salary and employee benefits expense of $22.1 million for the three months ended June 30, 2024 increased by $3.0 million, or 15.8%, from $19.1 million for the three months ended June 30, 2023, primarily due to merit increases, certain performance based non-recurring bonuses and increased headcount from the acquisition of the Plastiq business during Q3 2023.</w:t>
      </w:r>
    </w:p>
    <w:p>
      <w:pPr>
        <w:spacing w:after="0" w:line="111"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2"/>
          <w:szCs w:val="12"/>
          <w:color w:val="auto"/>
        </w:rPr>
        <w:t>Salary and employee benefits expense of $44.3 million for the six months ended June 30, 2024 increased by $6.1 million, or 16.0%, from $38.2 million for the six months ended June 30, 2023, primarily due to merit increases, certain performance based non-recurring bonuses and increased headcount from the acquisition of the Plastiq business during Q3 2023.</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Depreciation and amortization expense</w:t>
      </w:r>
    </w:p>
    <w:p>
      <w:pPr>
        <w:spacing w:after="0" w:line="150"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Depreciation and amortization expense of $15.2 million for the three months ended June 30, 2024 decreased by $2.7 million, or 15.2%, from $18.0 million for the three months ended June 30, 2023, primarily due to full amortization of certain intangible assets during 2023.</w:t>
      </w:r>
    </w:p>
    <w:p>
      <w:pPr>
        <w:spacing w:after="0" w:line="111"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2"/>
          <w:szCs w:val="12"/>
          <w:color w:val="auto"/>
        </w:rPr>
        <w:t>Depreciation and amortization expense of $30.5 million for the six months ended June 30, 2024 decreased by $5.5 million, or 15.4%, from $36.0 million for the six months ended June 30, 2023, primarily due to full amortization of certain intangible assets during 2023.</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Selling, general and administrative</w:t>
      </w:r>
    </w:p>
    <w:p>
      <w:pPr>
        <w:spacing w:after="0" w:line="150"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2"/>
          <w:szCs w:val="12"/>
          <w:color w:val="auto"/>
        </w:rPr>
        <w:t>Selling, general and administrative expenses of $11.2 million for the three months ended June 30, 2024 increased by $0.4 million, or 3.9%, from $10.8 million for the three months ended June 30, 2023, primarily due to certain software and maintenance expenses and other expenses to support overall growth of the Company.</w:t>
      </w:r>
    </w:p>
    <w:p>
      <w:pPr>
        <w:spacing w:after="0" w:line="111"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Selling, general and administrative expenses of $22.2 million for the six months ended June 30, 2024 increased by $2.3 million, or 11.6%, from $19.9 million for the six months ended June 30, 2023, primarily due to certain software and maintenance expenses and other expenses to support overall growth of the Company.</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9" w:right="29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59"/>
        </w:trPr>
        <w:tc>
          <w:tcPr>
            <w:tcW w:w="422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Other Expense, net</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88"/>
        </w:trPr>
        <w:tc>
          <w:tcPr>
            <w:tcW w:w="4220" w:type="dxa"/>
            <w:vAlign w:val="bottom"/>
          </w:tcPr>
          <w:p>
            <w:pPr>
              <w:spacing w:after="0"/>
              <w:rPr>
                <w:sz w:val="20"/>
                <w:szCs w:val="20"/>
                <w:color w:val="auto"/>
              </w:rPr>
            </w:pPr>
            <w:r>
              <w:rPr>
                <w:rFonts w:ascii="Times New Roman" w:cs="Times New Roman" w:eastAsia="Times New Roman" w:hAnsi="Times New Roman"/>
                <w:sz w:val="12"/>
                <w:szCs w:val="12"/>
                <w:color w:val="auto"/>
              </w:rPr>
              <w:t>Other expense, net were as follows: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15"/>
        </w:trPr>
        <w:tc>
          <w:tcPr>
            <w:tcW w:w="422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9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c>
          <w:tcPr>
            <w:tcW w:w="900" w:type="dxa"/>
            <w:vAlign w:val="bottom"/>
            <w:tcBorders>
              <w:bottom w:val="single" w:sz="8" w:color="auto"/>
            </w:tcBorders>
          </w:tcPr>
          <w:p>
            <w:pPr>
              <w:spacing w:after="0"/>
              <w:rPr>
                <w:sz w:val="24"/>
                <w:szCs w:val="24"/>
                <w:color w:val="auto"/>
              </w:rPr>
            </w:pPr>
          </w:p>
        </w:tc>
      </w:tr>
      <w:tr>
        <w:trPr>
          <w:trHeight w:val="142"/>
        </w:trPr>
        <w:tc>
          <w:tcPr>
            <w:tcW w:w="4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242424"/>
              </w:rPr>
              <w:t>2024</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242424"/>
              </w:rPr>
              <w:t>2023</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242424"/>
              </w:rPr>
              <w:t>2024</w:t>
            </w:r>
          </w:p>
        </w:tc>
        <w:tc>
          <w:tcPr>
            <w:tcW w:w="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242424"/>
              </w:rPr>
              <w:t>2023</w:t>
            </w: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 Change</w:t>
            </w:r>
          </w:p>
        </w:tc>
      </w:tr>
      <w:tr>
        <w:trPr>
          <w:trHeight w:val="133"/>
        </w:trPr>
        <w:tc>
          <w:tcPr>
            <w:tcW w:w="42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Other (expense) income</w:t>
            </w: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53"/>
        </w:trPr>
        <w:tc>
          <w:tcPr>
            <w:tcW w:w="42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Interest expense</w:t>
            </w: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(21,710)</w:t>
            </w:r>
          </w:p>
        </w:tc>
        <w:tc>
          <w:tcPr>
            <w:tcW w:w="8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(17,765)</w:t>
            </w:r>
          </w:p>
        </w:tc>
        <w:tc>
          <w:tcPr>
            <w:tcW w:w="8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(3,945)</w:t>
            </w:r>
          </w:p>
        </w:tc>
        <w:tc>
          <w:tcPr>
            <w:tcW w:w="6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(42,590)</w:t>
            </w:r>
          </w:p>
        </w:tc>
        <w:tc>
          <w:tcPr>
            <w:tcW w:w="6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(35,464)</w:t>
            </w:r>
          </w:p>
        </w:tc>
        <w:tc>
          <w:tcPr>
            <w:tcW w:w="60" w:type="dxa"/>
            <w:vAlign w:val="bottom"/>
          </w:tcPr>
          <w:p>
            <w:pPr>
              <w:spacing w:after="0"/>
              <w:rPr>
                <w:sz w:val="13"/>
                <w:szCs w:val="13"/>
                <w:color w:val="auto"/>
              </w:rPr>
            </w:pP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(7,126)</w:t>
            </w:r>
          </w:p>
        </w:tc>
      </w:tr>
      <w:tr>
        <w:trPr>
          <w:trHeight w:val="153"/>
        </w:trPr>
        <w:tc>
          <w:tcPr>
            <w:tcW w:w="4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Debt extinguishment and modification costs</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(8,623)</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(8,623)</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(8,623)</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(8,623)</w:t>
            </w:r>
          </w:p>
        </w:tc>
      </w:tr>
      <w:tr>
        <w:trPr>
          <w:trHeight w:val="153"/>
        </w:trPr>
        <w:tc>
          <w:tcPr>
            <w:tcW w:w="42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Other income, net</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668</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375</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293</w:t>
            </w:r>
          </w:p>
        </w:tc>
        <w:tc>
          <w:tcPr>
            <w:tcW w:w="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1,300</w:t>
            </w:r>
          </w:p>
        </w:tc>
        <w:tc>
          <w:tcPr>
            <w:tcW w:w="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587</w:t>
            </w:r>
          </w:p>
        </w:tc>
        <w:tc>
          <w:tcPr>
            <w:tcW w:w="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713</w:t>
            </w:r>
          </w:p>
        </w:tc>
      </w:tr>
      <w:tr>
        <w:trPr>
          <w:trHeight w:val="158"/>
        </w:trPr>
        <w:tc>
          <w:tcPr>
            <w:tcW w:w="4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other expense, net</w:t>
            </w: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(29,665)</w:t>
            </w:r>
          </w:p>
        </w:tc>
        <w:tc>
          <w:tcPr>
            <w:tcW w:w="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(17,390)</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(12,275)</w:t>
            </w:r>
          </w:p>
        </w:tc>
        <w:tc>
          <w:tcPr>
            <w:tcW w:w="6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(49,913)</w:t>
            </w:r>
          </w:p>
        </w:tc>
        <w:tc>
          <w:tcPr>
            <w:tcW w:w="6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(34,877)</w:t>
            </w: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(15,036)</w:t>
            </w: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Interest expense</w:t>
      </w:r>
    </w:p>
    <w:p>
      <w:pPr>
        <w:spacing w:after="0" w:line="154" w:lineRule="exact"/>
        <w:rPr>
          <w:sz w:val="20"/>
          <w:szCs w:val="20"/>
          <w:color w:val="auto"/>
        </w:rPr>
      </w:pPr>
    </w:p>
    <w:p>
      <w:pPr>
        <w:ind w:right="220"/>
        <w:spacing w:after="0" w:line="279" w:lineRule="auto"/>
        <w:rPr>
          <w:sz w:val="20"/>
          <w:szCs w:val="20"/>
          <w:color w:val="auto"/>
        </w:rPr>
      </w:pPr>
      <w:r>
        <w:rPr>
          <w:rFonts w:ascii="Times New Roman" w:cs="Times New Roman" w:eastAsia="Times New Roman" w:hAnsi="Times New Roman"/>
          <w:sz w:val="12"/>
          <w:szCs w:val="12"/>
          <w:color w:val="auto"/>
        </w:rPr>
        <w:t>Interest expense of $21.7 million for the three months ended June 30, 2024 increased by $3.9 million, or 22.2%, from $17.8 million for the three months ended June 30, 2023, due to increased interest rates and increased outstanding balance for the term loan facility used for the acquisition of the Plastiq business and redemption of redeemable senior preferred stock, offset by a decrease in the revolving credit facility.</w:t>
      </w:r>
    </w:p>
    <w:p>
      <w:pPr>
        <w:spacing w:after="0" w:line="111"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Interest expense of $42.6 million for the six months ended June 30, 2024 increased by $7.1 million, or 20.1%, from $35.5 million for the six months ended June 30, 2023, due to increased interest rates and increased outstanding balance for the term loan facility used for the acquisition of the Plastiq business and redemption of redeemable senior preferred stock, offset by a decrease in the revolving credit facility.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Debt extinguishment and modification costs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Debt extinguishment and modification costs of $8.6 million for the three months and six months ended June 30, 2024, relates to the refinancing of the Company's credit facilities on May 16, 2024.</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94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Income tax (benefit) expense</w:t>
            </w: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288"/>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 was as follows:</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15"/>
        </w:trPr>
        <w:tc>
          <w:tcPr>
            <w:tcW w:w="39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6"/>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w w:val="99"/>
              </w:rPr>
              <w:t>Three Months Ended June 30,</w:t>
            </w:r>
          </w:p>
        </w:tc>
        <w:tc>
          <w:tcPr>
            <w:tcW w:w="7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r>
        <w:trPr>
          <w:trHeight w:val="142"/>
        </w:trPr>
        <w:tc>
          <w:tcPr>
            <w:tcW w:w="39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242424"/>
              </w:rPr>
              <w:t>2024</w:t>
            </w:r>
          </w:p>
        </w:tc>
        <w:tc>
          <w:tcPr>
            <w:tcW w:w="300" w:type="dxa"/>
            <w:vAlign w:val="bottom"/>
          </w:tcPr>
          <w:p>
            <w:pPr>
              <w:spacing w:after="0"/>
              <w:rPr>
                <w:sz w:val="12"/>
                <w:szCs w:val="12"/>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242424"/>
              </w:rPr>
              <w:t>2023</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700" w:type="dxa"/>
            <w:vAlign w:val="bottom"/>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w w:val="96"/>
              </w:rPr>
              <w:t>Change</w:t>
            </w: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242424"/>
              </w:rPr>
              <w:t>2024</w:t>
            </w:r>
          </w:p>
        </w:tc>
        <w:tc>
          <w:tcPr>
            <w:tcW w:w="360" w:type="dxa"/>
            <w:vAlign w:val="bottom"/>
          </w:tcPr>
          <w:p>
            <w:pPr>
              <w:spacing w:after="0"/>
              <w:rPr>
                <w:sz w:val="12"/>
                <w:szCs w:val="12"/>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242424"/>
              </w:rPr>
              <w:t>2023</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720" w:type="dxa"/>
            <w:vAlign w:val="bottom"/>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Change</w:t>
            </w:r>
          </w:p>
        </w:tc>
      </w:tr>
      <w:tr>
        <w:trPr>
          <w:trHeight w:val="142"/>
        </w:trPr>
        <w:tc>
          <w:tcPr>
            <w:tcW w:w="3940" w:type="dxa"/>
            <w:vAlign w:val="bottom"/>
            <w:tcBorders>
              <w:top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Income before income taxes</w:t>
            </w:r>
          </w:p>
        </w:tc>
        <w:tc>
          <w:tcPr>
            <w:tcW w:w="740" w:type="dxa"/>
            <w:vAlign w:val="bottom"/>
            <w:tcBorders>
              <w:top w:val="single" w:sz="8" w:color="auto"/>
            </w:tcBorders>
            <w:shd w:val="clear" w:color="auto" w:fill="CCEEFF"/>
          </w:tcPr>
          <w:p>
            <w:pPr>
              <w:jc w:val="right"/>
              <w:ind w:right="624"/>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3,509</w:t>
            </w:r>
          </w:p>
        </w:tc>
        <w:tc>
          <w:tcPr>
            <w:tcW w:w="1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ind w:right="620"/>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1,743</w:t>
            </w:r>
          </w:p>
        </w:tc>
        <w:tc>
          <w:tcPr>
            <w:tcW w:w="8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1,766</w:t>
            </w:r>
          </w:p>
        </w:tc>
        <w:tc>
          <w:tcPr>
            <w:tcW w:w="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ind w:right="580"/>
              <w:spacing w:after="0"/>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11,284</w:t>
            </w:r>
          </w:p>
        </w:tc>
        <w:tc>
          <w:tcPr>
            <w:tcW w:w="1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ind w:right="620"/>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1,104</w:t>
            </w:r>
          </w:p>
        </w:tc>
        <w:tc>
          <w:tcPr>
            <w:tcW w:w="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10,180</w:t>
            </w:r>
          </w:p>
        </w:tc>
      </w:tr>
      <w:tr>
        <w:trPr>
          <w:trHeight w:val="153"/>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740" w:type="dxa"/>
            <w:vAlign w:val="bottom"/>
          </w:tcPr>
          <w:p>
            <w:pPr>
              <w:jc w:val="right"/>
              <w:ind w:right="624"/>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2,515</w:t>
            </w:r>
          </w:p>
        </w:tc>
        <w:tc>
          <w:tcPr>
            <w:tcW w:w="1000" w:type="dxa"/>
            <w:vAlign w:val="bottom"/>
            <w:gridSpan w:val="3"/>
          </w:tcPr>
          <w:p>
            <w:pPr>
              <w:jc w:val="right"/>
              <w:ind w:right="6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2,355</w:t>
            </w:r>
          </w:p>
        </w:tc>
        <w:tc>
          <w:tcPr>
            <w:tcW w:w="80" w:type="dxa"/>
            <w:vAlign w:val="bottom"/>
          </w:tcPr>
          <w:p>
            <w:pPr>
              <w:spacing w:after="0"/>
              <w:rPr>
                <w:sz w:val="13"/>
                <w:szCs w:val="13"/>
                <w:color w:val="auto"/>
              </w:rPr>
            </w:pP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w:t>
            </w:r>
          </w:p>
        </w:tc>
        <w:tc>
          <w:tcPr>
            <w:tcW w:w="80" w:type="dxa"/>
            <w:vAlign w:val="bottom"/>
          </w:tcPr>
          <w:p>
            <w:pPr>
              <w:spacing w:after="0"/>
              <w:rPr>
                <w:sz w:val="13"/>
                <w:szCs w:val="13"/>
                <w:color w:val="auto"/>
              </w:rPr>
            </w:pPr>
          </w:p>
        </w:tc>
        <w:tc>
          <w:tcPr>
            <w:tcW w:w="720" w:type="dxa"/>
            <w:vAlign w:val="bottom"/>
          </w:tcPr>
          <w:p>
            <w:pPr>
              <w:jc w:val="right"/>
              <w:ind w:right="580"/>
              <w:spacing w:after="0"/>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5,097</w:t>
            </w:r>
          </w:p>
        </w:tc>
        <w:tc>
          <w:tcPr>
            <w:tcW w:w="960" w:type="dxa"/>
            <w:vAlign w:val="bottom"/>
            <w:gridSpan w:val="3"/>
          </w:tcPr>
          <w:p>
            <w:pPr>
              <w:jc w:val="right"/>
              <w:ind w:right="6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2,222</w:t>
            </w:r>
          </w:p>
        </w:tc>
        <w:tc>
          <w:tcPr>
            <w:tcW w:w="80" w:type="dxa"/>
            <w:vAlign w:val="bottom"/>
          </w:tcPr>
          <w:p>
            <w:pPr>
              <w:spacing w:after="0"/>
              <w:rPr>
                <w:sz w:val="13"/>
                <w:szCs w:val="13"/>
                <w:color w:val="auto"/>
              </w:rPr>
            </w:pPr>
          </w:p>
        </w:tc>
        <w:tc>
          <w:tcPr>
            <w:tcW w:w="360" w:type="dxa"/>
            <w:vAlign w:val="bottom"/>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2,875</w:t>
            </w:r>
          </w:p>
        </w:tc>
      </w:tr>
      <w:tr>
        <w:trPr>
          <w:trHeight w:val="153"/>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Effective tax rate</w:t>
            </w:r>
          </w:p>
        </w:tc>
        <w:tc>
          <w:tcPr>
            <w:tcW w:w="74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71.7 %</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135.1 %</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45.2 %</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201.3 %</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bl>
    <w:p>
      <w:pPr>
        <w:spacing w:after="0" w:line="187"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2"/>
          <w:szCs w:val="12"/>
          <w:color w:val="auto"/>
        </w:rPr>
        <w:t>We compute our interim period income tax expense or benefit by using a forecasted EAETR and adjust for any discrete items arising during the interim period and any changes in our projected full-year business interest expense and taxable income. The EAETR for 2024 is 41.0% and includes the income tax provision on pre-tax income and a tax provision related to establishment of a valuation allowance for deferred income tax on the future portion of the Section 163(j) limitation created by additional 2024 interest expense. The effective tax rate for 2024 changed primarily due to an increase in the valuation allowance against certain business interest carryover deferred tax assets.</w:t>
      </w:r>
    </w:p>
    <w:p>
      <w:pPr>
        <w:spacing w:after="0" w:line="119" w:lineRule="exact"/>
        <w:rPr>
          <w:sz w:val="20"/>
          <w:szCs w:val="20"/>
          <w:color w:val="auto"/>
        </w:rPr>
      </w:pPr>
    </w:p>
    <w:p>
      <w:pPr>
        <w:ind w:right="220"/>
        <w:spacing w:after="0" w:line="279" w:lineRule="auto"/>
        <w:rPr>
          <w:sz w:val="20"/>
          <w:szCs w:val="20"/>
          <w:color w:val="auto"/>
        </w:rPr>
      </w:pPr>
      <w:r>
        <w:rPr>
          <w:rFonts w:ascii="Times New Roman" w:cs="Times New Roman" w:eastAsia="Times New Roman" w:hAnsi="Times New Roman"/>
          <w:sz w:val="12"/>
          <w:szCs w:val="12"/>
          <w:color w:val="auto"/>
        </w:rPr>
        <w:t>Our consolidated effective income tax rates differ from the statutory rate due to timing and permanent differences between amounts calculated under GAAP and the U.S. tax code. The consolidated effective income tax rate for 2024 may not be indicative of our effective tax rate for future periods.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5" w:right="2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2"/>
          <w:szCs w:val="12"/>
          <w:b w:val="1"/>
          <w:bCs w:val="1"/>
          <w:color w:val="auto"/>
        </w:rPr>
        <w:t>Segment Results</w:t>
      </w:r>
    </w:p>
    <w:p>
      <w:pPr>
        <w:spacing w:after="0" w:line="154"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The CODM's review of segment performance and allocation of resources are based on the Adjusted EBITDA (a non-GAAP financial measure). Adjusted EBITDA at each segment level includes revenues of the segment, less costs of revenue (excluding depreciation and amortization) and operating expenses that are directly related those revenues. Operating overhead and shared costs are managed centrally and included in corporate segment.</w:t>
      </w:r>
    </w:p>
    <w:p>
      <w:pPr>
        <w:spacing w:after="0" w:line="111"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This non-GAAP financial measure helps to illustrate the underlying financial and business trends relating to results of operations of the Company and therefore used as a measure of segment profit or loss for the purposes of evaluation of segment performance and allocation of resources.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88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SMB Payments</w:t>
            </w: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315"/>
        </w:trPr>
        <w:tc>
          <w:tcPr>
            <w:tcW w:w="28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6"/>
          </w:tcPr>
          <w:p>
            <w:pPr>
              <w:jc w:val="right"/>
              <w:ind w:right="186"/>
              <w:spacing w:after="0"/>
              <w:rPr>
                <w:sz w:val="20"/>
                <w:szCs w:val="20"/>
                <w:color w:val="auto"/>
              </w:rPr>
            </w:pPr>
            <w:r>
              <w:rPr>
                <w:rFonts w:ascii="Times New Roman" w:cs="Times New Roman" w:eastAsia="Times New Roman" w:hAnsi="Times New Roman"/>
                <w:sz w:val="12"/>
                <w:szCs w:val="12"/>
                <w:b w:val="1"/>
                <w:bCs w:val="1"/>
                <w:color w:val="auto"/>
                <w:w w:val="99"/>
              </w:rPr>
              <w:t>Three Months Ended June 30,</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42"/>
        </w:trPr>
        <w:tc>
          <w:tcPr>
            <w:tcW w:w="28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2"/>
                <w:szCs w:val="12"/>
                <w:b w:val="1"/>
                <w:bCs w:val="1"/>
                <w:color w:val="242424"/>
              </w:rPr>
              <w:t>2024</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242424"/>
              </w:rPr>
              <w:t>2023</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242424"/>
              </w:rPr>
              <w:t>2024</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2"/>
                <w:szCs w:val="12"/>
                <w:b w:val="1"/>
                <w:bCs w:val="1"/>
                <w:color w:val="242424"/>
              </w:rPr>
              <w:t>2023</w:t>
            </w:r>
          </w:p>
        </w:tc>
        <w:tc>
          <w:tcPr>
            <w:tcW w:w="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Change</w:t>
            </w:r>
          </w:p>
        </w:tc>
      </w:tr>
      <w:tr>
        <w:trPr>
          <w:trHeight w:val="142"/>
        </w:trPr>
        <w:tc>
          <w:tcPr>
            <w:tcW w:w="288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2"/>
                <w:szCs w:val="12"/>
                <w:color w:val="auto"/>
              </w:rPr>
              <w:t>Revenues</w:t>
            </w:r>
          </w:p>
        </w:tc>
        <w:tc>
          <w:tcPr>
            <w:tcW w:w="3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155,101</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147,948</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7,153</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299,105</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302,881</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(3,776)</w:t>
            </w:r>
          </w:p>
        </w:tc>
      </w:tr>
      <w:tr>
        <w:trPr>
          <w:trHeight w:val="153"/>
        </w:trPr>
        <w:tc>
          <w:tcPr>
            <w:tcW w:w="28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Adjusted EBITDA</w:t>
            </w: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28,597</w:t>
            </w:r>
          </w:p>
        </w:tc>
        <w:tc>
          <w:tcPr>
            <w:tcW w:w="440" w:type="dxa"/>
            <w:vAlign w:val="bottom"/>
            <w:gridSpan w:val="3"/>
          </w:tcPr>
          <w:p>
            <w:pPr>
              <w:jc w:val="right"/>
              <w:ind w:right="186"/>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28,434</w:t>
            </w:r>
          </w:p>
        </w:tc>
        <w:tc>
          <w:tcPr>
            <w:tcW w:w="100" w:type="dxa"/>
            <w:vAlign w:val="bottom"/>
          </w:tcPr>
          <w:p>
            <w:pPr>
              <w:spacing w:after="0"/>
              <w:rPr>
                <w:sz w:val="13"/>
                <w:szCs w:val="13"/>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163</w:t>
            </w:r>
          </w:p>
        </w:tc>
        <w:tc>
          <w:tcPr>
            <w:tcW w:w="100" w:type="dxa"/>
            <w:vAlign w:val="bottom"/>
          </w:tcPr>
          <w:p>
            <w:pPr>
              <w:spacing w:after="0"/>
              <w:rPr>
                <w:sz w:val="13"/>
                <w:szCs w:val="13"/>
                <w:color w:val="auto"/>
              </w:rPr>
            </w:pP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53,620</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56,836</w:t>
            </w:r>
          </w:p>
        </w:tc>
        <w:tc>
          <w:tcPr>
            <w:tcW w:w="60" w:type="dxa"/>
            <w:vAlign w:val="bottom"/>
          </w:tcPr>
          <w:p>
            <w:pPr>
              <w:spacing w:after="0"/>
              <w:rPr>
                <w:sz w:val="13"/>
                <w:szCs w:val="13"/>
                <w:color w:val="auto"/>
              </w:rPr>
            </w:pP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(3,216)</w:t>
            </w:r>
          </w:p>
        </w:tc>
      </w:tr>
      <w:tr>
        <w:trPr>
          <w:trHeight w:val="153"/>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Key Indicators:</w:t>
            </w:r>
          </w:p>
        </w:tc>
        <w:tc>
          <w:tcPr>
            <w:tcW w:w="3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53"/>
        </w:trPr>
        <w:tc>
          <w:tcPr>
            <w:tcW w:w="28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Merchant bankcard processing dollar value</w:t>
            </w: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15,791,635</w:t>
            </w:r>
          </w:p>
        </w:tc>
        <w:tc>
          <w:tcPr>
            <w:tcW w:w="440" w:type="dxa"/>
            <w:vAlign w:val="bottom"/>
            <w:gridSpan w:val="3"/>
          </w:tcPr>
          <w:p>
            <w:pPr>
              <w:jc w:val="right"/>
              <w:ind w:right="186"/>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15,111,781</w:t>
            </w:r>
          </w:p>
        </w:tc>
        <w:tc>
          <w:tcPr>
            <w:tcW w:w="100" w:type="dxa"/>
            <w:vAlign w:val="bottom"/>
          </w:tcPr>
          <w:p>
            <w:pPr>
              <w:spacing w:after="0"/>
              <w:rPr>
                <w:sz w:val="13"/>
                <w:szCs w:val="13"/>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679,854</w:t>
            </w:r>
          </w:p>
        </w:tc>
        <w:tc>
          <w:tcPr>
            <w:tcW w:w="100" w:type="dxa"/>
            <w:vAlign w:val="bottom"/>
          </w:tcPr>
          <w:p>
            <w:pPr>
              <w:spacing w:after="0"/>
              <w:rPr>
                <w:sz w:val="13"/>
                <w:szCs w:val="13"/>
                <w:color w:val="auto"/>
              </w:rPr>
            </w:pP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30,579,730</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30,332,495</w:t>
            </w:r>
          </w:p>
        </w:tc>
        <w:tc>
          <w:tcPr>
            <w:tcW w:w="60" w:type="dxa"/>
            <w:vAlign w:val="bottom"/>
          </w:tcPr>
          <w:p>
            <w:pPr>
              <w:spacing w:after="0"/>
              <w:rPr>
                <w:sz w:val="13"/>
                <w:szCs w:val="13"/>
                <w:color w:val="auto"/>
              </w:rPr>
            </w:pP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247,235</w:t>
            </w:r>
          </w:p>
        </w:tc>
      </w:tr>
      <w:tr>
        <w:trPr>
          <w:trHeight w:val="153"/>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Merchant bankcard transaction count</w:t>
            </w:r>
          </w:p>
        </w:tc>
        <w:tc>
          <w:tcPr>
            <w:tcW w:w="3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193,841</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180,343</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13,498</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369,069</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343,749</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25,320</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Revenues</w:t>
      </w:r>
    </w:p>
    <w:p>
      <w:pPr>
        <w:spacing w:after="0" w:line="15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Revenue from our SMB Payments segment was $155.1 million for the three months ended June 30, 2024, compared to $147.9 million for the three months ended June 30, 2023. The increase of $7.2 million, or 4.8%, was primarily driven by increased transaction count and processed merchant bankcard dollar value. The Company's merchant card fee revenue from the SMB Payments segment ($150.7 million for 2024 and $143.5 million for 2023) as a percentage of merchant bankcard processing dollar value during 2024 remained consistent at 0.95%.</w:t>
      </w:r>
    </w:p>
    <w:p>
      <w:pPr>
        <w:spacing w:after="0" w:line="11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Revenue from our SMB Payments segment was $299.1 million for the six months ended June 30, 2024, compared to $302.9 million for the six months ended June 30, 2023. The decrease of $3.8 million, or 1.2%, was primarily driven by a decrease in certain incentives, decrease in rates as the Company's merchant card fee revenue from the SMB Payments segment ($290.5 million for 2024 and $292.2 million for 2023) as a percentage of merchant bankcard processing dollar value during 2024 decrease to 0.95% from 0.96% during 2023, mainly due to changes in merchant and card mix, and decrease in equipment revenue. These decreases are partially offset by additional revenue from increases in transaction count and processed merchant bankcard dollar value.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Adjusted EBITDA</w:t>
      </w:r>
    </w:p>
    <w:p>
      <w:pPr>
        <w:spacing w:after="0" w:line="150" w:lineRule="exact"/>
        <w:rPr>
          <w:sz w:val="20"/>
          <w:szCs w:val="20"/>
          <w:color w:val="auto"/>
        </w:rPr>
      </w:pPr>
    </w:p>
    <w:p>
      <w:pPr>
        <w:spacing w:after="0" w:line="327" w:lineRule="auto"/>
        <w:rPr>
          <w:sz w:val="20"/>
          <w:szCs w:val="20"/>
          <w:color w:val="auto"/>
        </w:rPr>
      </w:pPr>
      <w:r>
        <w:rPr>
          <w:rFonts w:ascii="Times New Roman" w:cs="Times New Roman" w:eastAsia="Times New Roman" w:hAnsi="Times New Roman"/>
          <w:sz w:val="11"/>
          <w:szCs w:val="11"/>
          <w:color w:val="auto"/>
        </w:rPr>
        <w:t>Adjusted EBITDA from our SMB Payments segment was $28.6 million for the three months ended June 30, 2024, compared to $28.4 million for the three months ended June 30, 2023. The increase of $0.2 million or 0.6% was primarily driven by increased merchant card fee revenue and $0.3 million decrease in selling, general and administrative expenses, offset by mix related margin compression and a $0.5 million increase in salaries and benefit expenses.</w:t>
      </w:r>
    </w:p>
    <w:p>
      <w:pPr>
        <w:spacing w:after="0" w:line="87"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2"/>
          <w:szCs w:val="12"/>
          <w:color w:val="auto"/>
        </w:rPr>
        <w:t>Adjusted EBITDA from our SMB Payments segment was $53.6 million for the six months ended June 30, 2024, compared to $56.8 million for the six months ended June 30, 2023. The decrease of $3.2 million or 5.7% was primarily driven by a decrease in certain incentive revenues and mix related margin compression. Other operating expenses of the segment remained consistent.</w:t>
      </w:r>
    </w:p>
    <w:p>
      <w:pPr>
        <w:spacing w:after="0" w:line="200" w:lineRule="exact"/>
        <w:rPr>
          <w:sz w:val="20"/>
          <w:szCs w:val="20"/>
          <w:color w:val="auto"/>
        </w:rPr>
      </w:pPr>
    </w:p>
    <w:p>
      <w:pPr>
        <w:spacing w:after="0" w:line="3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0"/>
          </w:cols>
          <w:pgMar w:left="300" w:top="1025" w:right="39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59"/>
        </w:trPr>
        <w:tc>
          <w:tcPr>
            <w:tcW w:w="288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B2B Payments</w:t>
            </w: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315"/>
        </w:trPr>
        <w:tc>
          <w:tcPr>
            <w:tcW w:w="28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8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6"/>
          </w:tcPr>
          <w:p>
            <w:pPr>
              <w:jc w:val="right"/>
              <w:ind w:right="186"/>
              <w:spacing w:after="0"/>
              <w:rPr>
                <w:sz w:val="20"/>
                <w:szCs w:val="20"/>
                <w:color w:val="auto"/>
              </w:rPr>
            </w:pPr>
            <w:r>
              <w:rPr>
                <w:rFonts w:ascii="Times New Roman" w:cs="Times New Roman" w:eastAsia="Times New Roman" w:hAnsi="Times New Roman"/>
                <w:sz w:val="12"/>
                <w:szCs w:val="12"/>
                <w:b w:val="1"/>
                <w:bCs w:val="1"/>
                <w:color w:val="auto"/>
                <w:w w:val="99"/>
              </w:rPr>
              <w:t>Three Months Ended June 30,</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42"/>
        </w:trPr>
        <w:tc>
          <w:tcPr>
            <w:tcW w:w="28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242424"/>
              </w:rPr>
              <w:t>2024</w:t>
            </w:r>
          </w:p>
        </w:tc>
        <w:tc>
          <w:tcPr>
            <w:tcW w:w="4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242424"/>
              </w:rPr>
              <w:t>2023</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1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242424"/>
              </w:rPr>
              <w:t>2024</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2"/>
                <w:szCs w:val="12"/>
                <w:b w:val="1"/>
                <w:bCs w:val="1"/>
                <w:color w:val="242424"/>
              </w:rPr>
              <w:t>2023</w:t>
            </w:r>
          </w:p>
        </w:tc>
        <w:tc>
          <w:tcPr>
            <w:tcW w:w="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Change</w:t>
            </w:r>
          </w:p>
        </w:tc>
      </w:tr>
      <w:tr>
        <w:trPr>
          <w:trHeight w:val="142"/>
        </w:trPr>
        <w:tc>
          <w:tcPr>
            <w:tcW w:w="288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2"/>
                <w:szCs w:val="12"/>
                <w:color w:val="auto"/>
              </w:rPr>
              <w:t>Revenues</w:t>
            </w:r>
          </w:p>
        </w:tc>
        <w:tc>
          <w:tcPr>
            <w:tcW w:w="840" w:type="dxa"/>
            <w:vAlign w:val="bottom"/>
            <w:shd w:val="clear" w:color="auto" w:fill="CCEEFF"/>
          </w:tcPr>
          <w:p>
            <w:pPr>
              <w:jc w:val="right"/>
              <w:ind w:right="700"/>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21,881</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2,974</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18,907</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70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43,225</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5,760</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37,465</w:t>
            </w:r>
          </w:p>
        </w:tc>
      </w:tr>
      <w:tr>
        <w:trPr>
          <w:trHeight w:val="153"/>
        </w:trPr>
        <w:tc>
          <w:tcPr>
            <w:tcW w:w="28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Adjusted EBITDA</w:t>
            </w:r>
          </w:p>
        </w:tc>
        <w:tc>
          <w:tcPr>
            <w:tcW w:w="840" w:type="dxa"/>
            <w:vAlign w:val="bottom"/>
          </w:tcPr>
          <w:p>
            <w:pPr>
              <w:jc w:val="right"/>
              <w:ind w:right="700"/>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1,530</w:t>
            </w:r>
          </w:p>
        </w:tc>
        <w:tc>
          <w:tcPr>
            <w:tcW w:w="440" w:type="dxa"/>
            <w:vAlign w:val="bottom"/>
            <w:gridSpan w:val="3"/>
          </w:tcPr>
          <w:p>
            <w:pPr>
              <w:jc w:val="right"/>
              <w:ind w:right="186"/>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608</w:t>
            </w:r>
          </w:p>
        </w:tc>
        <w:tc>
          <w:tcPr>
            <w:tcW w:w="100" w:type="dxa"/>
            <w:vAlign w:val="bottom"/>
          </w:tcPr>
          <w:p>
            <w:pPr>
              <w:spacing w:after="0"/>
              <w:rPr>
                <w:sz w:val="13"/>
                <w:szCs w:val="13"/>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922</w:t>
            </w:r>
          </w:p>
        </w:tc>
        <w:tc>
          <w:tcPr>
            <w:tcW w:w="100" w:type="dxa"/>
            <w:vAlign w:val="bottom"/>
          </w:tcPr>
          <w:p>
            <w:pPr>
              <w:spacing w:after="0"/>
              <w:rPr>
                <w:sz w:val="13"/>
                <w:szCs w:val="13"/>
                <w:color w:val="auto"/>
              </w:rPr>
            </w:pPr>
          </w:p>
        </w:tc>
        <w:tc>
          <w:tcPr>
            <w:tcW w:w="840" w:type="dxa"/>
            <w:vAlign w:val="bottom"/>
          </w:tcPr>
          <w:p>
            <w:pPr>
              <w:jc w:val="right"/>
              <w:ind w:right="70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3,276</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518</w:t>
            </w:r>
          </w:p>
        </w:tc>
        <w:tc>
          <w:tcPr>
            <w:tcW w:w="60" w:type="dxa"/>
            <w:vAlign w:val="bottom"/>
          </w:tcPr>
          <w:p>
            <w:pPr>
              <w:spacing w:after="0"/>
              <w:rPr>
                <w:sz w:val="13"/>
                <w:szCs w:val="13"/>
                <w:color w:val="auto"/>
              </w:rPr>
            </w:pP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2,758</w:t>
            </w:r>
          </w:p>
        </w:tc>
      </w:tr>
      <w:tr>
        <w:trPr>
          <w:trHeight w:val="171"/>
        </w:trPr>
        <w:tc>
          <w:tcPr>
            <w:tcW w:w="28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53"/>
        </w:trPr>
        <w:tc>
          <w:tcPr>
            <w:tcW w:w="28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Key Indicators:</w:t>
            </w: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53"/>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B2B issuing dollar volume</w:t>
            </w:r>
          </w:p>
        </w:tc>
        <w:tc>
          <w:tcPr>
            <w:tcW w:w="840" w:type="dxa"/>
            <w:vAlign w:val="bottom"/>
            <w:shd w:val="clear" w:color="auto" w:fill="CCEEFF"/>
          </w:tcPr>
          <w:p>
            <w:pPr>
              <w:jc w:val="right"/>
              <w:ind w:right="700"/>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249,454</w:t>
            </w:r>
          </w:p>
        </w:tc>
        <w:tc>
          <w:tcPr>
            <w:tcW w:w="440" w:type="dxa"/>
            <w:vAlign w:val="bottom"/>
            <w:gridSpan w:val="3"/>
            <w:shd w:val="clear" w:color="auto" w:fill="CCEEFF"/>
          </w:tcPr>
          <w:p>
            <w:pPr>
              <w:jc w:val="right"/>
              <w:ind w:right="186"/>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216,358</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33,096</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70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477,266</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414,904</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62,362</w:t>
            </w:r>
          </w:p>
        </w:tc>
      </w:tr>
      <w:tr>
        <w:trPr>
          <w:trHeight w:val="155"/>
        </w:trPr>
        <w:tc>
          <w:tcPr>
            <w:tcW w:w="28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B2B issuing transaction count</w:t>
            </w:r>
          </w:p>
        </w:tc>
        <w:tc>
          <w:tcPr>
            <w:tcW w:w="8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242</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282</w:t>
            </w:r>
          </w:p>
        </w:tc>
        <w:tc>
          <w:tcPr>
            <w:tcW w:w="100" w:type="dxa"/>
            <w:vAlign w:val="bottom"/>
          </w:tcPr>
          <w:p>
            <w:pPr>
              <w:spacing w:after="0"/>
              <w:rPr>
                <w:sz w:val="13"/>
                <w:szCs w:val="13"/>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(40)</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562</w:t>
            </w:r>
          </w:p>
        </w:tc>
        <w:tc>
          <w:tcPr>
            <w:tcW w:w="60" w:type="dxa"/>
            <w:vAlign w:val="bottom"/>
          </w:tcPr>
          <w:p>
            <w:pPr>
              <w:spacing w:after="0"/>
              <w:rPr>
                <w:sz w:val="13"/>
                <w:szCs w:val="13"/>
                <w:color w:val="auto"/>
              </w:rPr>
            </w:pP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(80)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Revenues</w:t>
      </w:r>
    </w:p>
    <w:p>
      <w:pPr>
        <w:spacing w:after="0" w:line="150" w:lineRule="exact"/>
        <w:rPr>
          <w:sz w:val="20"/>
          <w:szCs w:val="20"/>
          <w:color w:val="auto"/>
        </w:rPr>
      </w:pPr>
    </w:p>
    <w:p>
      <w:pPr>
        <w:ind w:right="360"/>
        <w:spacing w:after="0" w:line="279" w:lineRule="auto"/>
        <w:rPr>
          <w:sz w:val="20"/>
          <w:szCs w:val="20"/>
          <w:color w:val="auto"/>
        </w:rPr>
      </w:pPr>
      <w:r>
        <w:rPr>
          <w:rFonts w:ascii="Times New Roman" w:cs="Times New Roman" w:eastAsia="Times New Roman" w:hAnsi="Times New Roman"/>
          <w:sz w:val="12"/>
          <w:szCs w:val="12"/>
          <w:color w:val="auto"/>
        </w:rPr>
        <w:t>Revenue from our B2B Payments segment was $21.9 million for the three months ended June 30, 2024, compared to $3.0 million for the three months ended June 30, 2023. The increase of $18.9 million was primarily driven by revenue from the Plastiq business and growth in CPX business.</w:t>
      </w:r>
    </w:p>
    <w:p>
      <w:pPr>
        <w:spacing w:after="0" w:line="111"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2"/>
          <w:szCs w:val="12"/>
          <w:color w:val="auto"/>
        </w:rPr>
        <w:t>Revenue from our B2B Payments segment was $43.2 million for the six months ended June 30, 2024, compared to $5.8 million for the six months ended June 30, 2023. The increase of $37.5 million was primarily driven by revenue from the Plastiq business and growth in CPX business.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Adjusted EBITDA</w:t>
      </w:r>
    </w:p>
    <w:p>
      <w:pPr>
        <w:spacing w:after="0" w:line="150"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Adjusted EBITDA from our B2B Payments segment of $1.5 million for the three months ended June 30, 2024, compared to $0.6 million for the three months ended June 30, 2023. The increase in Adjusted EBITDA of $0.9 million was contributed by both CPX business for $0.2 million and Plastiq business for $0.7 million. The Plastiq business was acquired during Q3 2023.</w:t>
      </w:r>
    </w:p>
    <w:p>
      <w:pPr>
        <w:spacing w:after="0" w:line="111" w:lineRule="exact"/>
        <w:rPr>
          <w:sz w:val="20"/>
          <w:szCs w:val="20"/>
          <w:color w:val="auto"/>
        </w:rPr>
      </w:pPr>
    </w:p>
    <w:p>
      <w:pPr>
        <w:ind w:right="220"/>
        <w:spacing w:after="0" w:line="279" w:lineRule="auto"/>
        <w:rPr>
          <w:sz w:val="20"/>
          <w:szCs w:val="20"/>
          <w:color w:val="auto"/>
        </w:rPr>
      </w:pPr>
      <w:r>
        <w:rPr>
          <w:rFonts w:ascii="Times New Roman" w:cs="Times New Roman" w:eastAsia="Times New Roman" w:hAnsi="Times New Roman"/>
          <w:sz w:val="12"/>
          <w:szCs w:val="12"/>
          <w:color w:val="auto"/>
        </w:rPr>
        <w:t>Adjusted EBITDA from our B2B Payments segment of $3.3 million for the six months ended June 30, 2024, compared to $0.5 million for the six months ended June 30, 2023.The increase in Adjusted EBITDA of $2.8 million was contributed by both the CPX business for $1.6 million and the Plastiq business for $1.2 million. The Plastiq business was acquired during Q3 2023.</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88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Enterprise Payments</w:t>
            </w: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315"/>
        </w:trPr>
        <w:tc>
          <w:tcPr>
            <w:tcW w:w="28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8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6"/>
          </w:tcPr>
          <w:p>
            <w:pPr>
              <w:jc w:val="right"/>
              <w:ind w:right="186"/>
              <w:spacing w:after="0"/>
              <w:rPr>
                <w:sz w:val="20"/>
                <w:szCs w:val="20"/>
                <w:color w:val="auto"/>
              </w:rPr>
            </w:pPr>
            <w:r>
              <w:rPr>
                <w:rFonts w:ascii="Times New Roman" w:cs="Times New Roman" w:eastAsia="Times New Roman" w:hAnsi="Times New Roman"/>
                <w:sz w:val="12"/>
                <w:szCs w:val="12"/>
                <w:b w:val="1"/>
                <w:bCs w:val="1"/>
                <w:color w:val="auto"/>
                <w:w w:val="99"/>
              </w:rPr>
              <w:t>Three Months Ended June 30,</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42"/>
        </w:trPr>
        <w:tc>
          <w:tcPr>
            <w:tcW w:w="28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242424"/>
              </w:rPr>
              <w:t>2024</w:t>
            </w:r>
          </w:p>
        </w:tc>
        <w:tc>
          <w:tcPr>
            <w:tcW w:w="4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242424"/>
              </w:rPr>
              <w:t>2023</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1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242424"/>
              </w:rPr>
              <w:t>2024</w:t>
            </w: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2"/>
                <w:szCs w:val="12"/>
                <w:b w:val="1"/>
                <w:bCs w:val="1"/>
                <w:color w:val="242424"/>
              </w:rPr>
              <w:t>2023</w:t>
            </w:r>
          </w:p>
        </w:tc>
        <w:tc>
          <w:tcPr>
            <w:tcW w:w="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Change</w:t>
            </w:r>
          </w:p>
        </w:tc>
      </w:tr>
      <w:tr>
        <w:trPr>
          <w:trHeight w:val="142"/>
        </w:trPr>
        <w:tc>
          <w:tcPr>
            <w:tcW w:w="288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2"/>
                <w:szCs w:val="12"/>
                <w:color w:val="auto"/>
              </w:rPr>
              <w:t>Revenues</w:t>
            </w:r>
          </w:p>
        </w:tc>
        <w:tc>
          <w:tcPr>
            <w:tcW w:w="820" w:type="dxa"/>
            <w:vAlign w:val="bottom"/>
            <w:shd w:val="clear" w:color="auto" w:fill="CCEEFF"/>
          </w:tcPr>
          <w:p>
            <w:pPr>
              <w:jc w:val="right"/>
              <w:ind w:right="68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43,670</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31,438</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12,232</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680"/>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84,660</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58,744</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25,916</w:t>
            </w:r>
          </w:p>
        </w:tc>
      </w:tr>
      <w:tr>
        <w:trPr>
          <w:trHeight w:val="153"/>
        </w:trPr>
        <w:tc>
          <w:tcPr>
            <w:tcW w:w="28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Adjusted EBITDA</w:t>
            </w:r>
          </w:p>
        </w:tc>
        <w:tc>
          <w:tcPr>
            <w:tcW w:w="820" w:type="dxa"/>
            <w:vAlign w:val="bottom"/>
          </w:tcPr>
          <w:p>
            <w:pPr>
              <w:jc w:val="right"/>
              <w:ind w:right="68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37,244</w:t>
            </w:r>
          </w:p>
        </w:tc>
        <w:tc>
          <w:tcPr>
            <w:tcW w:w="440" w:type="dxa"/>
            <w:vAlign w:val="bottom"/>
            <w:gridSpan w:val="3"/>
          </w:tcPr>
          <w:p>
            <w:pPr>
              <w:jc w:val="right"/>
              <w:ind w:right="186"/>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25,728</w:t>
            </w:r>
          </w:p>
        </w:tc>
        <w:tc>
          <w:tcPr>
            <w:tcW w:w="100" w:type="dxa"/>
            <w:vAlign w:val="bottom"/>
          </w:tcPr>
          <w:p>
            <w:pPr>
              <w:spacing w:after="0"/>
              <w:rPr>
                <w:sz w:val="13"/>
                <w:szCs w:val="13"/>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11,516</w:t>
            </w:r>
          </w:p>
        </w:tc>
        <w:tc>
          <w:tcPr>
            <w:tcW w:w="100" w:type="dxa"/>
            <w:vAlign w:val="bottom"/>
          </w:tcPr>
          <w:p>
            <w:pPr>
              <w:spacing w:after="0"/>
              <w:rPr>
                <w:sz w:val="13"/>
                <w:szCs w:val="13"/>
                <w:color w:val="auto"/>
              </w:rPr>
            </w:pPr>
          </w:p>
        </w:tc>
        <w:tc>
          <w:tcPr>
            <w:tcW w:w="820" w:type="dxa"/>
            <w:vAlign w:val="bottom"/>
          </w:tcPr>
          <w:p>
            <w:pPr>
              <w:jc w:val="right"/>
              <w:ind w:right="680"/>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71,971</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48,096</w:t>
            </w:r>
          </w:p>
        </w:tc>
        <w:tc>
          <w:tcPr>
            <w:tcW w:w="60" w:type="dxa"/>
            <w:vAlign w:val="bottom"/>
          </w:tcPr>
          <w:p>
            <w:pPr>
              <w:spacing w:after="0"/>
              <w:rPr>
                <w:sz w:val="13"/>
                <w:szCs w:val="13"/>
                <w:color w:val="auto"/>
              </w:rPr>
            </w:pP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23,875</w:t>
            </w:r>
          </w:p>
        </w:tc>
      </w:tr>
      <w:tr>
        <w:trPr>
          <w:trHeight w:val="180"/>
        </w:trPr>
        <w:tc>
          <w:tcPr>
            <w:tcW w:w="28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53"/>
        </w:trPr>
        <w:tc>
          <w:tcPr>
            <w:tcW w:w="28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Key Indicators:</w:t>
            </w: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53"/>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Average billed clients</w:t>
            </w:r>
          </w:p>
        </w:tc>
        <w:tc>
          <w:tcPr>
            <w:tcW w:w="8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782,466</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520,028</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262,438</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753,531</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492,622</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260,909</w:t>
            </w:r>
          </w:p>
        </w:tc>
      </w:tr>
      <w:tr>
        <w:trPr>
          <w:trHeight w:val="155"/>
        </w:trPr>
        <w:tc>
          <w:tcPr>
            <w:tcW w:w="28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Average new enrollments</w:t>
            </w:r>
          </w:p>
        </w:tc>
        <w:tc>
          <w:tcPr>
            <w:tcW w:w="8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55,089</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53,374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1,715</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53,563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49,661</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3,902</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Revenues</w:t>
      </w:r>
    </w:p>
    <w:p>
      <w:pPr>
        <w:spacing w:after="0" w:line="150"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Revenue from our Enterprise Payments segment was $43.7 million for the three months ended June 30, 2024, compared to $31.4 million for the three months ended June 30, 2023. The increase of $12.2 million or 38.9%, was primarily driven by an increase in billed clients and customer enrollments, and growth in interest income due to higher interest rates and deposit balances.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016" w:right="339" w:bottom="1440" w:gutter="0" w:footer="0" w:header="0"/>
        </w:sectPr>
      </w:pPr>
    </w:p>
    <w:bookmarkStart w:id="37" w:name="page38"/>
    <w:bookmarkEnd w:id="37"/>
    <w:p>
      <w:pPr>
        <w:ind w:right="260"/>
        <w:spacing w:after="0" w:line="279" w:lineRule="auto"/>
        <w:rPr>
          <w:sz w:val="20"/>
          <w:szCs w:val="20"/>
          <w:color w:val="auto"/>
        </w:rPr>
      </w:pPr>
      <w:r>
        <w:rPr>
          <w:rFonts w:ascii="Times New Roman" w:cs="Times New Roman" w:eastAsia="Times New Roman" w:hAnsi="Times New Roman"/>
          <w:sz w:val="12"/>
          <w:szCs w:val="12"/>
          <w:color w:val="auto"/>
        </w:rPr>
        <w:t>Revenue from our Enterprise Payments segment was $84.7 million for the six months ended June 30, 2024, compared to $58.7 million for the six months ended June 30, 2023. The increase of $25.9 million or 44.1%, was primarily driven by an increase in billed clients and customer enrollments, and growth in interest income due to higher interest rates and deposit balances.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Adjusted EBITDA</w:t>
      </w:r>
    </w:p>
    <w:p>
      <w:pPr>
        <w:spacing w:after="0" w:line="150"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Adjusted EBITDA from our Enterprise Payments segment was $37.2 million for the three months ended June 30, 2024, compared to $25.7 million for the three months ended June 30, 2023. The increase of $11.5 million or 44.8%, was primarily driven by increases in revenues.</w:t>
      </w:r>
    </w:p>
    <w:p>
      <w:pPr>
        <w:spacing w:after="0" w:line="111"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2"/>
          <w:szCs w:val="12"/>
          <w:color w:val="auto"/>
        </w:rPr>
        <w:t>Adjusted EBITDA from our Enterprise Payments segment was $72.0 million for the six months ended June 30, 2024, compared to $48.1 million for the six months ended June 30, 2023. The increase of $23.9 million or 49.6%, was primarily driven by increases in revenues.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6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620" w:type="dxa"/>
            <w:vAlign w:val="bottom"/>
            <w:tcBorders>
              <w:bottom w:val="single" w:sz="8" w:color="auto"/>
            </w:tcBorders>
            <w:gridSpan w:val="8"/>
          </w:tcPr>
          <w:p>
            <w:pPr>
              <w:ind w:left="940"/>
              <w:spacing w:after="0"/>
              <w:rPr>
                <w:sz w:val="20"/>
                <w:szCs w:val="20"/>
                <w:color w:val="auto"/>
              </w:rPr>
            </w:pPr>
            <w:r>
              <w:rPr>
                <w:rFonts w:ascii="Times New Roman" w:cs="Times New Roman" w:eastAsia="Times New Roman" w:hAnsi="Times New Roman"/>
                <w:sz w:val="12"/>
                <w:szCs w:val="12"/>
                <w:b w:val="1"/>
                <w:bCs w:val="1"/>
                <w:color w:val="auto"/>
              </w:rPr>
              <w:t>Three Months Ended June 30, 2024</w:t>
            </w:r>
          </w:p>
        </w:tc>
        <w:tc>
          <w:tcPr>
            <w:tcW w:w="1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4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SMB Payments</w:t>
            </w:r>
          </w:p>
        </w:tc>
        <w:tc>
          <w:tcPr>
            <w:tcW w:w="220" w:type="dxa"/>
            <w:vAlign w:val="bottom"/>
          </w:tcPr>
          <w:p>
            <w:pPr>
              <w:spacing w:after="0"/>
              <w:rPr>
                <w:sz w:val="9"/>
                <w:szCs w:val="9"/>
                <w:color w:val="auto"/>
              </w:rPr>
            </w:pPr>
          </w:p>
        </w:tc>
        <w:tc>
          <w:tcPr>
            <w:tcW w:w="1060" w:type="dxa"/>
            <w:vAlign w:val="bottom"/>
            <w:gridSpan w:val="2"/>
          </w:tcPr>
          <w:p>
            <w:pPr>
              <w:jc w:val="center"/>
              <w:ind w:right="280"/>
              <w:spacing w:after="0" w:line="106" w:lineRule="exact"/>
              <w:rPr>
                <w:sz w:val="20"/>
                <w:szCs w:val="20"/>
                <w:color w:val="auto"/>
              </w:rPr>
            </w:pPr>
            <w:r>
              <w:rPr>
                <w:rFonts w:ascii="Times New Roman" w:cs="Times New Roman" w:eastAsia="Times New Roman" w:hAnsi="Times New Roman"/>
                <w:sz w:val="12"/>
                <w:szCs w:val="12"/>
                <w:b w:val="1"/>
                <w:bCs w:val="1"/>
                <w:color w:val="auto"/>
                <w:w w:val="99"/>
              </w:rPr>
              <w:t>B2B</w:t>
            </w: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Enterprise Payments</w:t>
            </w:r>
          </w:p>
        </w:tc>
        <w:tc>
          <w:tcPr>
            <w:tcW w:w="200" w:type="dxa"/>
            <w:vAlign w:val="bottom"/>
          </w:tcPr>
          <w:p>
            <w:pPr>
              <w:spacing w:after="0"/>
              <w:rPr>
                <w:sz w:val="9"/>
                <w:szCs w:val="9"/>
                <w:color w:val="auto"/>
              </w:rPr>
            </w:pP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180" w:type="dxa"/>
            <w:vAlign w:val="bottom"/>
          </w:tcPr>
          <w:p>
            <w:pPr>
              <w:spacing w:after="0"/>
              <w:rPr>
                <w:sz w:val="9"/>
                <w:szCs w:val="9"/>
                <w:color w:val="auto"/>
              </w:rPr>
            </w:pPr>
          </w:p>
        </w:tc>
        <w:tc>
          <w:tcPr>
            <w:tcW w:w="1400" w:type="dxa"/>
            <w:vAlign w:val="bottom"/>
            <w:vMerge w:val="restart"/>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Total Consolidated</w:t>
            </w:r>
          </w:p>
        </w:tc>
        <w:tc>
          <w:tcPr>
            <w:tcW w:w="0" w:type="dxa"/>
            <w:vAlign w:val="bottom"/>
          </w:tcPr>
          <w:p>
            <w:pPr>
              <w:spacing w:after="0"/>
              <w:rPr>
                <w:sz w:val="1"/>
                <w:szCs w:val="1"/>
                <w:color w:val="auto"/>
              </w:rPr>
            </w:pPr>
          </w:p>
        </w:tc>
      </w:tr>
      <w:tr>
        <w:trPr>
          <w:trHeight w:val="162"/>
        </w:trPr>
        <w:tc>
          <w:tcPr>
            <w:tcW w:w="460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Payments</w:t>
            </w: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6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Reconciliation of Adjusted EBITDA to GAAP Measure</w:t>
            </w:r>
          </w:p>
        </w:tc>
        <w:tc>
          <w:tcPr>
            <w:tcW w:w="14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4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600" w:type="dxa"/>
            <w:vAlign w:val="bottom"/>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28,597</w:t>
            </w:r>
          </w:p>
        </w:tc>
        <w:tc>
          <w:tcPr>
            <w:tcW w:w="8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1,530</w:t>
            </w:r>
          </w:p>
        </w:tc>
        <w:tc>
          <w:tcPr>
            <w:tcW w:w="80" w:type="dxa"/>
            <w:vAlign w:val="bottom"/>
          </w:tcPr>
          <w:p>
            <w:pPr>
              <w:spacing w:after="0"/>
              <w:rPr>
                <w:sz w:val="13"/>
                <w:szCs w:val="13"/>
                <w:color w:val="auto"/>
              </w:rPr>
            </w:pPr>
          </w:p>
        </w:tc>
        <w:tc>
          <w:tcPr>
            <w:tcW w:w="440" w:type="dxa"/>
            <w:vAlign w:val="bottom"/>
          </w:tcPr>
          <w:p>
            <w:pPr>
              <w:jc w:val="right"/>
              <w:ind w:right="32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37,244</w:t>
            </w:r>
          </w:p>
        </w:tc>
        <w:tc>
          <w:tcPr>
            <w:tcW w:w="80" w:type="dxa"/>
            <w:vAlign w:val="bottom"/>
          </w:tcPr>
          <w:p>
            <w:pPr>
              <w:spacing w:after="0"/>
              <w:rPr>
                <w:sz w:val="13"/>
                <w:szCs w:val="13"/>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(15,820)</w:t>
            </w:r>
          </w:p>
        </w:tc>
        <w:tc>
          <w:tcPr>
            <w:tcW w:w="80" w:type="dxa"/>
            <w:vAlign w:val="bottom"/>
          </w:tcPr>
          <w:p>
            <w:pPr>
              <w:spacing w:after="0"/>
              <w:rPr>
                <w:sz w:val="13"/>
                <w:szCs w:val="13"/>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51,551</w:t>
            </w:r>
          </w:p>
        </w:tc>
        <w:tc>
          <w:tcPr>
            <w:tcW w:w="0" w:type="dxa"/>
            <w:vAlign w:val="bottom"/>
          </w:tcPr>
          <w:p>
            <w:pPr>
              <w:spacing w:after="0"/>
              <w:rPr>
                <w:sz w:val="1"/>
                <w:szCs w:val="1"/>
                <w:color w:val="auto"/>
              </w:rPr>
            </w:pPr>
          </w:p>
        </w:tc>
      </w:tr>
      <w:tr>
        <w:trPr>
          <w:trHeight w:val="153"/>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1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(1,241)</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(20,469)</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(21,710)</w:t>
            </w:r>
          </w:p>
        </w:tc>
        <w:tc>
          <w:tcPr>
            <w:tcW w:w="0" w:type="dxa"/>
            <w:vAlign w:val="bottom"/>
          </w:tcPr>
          <w:p>
            <w:pPr>
              <w:spacing w:after="0"/>
              <w:rPr>
                <w:sz w:val="1"/>
                <w:szCs w:val="1"/>
                <w:color w:val="auto"/>
              </w:rPr>
            </w:pPr>
          </w:p>
        </w:tc>
      </w:tr>
      <w:tr>
        <w:trPr>
          <w:trHeight w:val="153"/>
        </w:trPr>
        <w:tc>
          <w:tcPr>
            <w:tcW w:w="460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(8,541)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(1,261)</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(4,087)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(15,244)</w:t>
            </w:r>
          </w:p>
        </w:tc>
        <w:tc>
          <w:tcPr>
            <w:tcW w:w="0" w:type="dxa"/>
            <w:vAlign w:val="bottom"/>
          </w:tcPr>
          <w:p>
            <w:pPr>
              <w:spacing w:after="0"/>
              <w:rPr>
                <w:sz w:val="1"/>
                <w:szCs w:val="1"/>
                <w:color w:val="auto"/>
              </w:rPr>
            </w:pPr>
          </w:p>
        </w:tc>
      </w:tr>
      <w:tr>
        <w:trPr>
          <w:trHeight w:val="153"/>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Debt modification and extinguishment expenses</w:t>
            </w:r>
          </w:p>
        </w:tc>
        <w:tc>
          <w:tcPr>
            <w:tcW w:w="1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(8,623)</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(8,623)</w:t>
            </w:r>
          </w:p>
        </w:tc>
        <w:tc>
          <w:tcPr>
            <w:tcW w:w="0" w:type="dxa"/>
            <w:vAlign w:val="bottom"/>
          </w:tcPr>
          <w:p>
            <w:pPr>
              <w:spacing w:after="0"/>
              <w:rPr>
                <w:sz w:val="1"/>
                <w:szCs w:val="1"/>
                <w:color w:val="auto"/>
              </w:rPr>
            </w:pPr>
          </w:p>
        </w:tc>
      </w:tr>
      <w:tr>
        <w:trPr>
          <w:trHeight w:val="153"/>
        </w:trPr>
        <w:tc>
          <w:tcPr>
            <w:tcW w:w="460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tc>
        <w:tc>
          <w:tcPr>
            <w:tcW w:w="14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(636)</w:t>
            </w:r>
          </w:p>
        </w:tc>
        <w:tc>
          <w:tcPr>
            <w:tcW w:w="0" w:type="dxa"/>
            <w:vAlign w:val="bottom"/>
          </w:tcPr>
          <w:p>
            <w:pPr>
              <w:spacing w:after="0"/>
              <w:rPr>
                <w:sz w:val="1"/>
                <w:szCs w:val="1"/>
                <w:color w:val="auto"/>
              </w:rPr>
            </w:pPr>
          </w:p>
        </w:tc>
      </w:tr>
      <w:tr>
        <w:trPr>
          <w:trHeight w:val="153"/>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Non-cash stock based compensation</w:t>
            </w:r>
          </w:p>
        </w:tc>
        <w:tc>
          <w:tcPr>
            <w:tcW w:w="1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w:t>
            </w:r>
          </w:p>
        </w:tc>
        <w:tc>
          <w:tcPr>
            <w:tcW w:w="8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(1,684)</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(1,829)</w:t>
            </w:r>
          </w:p>
        </w:tc>
        <w:tc>
          <w:tcPr>
            <w:tcW w:w="0" w:type="dxa"/>
            <w:vAlign w:val="bottom"/>
          </w:tcPr>
          <w:p>
            <w:pPr>
              <w:spacing w:after="0"/>
              <w:rPr>
                <w:sz w:val="1"/>
                <w:szCs w:val="1"/>
                <w:color w:val="auto"/>
              </w:rPr>
            </w:pPr>
          </w:p>
        </w:tc>
      </w:tr>
      <w:tr>
        <w:trPr>
          <w:trHeight w:val="142"/>
        </w:trPr>
        <w:tc>
          <w:tcPr>
            <w:tcW w:w="4600" w:type="dxa"/>
            <w:vAlign w:val="bottom"/>
          </w:tcPr>
          <w:p>
            <w:pPr>
              <w:spacing w:after="0"/>
              <w:rPr>
                <w:sz w:val="20"/>
                <w:szCs w:val="20"/>
                <w:color w:val="auto"/>
              </w:rPr>
            </w:pPr>
            <w:r>
              <w:rPr>
                <w:rFonts w:ascii="Times New Roman" w:cs="Times New Roman" w:eastAsia="Times New Roman" w:hAnsi="Times New Roman"/>
                <w:sz w:val="12"/>
                <w:szCs w:val="12"/>
                <w:color w:val="auto"/>
              </w:rPr>
              <w:t>Income (loss) before taxes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20,052</w:t>
            </w:r>
          </w:p>
        </w:tc>
        <w:tc>
          <w:tcPr>
            <w:tcW w:w="80" w:type="dxa"/>
            <w:vAlign w:val="bottom"/>
          </w:tcPr>
          <w:p>
            <w:pPr>
              <w:spacing w:after="0"/>
              <w:rPr>
                <w:sz w:val="12"/>
                <w:szCs w:val="12"/>
                <w:color w:val="auto"/>
              </w:rPr>
            </w:pP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(1,081)</w:t>
            </w:r>
          </w:p>
        </w:tc>
        <w:tc>
          <w:tcPr>
            <w:tcW w:w="80" w:type="dxa"/>
            <w:vAlign w:val="bottom"/>
          </w:tcPr>
          <w:p>
            <w:pPr>
              <w:spacing w:after="0"/>
              <w:rPr>
                <w:sz w:val="12"/>
                <w:szCs w:val="12"/>
                <w:color w:val="auto"/>
              </w:rPr>
            </w:pPr>
          </w:p>
        </w:tc>
        <w:tc>
          <w:tcPr>
            <w:tcW w:w="44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33,125</w:t>
            </w:r>
          </w:p>
        </w:tc>
        <w:tc>
          <w:tcPr>
            <w:tcW w:w="80" w:type="dxa"/>
            <w:vAlign w:val="bottom"/>
          </w:tcPr>
          <w:p>
            <w:pPr>
              <w:spacing w:after="0"/>
              <w:rPr>
                <w:sz w:val="12"/>
                <w:szCs w:val="12"/>
                <w:color w:val="auto"/>
              </w:rPr>
            </w:pPr>
          </w:p>
        </w:tc>
        <w:tc>
          <w:tcPr>
            <w:tcW w:w="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(48,587)</w:t>
            </w:r>
          </w:p>
        </w:tc>
        <w:tc>
          <w:tcPr>
            <w:tcW w:w="80" w:type="dxa"/>
            <w:vAlign w:val="bottom"/>
          </w:tcPr>
          <w:p>
            <w:pPr>
              <w:spacing w:after="0"/>
              <w:rPr>
                <w:sz w:val="12"/>
                <w:szCs w:val="12"/>
                <w:color w:val="auto"/>
              </w:rPr>
            </w:pP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3,509</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6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620" w:type="dxa"/>
            <w:vAlign w:val="bottom"/>
            <w:tcBorders>
              <w:bottom w:val="single" w:sz="8" w:color="auto"/>
            </w:tcBorders>
            <w:gridSpan w:val="8"/>
          </w:tcPr>
          <w:p>
            <w:pPr>
              <w:ind w:left="940"/>
              <w:spacing w:after="0"/>
              <w:rPr>
                <w:sz w:val="20"/>
                <w:szCs w:val="20"/>
                <w:color w:val="auto"/>
              </w:rPr>
            </w:pPr>
            <w:r>
              <w:rPr>
                <w:rFonts w:ascii="Times New Roman" w:cs="Times New Roman" w:eastAsia="Times New Roman" w:hAnsi="Times New Roman"/>
                <w:sz w:val="12"/>
                <w:szCs w:val="12"/>
                <w:b w:val="1"/>
                <w:bCs w:val="1"/>
                <w:color w:val="auto"/>
              </w:rPr>
              <w:t>Three Months Ended June 30, 2023</w:t>
            </w:r>
          </w:p>
        </w:tc>
        <w:tc>
          <w:tcPr>
            <w:tcW w:w="1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4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SMB Payments</w:t>
            </w:r>
          </w:p>
        </w:tc>
        <w:tc>
          <w:tcPr>
            <w:tcW w:w="220" w:type="dxa"/>
            <w:vAlign w:val="bottom"/>
          </w:tcPr>
          <w:p>
            <w:pPr>
              <w:spacing w:after="0"/>
              <w:rPr>
                <w:sz w:val="9"/>
                <w:szCs w:val="9"/>
                <w:color w:val="auto"/>
              </w:rPr>
            </w:pPr>
          </w:p>
        </w:tc>
        <w:tc>
          <w:tcPr>
            <w:tcW w:w="1060" w:type="dxa"/>
            <w:vAlign w:val="bottom"/>
            <w:gridSpan w:val="2"/>
          </w:tcPr>
          <w:p>
            <w:pPr>
              <w:jc w:val="center"/>
              <w:ind w:right="280"/>
              <w:spacing w:after="0" w:line="106" w:lineRule="exact"/>
              <w:rPr>
                <w:sz w:val="20"/>
                <w:szCs w:val="20"/>
                <w:color w:val="auto"/>
              </w:rPr>
            </w:pPr>
            <w:r>
              <w:rPr>
                <w:rFonts w:ascii="Times New Roman" w:cs="Times New Roman" w:eastAsia="Times New Roman" w:hAnsi="Times New Roman"/>
                <w:sz w:val="12"/>
                <w:szCs w:val="12"/>
                <w:b w:val="1"/>
                <w:bCs w:val="1"/>
                <w:color w:val="auto"/>
                <w:w w:val="99"/>
              </w:rPr>
              <w:t>B2B</w:t>
            </w: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Enterprise Payments</w:t>
            </w:r>
          </w:p>
        </w:tc>
        <w:tc>
          <w:tcPr>
            <w:tcW w:w="200" w:type="dxa"/>
            <w:vAlign w:val="bottom"/>
          </w:tcPr>
          <w:p>
            <w:pPr>
              <w:spacing w:after="0"/>
              <w:rPr>
                <w:sz w:val="9"/>
                <w:szCs w:val="9"/>
                <w:color w:val="auto"/>
              </w:rPr>
            </w:pP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180" w:type="dxa"/>
            <w:vAlign w:val="bottom"/>
          </w:tcPr>
          <w:p>
            <w:pPr>
              <w:spacing w:after="0"/>
              <w:rPr>
                <w:sz w:val="9"/>
                <w:szCs w:val="9"/>
                <w:color w:val="auto"/>
              </w:rPr>
            </w:pPr>
          </w:p>
        </w:tc>
        <w:tc>
          <w:tcPr>
            <w:tcW w:w="1400" w:type="dxa"/>
            <w:vAlign w:val="bottom"/>
            <w:vMerge w:val="restart"/>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Total Consolidated</w:t>
            </w:r>
          </w:p>
        </w:tc>
        <w:tc>
          <w:tcPr>
            <w:tcW w:w="0" w:type="dxa"/>
            <w:vAlign w:val="bottom"/>
          </w:tcPr>
          <w:p>
            <w:pPr>
              <w:spacing w:after="0"/>
              <w:rPr>
                <w:sz w:val="1"/>
                <w:szCs w:val="1"/>
                <w:color w:val="auto"/>
              </w:rPr>
            </w:pPr>
          </w:p>
        </w:tc>
      </w:tr>
      <w:tr>
        <w:trPr>
          <w:trHeight w:val="162"/>
        </w:trPr>
        <w:tc>
          <w:tcPr>
            <w:tcW w:w="460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Payments</w:t>
            </w: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6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Reconciliation of Adjusted EBITDA to GAAP Measure</w:t>
            </w:r>
          </w:p>
        </w:tc>
        <w:tc>
          <w:tcPr>
            <w:tcW w:w="14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4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600" w:type="dxa"/>
            <w:vAlign w:val="bottom"/>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28,434</w:t>
            </w:r>
          </w:p>
        </w:tc>
        <w:tc>
          <w:tcPr>
            <w:tcW w:w="8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608</w:t>
            </w:r>
          </w:p>
        </w:tc>
        <w:tc>
          <w:tcPr>
            <w:tcW w:w="80" w:type="dxa"/>
            <w:vAlign w:val="bottom"/>
          </w:tcPr>
          <w:p>
            <w:pPr>
              <w:spacing w:after="0"/>
              <w:rPr>
                <w:sz w:val="13"/>
                <w:szCs w:val="13"/>
                <w:color w:val="auto"/>
              </w:rPr>
            </w:pPr>
          </w:p>
        </w:tc>
        <w:tc>
          <w:tcPr>
            <w:tcW w:w="440" w:type="dxa"/>
            <w:vAlign w:val="bottom"/>
          </w:tcPr>
          <w:p>
            <w:pPr>
              <w:jc w:val="right"/>
              <w:ind w:right="32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25,728</w:t>
            </w:r>
          </w:p>
        </w:tc>
        <w:tc>
          <w:tcPr>
            <w:tcW w:w="80" w:type="dxa"/>
            <w:vAlign w:val="bottom"/>
          </w:tcPr>
          <w:p>
            <w:pPr>
              <w:spacing w:after="0"/>
              <w:rPr>
                <w:sz w:val="13"/>
                <w:szCs w:val="13"/>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(13,677)</w:t>
            </w:r>
          </w:p>
        </w:tc>
        <w:tc>
          <w:tcPr>
            <w:tcW w:w="80" w:type="dxa"/>
            <w:vAlign w:val="bottom"/>
          </w:tcPr>
          <w:p>
            <w:pPr>
              <w:spacing w:after="0"/>
              <w:rPr>
                <w:sz w:val="13"/>
                <w:szCs w:val="13"/>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41,093</w:t>
            </w:r>
          </w:p>
        </w:tc>
        <w:tc>
          <w:tcPr>
            <w:tcW w:w="0" w:type="dxa"/>
            <w:vAlign w:val="bottom"/>
          </w:tcPr>
          <w:p>
            <w:pPr>
              <w:spacing w:after="0"/>
              <w:rPr>
                <w:sz w:val="1"/>
                <w:szCs w:val="1"/>
                <w:color w:val="auto"/>
              </w:rPr>
            </w:pPr>
          </w:p>
        </w:tc>
      </w:tr>
      <w:tr>
        <w:trPr>
          <w:trHeight w:val="153"/>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1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(17,648)</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(17,765)</w:t>
            </w:r>
          </w:p>
        </w:tc>
        <w:tc>
          <w:tcPr>
            <w:tcW w:w="0" w:type="dxa"/>
            <w:vAlign w:val="bottom"/>
          </w:tcPr>
          <w:p>
            <w:pPr>
              <w:spacing w:after="0"/>
              <w:rPr>
                <w:sz w:val="1"/>
                <w:szCs w:val="1"/>
                <w:color w:val="auto"/>
              </w:rPr>
            </w:pPr>
          </w:p>
        </w:tc>
      </w:tr>
      <w:tr>
        <w:trPr>
          <w:trHeight w:val="153"/>
        </w:trPr>
        <w:tc>
          <w:tcPr>
            <w:tcW w:w="460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(9,151)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(6,319)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(2,493)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(17,980)</w:t>
            </w:r>
          </w:p>
        </w:tc>
        <w:tc>
          <w:tcPr>
            <w:tcW w:w="0" w:type="dxa"/>
            <w:vAlign w:val="bottom"/>
          </w:tcPr>
          <w:p>
            <w:pPr>
              <w:spacing w:after="0"/>
              <w:rPr>
                <w:sz w:val="1"/>
                <w:szCs w:val="1"/>
                <w:color w:val="auto"/>
              </w:rPr>
            </w:pPr>
          </w:p>
        </w:tc>
      </w:tr>
      <w:tr>
        <w:trPr>
          <w:trHeight w:val="153"/>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tc>
        <w:tc>
          <w:tcPr>
            <w:tcW w:w="1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(1,859)</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(1,859)</w:t>
            </w:r>
          </w:p>
        </w:tc>
        <w:tc>
          <w:tcPr>
            <w:tcW w:w="0" w:type="dxa"/>
            <w:vAlign w:val="bottom"/>
          </w:tcPr>
          <w:p>
            <w:pPr>
              <w:spacing w:after="0"/>
              <w:rPr>
                <w:sz w:val="1"/>
                <w:szCs w:val="1"/>
                <w:color w:val="auto"/>
              </w:rPr>
            </w:pPr>
          </w:p>
        </w:tc>
      </w:tr>
      <w:tr>
        <w:trPr>
          <w:trHeight w:val="153"/>
        </w:trPr>
        <w:tc>
          <w:tcPr>
            <w:tcW w:w="4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Non-cash stock based compensation</w:t>
            </w: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(112)</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(1,562)</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(1,746)</w:t>
            </w:r>
          </w:p>
        </w:tc>
        <w:tc>
          <w:tcPr>
            <w:tcW w:w="0" w:type="dxa"/>
            <w:vAlign w:val="bottom"/>
          </w:tcPr>
          <w:p>
            <w:pPr>
              <w:spacing w:after="0"/>
              <w:rPr>
                <w:sz w:val="1"/>
                <w:szCs w:val="1"/>
                <w:color w:val="auto"/>
              </w:rPr>
            </w:pPr>
          </w:p>
        </w:tc>
      </w:tr>
      <w:tr>
        <w:trPr>
          <w:trHeight w:val="158"/>
        </w:trPr>
        <w:tc>
          <w:tcPr>
            <w:tcW w:w="4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(loss) before taxes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19,171</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584</w:t>
            </w:r>
          </w:p>
        </w:tc>
        <w:tc>
          <w:tcPr>
            <w:tcW w:w="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32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19,227</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(37,239)</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9" w:right="29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59"/>
        </w:trPr>
        <w:tc>
          <w:tcPr>
            <w:tcW w:w="46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2"/>
                <w:szCs w:val="12"/>
                <w:b w:val="1"/>
                <w:bCs w:val="1"/>
                <w:color w:val="auto"/>
              </w:rPr>
              <w:t>Six Months Ended June 30, 2024</w:t>
            </w:r>
          </w:p>
        </w:tc>
        <w:tc>
          <w:tcPr>
            <w:tcW w:w="1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4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SMB Payments</w:t>
            </w:r>
          </w:p>
        </w:tc>
        <w:tc>
          <w:tcPr>
            <w:tcW w:w="220" w:type="dxa"/>
            <w:vAlign w:val="bottom"/>
          </w:tcPr>
          <w:p>
            <w:pPr>
              <w:spacing w:after="0"/>
              <w:rPr>
                <w:sz w:val="9"/>
                <w:szCs w:val="9"/>
                <w:color w:val="auto"/>
              </w:rPr>
            </w:pPr>
          </w:p>
        </w:tc>
        <w:tc>
          <w:tcPr>
            <w:tcW w:w="980" w:type="dxa"/>
            <w:vAlign w:val="bottom"/>
          </w:tcPr>
          <w:p>
            <w:pPr>
              <w:jc w:val="right"/>
              <w:ind w:right="420"/>
              <w:spacing w:after="0" w:line="106" w:lineRule="exact"/>
              <w:rPr>
                <w:sz w:val="20"/>
                <w:szCs w:val="20"/>
                <w:color w:val="auto"/>
              </w:rPr>
            </w:pPr>
            <w:r>
              <w:rPr>
                <w:rFonts w:ascii="Times New Roman" w:cs="Times New Roman" w:eastAsia="Times New Roman" w:hAnsi="Times New Roman"/>
                <w:sz w:val="12"/>
                <w:szCs w:val="12"/>
                <w:b w:val="1"/>
                <w:bCs w:val="1"/>
                <w:color w:val="auto"/>
              </w:rPr>
              <w:t>B2B</w:t>
            </w:r>
          </w:p>
        </w:tc>
        <w:tc>
          <w:tcPr>
            <w:tcW w:w="80" w:type="dxa"/>
            <w:vAlign w:val="bottom"/>
          </w:tcPr>
          <w:p>
            <w:pPr>
              <w:spacing w:after="0"/>
              <w:rPr>
                <w:sz w:val="9"/>
                <w:szCs w:val="9"/>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Enterprise Payments</w:t>
            </w:r>
          </w:p>
        </w:tc>
        <w:tc>
          <w:tcPr>
            <w:tcW w:w="200" w:type="dxa"/>
            <w:vAlign w:val="bottom"/>
          </w:tcPr>
          <w:p>
            <w:pPr>
              <w:spacing w:after="0"/>
              <w:rPr>
                <w:sz w:val="9"/>
                <w:szCs w:val="9"/>
                <w:color w:val="auto"/>
              </w:rPr>
            </w:pP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180" w:type="dxa"/>
            <w:vAlign w:val="bottom"/>
          </w:tcPr>
          <w:p>
            <w:pPr>
              <w:spacing w:after="0"/>
              <w:rPr>
                <w:sz w:val="9"/>
                <w:szCs w:val="9"/>
                <w:color w:val="auto"/>
              </w:rPr>
            </w:pPr>
          </w:p>
        </w:tc>
        <w:tc>
          <w:tcPr>
            <w:tcW w:w="1400" w:type="dxa"/>
            <w:vAlign w:val="bottom"/>
            <w:vMerge w:val="restart"/>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Total Consolidated</w:t>
            </w:r>
          </w:p>
        </w:tc>
        <w:tc>
          <w:tcPr>
            <w:tcW w:w="0" w:type="dxa"/>
            <w:vAlign w:val="bottom"/>
          </w:tcPr>
          <w:p>
            <w:pPr>
              <w:spacing w:after="0"/>
              <w:rPr>
                <w:sz w:val="1"/>
                <w:szCs w:val="1"/>
                <w:color w:val="auto"/>
              </w:rPr>
            </w:pPr>
          </w:p>
        </w:tc>
      </w:tr>
      <w:tr>
        <w:trPr>
          <w:trHeight w:val="162"/>
        </w:trPr>
        <w:tc>
          <w:tcPr>
            <w:tcW w:w="460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Payments</w:t>
            </w:r>
          </w:p>
        </w:tc>
        <w:tc>
          <w:tcPr>
            <w:tcW w:w="8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6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Reconciliation of Adjusted EBITDA to GAAP Measure</w:t>
            </w:r>
          </w:p>
        </w:tc>
        <w:tc>
          <w:tcPr>
            <w:tcW w:w="14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4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600" w:type="dxa"/>
            <w:vAlign w:val="bottom"/>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53,620</w:t>
            </w:r>
          </w:p>
        </w:tc>
        <w:tc>
          <w:tcPr>
            <w:tcW w:w="8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3,276</w:t>
            </w:r>
          </w:p>
        </w:tc>
        <w:tc>
          <w:tcPr>
            <w:tcW w:w="520" w:type="dxa"/>
            <w:vAlign w:val="bottom"/>
            <w:gridSpan w:val="2"/>
          </w:tcPr>
          <w:p>
            <w:pPr>
              <w:jc w:val="right"/>
              <w:ind w:right="323"/>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71,971</w:t>
            </w:r>
          </w:p>
        </w:tc>
        <w:tc>
          <w:tcPr>
            <w:tcW w:w="80" w:type="dxa"/>
            <w:vAlign w:val="bottom"/>
          </w:tcPr>
          <w:p>
            <w:pPr>
              <w:spacing w:after="0"/>
              <w:rPr>
                <w:sz w:val="13"/>
                <w:szCs w:val="13"/>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(30,976)</w:t>
            </w:r>
          </w:p>
        </w:tc>
        <w:tc>
          <w:tcPr>
            <w:tcW w:w="80" w:type="dxa"/>
            <w:vAlign w:val="bottom"/>
          </w:tcPr>
          <w:p>
            <w:pPr>
              <w:spacing w:after="0"/>
              <w:rPr>
                <w:sz w:val="13"/>
                <w:szCs w:val="13"/>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97,891</w:t>
            </w:r>
          </w:p>
        </w:tc>
        <w:tc>
          <w:tcPr>
            <w:tcW w:w="0" w:type="dxa"/>
            <w:vAlign w:val="bottom"/>
          </w:tcPr>
          <w:p>
            <w:pPr>
              <w:spacing w:after="0"/>
              <w:rPr>
                <w:sz w:val="1"/>
                <w:szCs w:val="1"/>
                <w:color w:val="auto"/>
              </w:rPr>
            </w:pPr>
          </w:p>
        </w:tc>
      </w:tr>
      <w:tr>
        <w:trPr>
          <w:trHeight w:val="153"/>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1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(2,214)</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(40,376)</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(42,590)</w:t>
            </w:r>
          </w:p>
        </w:tc>
        <w:tc>
          <w:tcPr>
            <w:tcW w:w="0" w:type="dxa"/>
            <w:vAlign w:val="bottom"/>
          </w:tcPr>
          <w:p>
            <w:pPr>
              <w:spacing w:after="0"/>
              <w:rPr>
                <w:sz w:val="1"/>
                <w:szCs w:val="1"/>
                <w:color w:val="auto"/>
              </w:rPr>
            </w:pPr>
          </w:p>
        </w:tc>
      </w:tr>
      <w:tr>
        <w:trPr>
          <w:trHeight w:val="153"/>
        </w:trPr>
        <w:tc>
          <w:tcPr>
            <w:tcW w:w="460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(17,127)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(2,731)</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(8,126)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(2,513)</w:t>
            </w:r>
          </w:p>
        </w:tc>
        <w:tc>
          <w:tcPr>
            <w:tcW w:w="80" w:type="dxa"/>
            <w:vAlign w:val="bottom"/>
          </w:tcPr>
          <w:p>
            <w:pPr>
              <w:spacing w:after="0"/>
              <w:rPr>
                <w:sz w:val="13"/>
                <w:szCs w:val="13"/>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(30,497)</w:t>
            </w:r>
          </w:p>
        </w:tc>
        <w:tc>
          <w:tcPr>
            <w:tcW w:w="0" w:type="dxa"/>
            <w:vAlign w:val="bottom"/>
          </w:tcPr>
          <w:p>
            <w:pPr>
              <w:spacing w:after="0"/>
              <w:rPr>
                <w:sz w:val="1"/>
                <w:szCs w:val="1"/>
                <w:color w:val="auto"/>
              </w:rPr>
            </w:pPr>
          </w:p>
        </w:tc>
      </w:tr>
      <w:tr>
        <w:trPr>
          <w:trHeight w:val="153"/>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Debt modification and extinguishment expenses</w:t>
            </w:r>
          </w:p>
        </w:tc>
        <w:tc>
          <w:tcPr>
            <w:tcW w:w="1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(8,623)</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(8,623)</w:t>
            </w:r>
          </w:p>
        </w:tc>
        <w:tc>
          <w:tcPr>
            <w:tcW w:w="0" w:type="dxa"/>
            <w:vAlign w:val="bottom"/>
          </w:tcPr>
          <w:p>
            <w:pPr>
              <w:spacing w:after="0"/>
              <w:rPr>
                <w:sz w:val="1"/>
                <w:szCs w:val="1"/>
                <w:color w:val="auto"/>
              </w:rPr>
            </w:pPr>
          </w:p>
        </w:tc>
      </w:tr>
      <w:tr>
        <w:trPr>
          <w:trHeight w:val="153"/>
        </w:trPr>
        <w:tc>
          <w:tcPr>
            <w:tcW w:w="460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tc>
        <w:tc>
          <w:tcPr>
            <w:tcW w:w="14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(1,435)</w:t>
            </w:r>
          </w:p>
        </w:tc>
        <w:tc>
          <w:tcPr>
            <w:tcW w:w="80" w:type="dxa"/>
            <w:vAlign w:val="bottom"/>
          </w:tcPr>
          <w:p>
            <w:pPr>
              <w:spacing w:after="0"/>
              <w:rPr>
                <w:sz w:val="13"/>
                <w:szCs w:val="13"/>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(1,435)</w:t>
            </w:r>
          </w:p>
        </w:tc>
        <w:tc>
          <w:tcPr>
            <w:tcW w:w="0" w:type="dxa"/>
            <w:vAlign w:val="bottom"/>
          </w:tcPr>
          <w:p>
            <w:pPr>
              <w:spacing w:after="0"/>
              <w:rPr>
                <w:sz w:val="1"/>
                <w:szCs w:val="1"/>
                <w:color w:val="auto"/>
              </w:rPr>
            </w:pPr>
          </w:p>
        </w:tc>
      </w:tr>
      <w:tr>
        <w:trPr>
          <w:trHeight w:val="153"/>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Non-cash stock based compensation</w:t>
            </w:r>
          </w:p>
        </w:tc>
        <w:tc>
          <w:tcPr>
            <w:tcW w:w="1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w:t>
            </w:r>
          </w:p>
        </w:tc>
        <w:tc>
          <w:tcPr>
            <w:tcW w:w="8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(3,162)</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(3,462)</w:t>
            </w:r>
          </w:p>
        </w:tc>
        <w:tc>
          <w:tcPr>
            <w:tcW w:w="0" w:type="dxa"/>
            <w:vAlign w:val="bottom"/>
          </w:tcPr>
          <w:p>
            <w:pPr>
              <w:spacing w:after="0"/>
              <w:rPr>
                <w:sz w:val="1"/>
                <w:szCs w:val="1"/>
                <w:color w:val="auto"/>
              </w:rPr>
            </w:pPr>
          </w:p>
        </w:tc>
      </w:tr>
      <w:tr>
        <w:trPr>
          <w:trHeight w:val="142"/>
        </w:trPr>
        <w:tc>
          <w:tcPr>
            <w:tcW w:w="4600" w:type="dxa"/>
            <w:vAlign w:val="bottom"/>
          </w:tcPr>
          <w:p>
            <w:pPr>
              <w:spacing w:after="0"/>
              <w:rPr>
                <w:sz w:val="20"/>
                <w:szCs w:val="20"/>
                <w:color w:val="auto"/>
              </w:rPr>
            </w:pPr>
            <w:r>
              <w:rPr>
                <w:rFonts w:ascii="Times New Roman" w:cs="Times New Roman" w:eastAsia="Times New Roman" w:hAnsi="Times New Roman"/>
                <w:sz w:val="12"/>
                <w:szCs w:val="12"/>
                <w:color w:val="auto"/>
              </w:rPr>
              <w:t>Income (loss) before taxes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36,485</w:t>
            </w:r>
          </w:p>
        </w:tc>
        <w:tc>
          <w:tcPr>
            <w:tcW w:w="80" w:type="dxa"/>
            <w:vAlign w:val="bottom"/>
          </w:tcPr>
          <w:p>
            <w:pPr>
              <w:spacing w:after="0"/>
              <w:rPr>
                <w:sz w:val="12"/>
                <w:szCs w:val="12"/>
                <w:color w:val="auto"/>
              </w:rPr>
            </w:pP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(1,896)</w:t>
            </w:r>
          </w:p>
        </w:tc>
        <w:tc>
          <w:tcPr>
            <w:tcW w:w="80" w:type="dxa"/>
            <w:vAlign w:val="bottom"/>
          </w:tcPr>
          <w:p>
            <w:pPr>
              <w:spacing w:after="0"/>
              <w:rPr>
                <w:sz w:val="12"/>
                <w:szCs w:val="12"/>
                <w:color w:val="auto"/>
              </w:rPr>
            </w:pPr>
          </w:p>
        </w:tc>
        <w:tc>
          <w:tcPr>
            <w:tcW w:w="44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63,780</w:t>
            </w:r>
          </w:p>
        </w:tc>
        <w:tc>
          <w:tcPr>
            <w:tcW w:w="80" w:type="dxa"/>
            <w:vAlign w:val="bottom"/>
          </w:tcPr>
          <w:p>
            <w:pPr>
              <w:spacing w:after="0"/>
              <w:rPr>
                <w:sz w:val="12"/>
                <w:szCs w:val="12"/>
                <w:color w:val="auto"/>
              </w:rPr>
            </w:pPr>
          </w:p>
        </w:tc>
        <w:tc>
          <w:tcPr>
            <w:tcW w:w="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(87,085)</w:t>
            </w:r>
          </w:p>
        </w:tc>
        <w:tc>
          <w:tcPr>
            <w:tcW w:w="80" w:type="dxa"/>
            <w:vAlign w:val="bottom"/>
          </w:tcPr>
          <w:p>
            <w:pPr>
              <w:spacing w:after="0"/>
              <w:rPr>
                <w:sz w:val="12"/>
                <w:szCs w:val="12"/>
                <w:color w:val="auto"/>
              </w:rPr>
            </w:pP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11,284</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6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2"/>
                <w:szCs w:val="12"/>
                <w:b w:val="1"/>
                <w:bCs w:val="1"/>
                <w:color w:val="auto"/>
              </w:rPr>
              <w:t>Six Months Ended June 30, 2023</w:t>
            </w:r>
          </w:p>
        </w:tc>
        <w:tc>
          <w:tcPr>
            <w:tcW w:w="1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4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SMB Payments</w:t>
            </w:r>
          </w:p>
        </w:tc>
        <w:tc>
          <w:tcPr>
            <w:tcW w:w="220" w:type="dxa"/>
            <w:vAlign w:val="bottom"/>
          </w:tcPr>
          <w:p>
            <w:pPr>
              <w:spacing w:after="0"/>
              <w:rPr>
                <w:sz w:val="9"/>
                <w:szCs w:val="9"/>
                <w:color w:val="auto"/>
              </w:rPr>
            </w:pPr>
          </w:p>
        </w:tc>
        <w:tc>
          <w:tcPr>
            <w:tcW w:w="980" w:type="dxa"/>
            <w:vAlign w:val="bottom"/>
          </w:tcPr>
          <w:p>
            <w:pPr>
              <w:jc w:val="right"/>
              <w:ind w:right="420"/>
              <w:spacing w:after="0" w:line="106" w:lineRule="exact"/>
              <w:rPr>
                <w:sz w:val="20"/>
                <w:szCs w:val="20"/>
                <w:color w:val="auto"/>
              </w:rPr>
            </w:pPr>
            <w:r>
              <w:rPr>
                <w:rFonts w:ascii="Times New Roman" w:cs="Times New Roman" w:eastAsia="Times New Roman" w:hAnsi="Times New Roman"/>
                <w:sz w:val="12"/>
                <w:szCs w:val="12"/>
                <w:b w:val="1"/>
                <w:bCs w:val="1"/>
                <w:color w:val="auto"/>
              </w:rPr>
              <w:t>B2B</w:t>
            </w:r>
          </w:p>
        </w:tc>
        <w:tc>
          <w:tcPr>
            <w:tcW w:w="80" w:type="dxa"/>
            <w:vAlign w:val="bottom"/>
          </w:tcPr>
          <w:p>
            <w:pPr>
              <w:spacing w:after="0"/>
              <w:rPr>
                <w:sz w:val="9"/>
                <w:szCs w:val="9"/>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Enterprise Payments</w:t>
            </w:r>
          </w:p>
        </w:tc>
        <w:tc>
          <w:tcPr>
            <w:tcW w:w="200" w:type="dxa"/>
            <w:vAlign w:val="bottom"/>
          </w:tcPr>
          <w:p>
            <w:pPr>
              <w:spacing w:after="0"/>
              <w:rPr>
                <w:sz w:val="9"/>
                <w:szCs w:val="9"/>
                <w:color w:val="auto"/>
              </w:rPr>
            </w:pP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180" w:type="dxa"/>
            <w:vAlign w:val="bottom"/>
          </w:tcPr>
          <w:p>
            <w:pPr>
              <w:spacing w:after="0"/>
              <w:rPr>
                <w:sz w:val="9"/>
                <w:szCs w:val="9"/>
                <w:color w:val="auto"/>
              </w:rPr>
            </w:pPr>
          </w:p>
        </w:tc>
        <w:tc>
          <w:tcPr>
            <w:tcW w:w="1400" w:type="dxa"/>
            <w:vAlign w:val="bottom"/>
            <w:vMerge w:val="restart"/>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Total Consolidated</w:t>
            </w:r>
          </w:p>
        </w:tc>
        <w:tc>
          <w:tcPr>
            <w:tcW w:w="0" w:type="dxa"/>
            <w:vAlign w:val="bottom"/>
          </w:tcPr>
          <w:p>
            <w:pPr>
              <w:spacing w:after="0"/>
              <w:rPr>
                <w:sz w:val="1"/>
                <w:szCs w:val="1"/>
                <w:color w:val="auto"/>
              </w:rPr>
            </w:pPr>
          </w:p>
        </w:tc>
      </w:tr>
      <w:tr>
        <w:trPr>
          <w:trHeight w:val="162"/>
        </w:trPr>
        <w:tc>
          <w:tcPr>
            <w:tcW w:w="460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Payments</w:t>
            </w:r>
          </w:p>
        </w:tc>
        <w:tc>
          <w:tcPr>
            <w:tcW w:w="8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6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Reconciliation of Adjusted EBITDA to GAAP Measure</w:t>
            </w:r>
          </w:p>
        </w:tc>
        <w:tc>
          <w:tcPr>
            <w:tcW w:w="14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4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600" w:type="dxa"/>
            <w:vAlign w:val="bottom"/>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56,836</w:t>
            </w:r>
          </w:p>
        </w:tc>
        <w:tc>
          <w:tcPr>
            <w:tcW w:w="8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518</w:t>
            </w:r>
          </w:p>
        </w:tc>
        <w:tc>
          <w:tcPr>
            <w:tcW w:w="500" w:type="dxa"/>
            <w:vAlign w:val="bottom"/>
            <w:gridSpan w:val="2"/>
          </w:tcPr>
          <w:p>
            <w:pPr>
              <w:jc w:val="right"/>
              <w:ind w:right="303"/>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48,096</w:t>
            </w:r>
          </w:p>
        </w:tc>
        <w:tc>
          <w:tcPr>
            <w:tcW w:w="80" w:type="dxa"/>
            <w:vAlign w:val="bottom"/>
          </w:tcPr>
          <w:p>
            <w:pPr>
              <w:spacing w:after="0"/>
              <w:rPr>
                <w:sz w:val="13"/>
                <w:szCs w:val="13"/>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(26,717)</w:t>
            </w:r>
          </w:p>
        </w:tc>
        <w:tc>
          <w:tcPr>
            <w:tcW w:w="80" w:type="dxa"/>
            <w:vAlign w:val="bottom"/>
          </w:tcPr>
          <w:p>
            <w:pPr>
              <w:spacing w:after="0"/>
              <w:rPr>
                <w:sz w:val="13"/>
                <w:szCs w:val="13"/>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78,733</w:t>
            </w:r>
          </w:p>
        </w:tc>
        <w:tc>
          <w:tcPr>
            <w:tcW w:w="0" w:type="dxa"/>
            <w:vAlign w:val="bottom"/>
          </w:tcPr>
          <w:p>
            <w:pPr>
              <w:spacing w:after="0"/>
              <w:rPr>
                <w:sz w:val="1"/>
                <w:szCs w:val="1"/>
                <w:color w:val="auto"/>
              </w:rPr>
            </w:pPr>
          </w:p>
        </w:tc>
      </w:tr>
      <w:tr>
        <w:trPr>
          <w:trHeight w:val="153"/>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1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(230)</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(35,234)</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(35,464)</w:t>
            </w:r>
          </w:p>
        </w:tc>
        <w:tc>
          <w:tcPr>
            <w:tcW w:w="0" w:type="dxa"/>
            <w:vAlign w:val="bottom"/>
          </w:tcPr>
          <w:p>
            <w:pPr>
              <w:spacing w:after="0"/>
              <w:rPr>
                <w:sz w:val="1"/>
                <w:szCs w:val="1"/>
                <w:color w:val="auto"/>
              </w:rPr>
            </w:pPr>
          </w:p>
        </w:tc>
      </w:tr>
      <w:tr>
        <w:trPr>
          <w:trHeight w:val="153"/>
        </w:trPr>
        <w:tc>
          <w:tcPr>
            <w:tcW w:w="460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(18,417)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(12,624)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(4,950)</w:t>
            </w:r>
          </w:p>
        </w:tc>
        <w:tc>
          <w:tcPr>
            <w:tcW w:w="80" w:type="dxa"/>
            <w:vAlign w:val="bottom"/>
          </w:tcPr>
          <w:p>
            <w:pPr>
              <w:spacing w:after="0"/>
              <w:rPr>
                <w:sz w:val="13"/>
                <w:szCs w:val="13"/>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(36,028)</w:t>
            </w:r>
          </w:p>
        </w:tc>
        <w:tc>
          <w:tcPr>
            <w:tcW w:w="0" w:type="dxa"/>
            <w:vAlign w:val="bottom"/>
          </w:tcPr>
          <w:p>
            <w:pPr>
              <w:spacing w:after="0"/>
              <w:rPr>
                <w:sz w:val="1"/>
                <w:szCs w:val="1"/>
                <w:color w:val="auto"/>
              </w:rPr>
            </w:pPr>
          </w:p>
        </w:tc>
      </w:tr>
      <w:tr>
        <w:trPr>
          <w:trHeight w:val="153"/>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tc>
        <w:tc>
          <w:tcPr>
            <w:tcW w:w="1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(2,296)</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(2,296)</w:t>
            </w:r>
          </w:p>
        </w:tc>
        <w:tc>
          <w:tcPr>
            <w:tcW w:w="0" w:type="dxa"/>
            <w:vAlign w:val="bottom"/>
          </w:tcPr>
          <w:p>
            <w:pPr>
              <w:spacing w:after="0"/>
              <w:rPr>
                <w:sz w:val="1"/>
                <w:szCs w:val="1"/>
                <w:color w:val="auto"/>
              </w:rPr>
            </w:pPr>
          </w:p>
        </w:tc>
      </w:tr>
      <w:tr>
        <w:trPr>
          <w:trHeight w:val="153"/>
        </w:trPr>
        <w:tc>
          <w:tcPr>
            <w:tcW w:w="4600" w:type="dxa"/>
            <w:vAlign w:val="bottom"/>
          </w:tcPr>
          <w:p>
            <w:pPr>
              <w:spacing w:after="0"/>
              <w:rPr>
                <w:sz w:val="20"/>
                <w:szCs w:val="20"/>
                <w:color w:val="auto"/>
              </w:rPr>
            </w:pPr>
            <w:r>
              <w:rPr>
                <w:rFonts w:ascii="Times New Roman" w:cs="Times New Roman" w:eastAsia="Times New Roman" w:hAnsi="Times New Roman"/>
                <w:sz w:val="12"/>
                <w:szCs w:val="12"/>
                <w:color w:val="auto"/>
              </w:rPr>
              <w:t>Non-cash stock based compensation</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(3,058)</w:t>
            </w:r>
          </w:p>
        </w:tc>
        <w:tc>
          <w:tcPr>
            <w:tcW w:w="80" w:type="dxa"/>
            <w:vAlign w:val="bottom"/>
          </w:tcPr>
          <w:p>
            <w:pPr>
              <w:spacing w:after="0"/>
              <w:rPr>
                <w:sz w:val="13"/>
                <w:szCs w:val="13"/>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(3,682)</w:t>
            </w:r>
          </w:p>
        </w:tc>
        <w:tc>
          <w:tcPr>
            <w:tcW w:w="0" w:type="dxa"/>
            <w:vAlign w:val="bottom"/>
          </w:tcPr>
          <w:p>
            <w:pPr>
              <w:spacing w:after="0"/>
              <w:rPr>
                <w:sz w:val="1"/>
                <w:szCs w:val="1"/>
                <w:color w:val="auto"/>
              </w:rPr>
            </w:pPr>
          </w:p>
        </w:tc>
      </w:tr>
      <w:tr>
        <w:trPr>
          <w:trHeight w:val="153"/>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non-recurring loss, net</w:t>
            </w:r>
          </w:p>
        </w:tc>
        <w:tc>
          <w:tcPr>
            <w:tcW w:w="1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(159)</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(159)</w:t>
            </w:r>
          </w:p>
        </w:tc>
        <w:tc>
          <w:tcPr>
            <w:tcW w:w="0" w:type="dxa"/>
            <w:vAlign w:val="bottom"/>
          </w:tcPr>
          <w:p>
            <w:pPr>
              <w:spacing w:after="0"/>
              <w:rPr>
                <w:sz w:val="1"/>
                <w:szCs w:val="1"/>
                <w:color w:val="auto"/>
              </w:rPr>
            </w:pPr>
          </w:p>
        </w:tc>
      </w:tr>
      <w:tr>
        <w:trPr>
          <w:trHeight w:val="142"/>
        </w:trPr>
        <w:tc>
          <w:tcPr>
            <w:tcW w:w="4600" w:type="dxa"/>
            <w:vAlign w:val="bottom"/>
          </w:tcPr>
          <w:p>
            <w:pPr>
              <w:spacing w:after="0"/>
              <w:rPr>
                <w:sz w:val="20"/>
                <w:szCs w:val="20"/>
                <w:color w:val="auto"/>
              </w:rPr>
            </w:pPr>
            <w:r>
              <w:rPr>
                <w:rFonts w:ascii="Times New Roman" w:cs="Times New Roman" w:eastAsia="Times New Roman" w:hAnsi="Times New Roman"/>
                <w:sz w:val="12"/>
                <w:szCs w:val="12"/>
                <w:color w:val="auto"/>
              </w:rPr>
              <w:t>Income (loss) before taxes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38,125</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280</w:t>
            </w:r>
          </w:p>
        </w:tc>
        <w:tc>
          <w:tcPr>
            <w:tcW w:w="8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35,113</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(72,414)</w:t>
            </w:r>
          </w:p>
        </w:tc>
        <w:tc>
          <w:tcPr>
            <w:tcW w:w="8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1,104</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Critical Accounting Policies and Estimates</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Our Unaudited Consolidated Financial Statements have been prepared in accordance with GAAP for interim periods, which often require the judgment of management in the selection and application of certain accounting principles and methods. Our critical accounting policies and estimates are discussed in "Management's Discussion and Analysis of Financial Condition and Results of Operations" in our Annual Report on Form 10-K for the year ended December 31, 2023. There have been no material changes to these critical accounting policies and estimates as of June 30, 2024.</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Liquidity and Capital Resources</w:t>
      </w:r>
    </w:p>
    <w:p>
      <w:pPr>
        <w:spacing w:after="0" w:line="154"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2"/>
          <w:szCs w:val="12"/>
          <w:color w:val="auto"/>
        </w:rPr>
        <w:t>Liquidity and capital resource management is a process focused on providing the funding we need to meet our short-term and long-term cash and working capital needs. We have used our funding sources to build our merchant portfolio, for technology solutions and to make acquisitions with the expectation that such investments will generate cash flows sufficient to cover our working capital and other anticipated needs, including our acquisition strategy. We anticipate that cash on hand, funds generated from operations and available borrowings under our revolving credit facility are sufficient to meet our working capital requirements for at least the next 12 months.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52" w:right="2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2"/>
          <w:szCs w:val="12"/>
          <w:color w:val="auto"/>
        </w:rPr>
        <w:t>Our principal uses of cash are to fund business operations and administrative costs, and to service our debt.</w:t>
      </w:r>
    </w:p>
    <w:p>
      <w:pPr>
        <w:spacing w:after="0" w:line="150"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2"/>
          <w:szCs w:val="12"/>
          <w:color w:val="auto"/>
        </w:rPr>
        <w:t>Our working capital, defined as current assets less current liabilities, was $23.6 million at June 30, 2024 and $3.4 million at June 30, 2023. As of June 30, 2024, we had cash totaling $34.6 million compared to $17.6 million at June 30, 2023. These cash balances do not include restricted cash of $12.6 million and $12.4 million at June 30, 2024 and June 30, 2023, respectively, which reflects cash accounts holding customer settlement funds and cash reserves for</w:t>
      </w:r>
    </w:p>
    <w:p>
      <w:pPr>
        <w:spacing w:after="0" w:line="1"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12"/>
          <w:szCs w:val="12"/>
          <w:color w:val="auto"/>
        </w:rPr>
        <w:t>potential losses. The current portion of long-term debt included in current liabilities was $8.4 million and $6.2 million at June 30, 2024 and June 30, 2023, respectively. At June 30, 2024, we had availability of approximately $70.0 million under our revolving credit facility.</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760" w:type="dxa"/>
            <w:vAlign w:val="bottom"/>
          </w:tcPr>
          <w:p>
            <w:pPr>
              <w:spacing w:after="0"/>
              <w:rPr>
                <w:sz w:val="20"/>
                <w:szCs w:val="20"/>
                <w:color w:val="auto"/>
              </w:rPr>
            </w:pPr>
            <w:r>
              <w:rPr>
                <w:rFonts w:ascii="Times New Roman" w:cs="Times New Roman" w:eastAsia="Times New Roman" w:hAnsi="Times New Roman"/>
                <w:sz w:val="12"/>
                <w:szCs w:val="12"/>
                <w:color w:val="auto"/>
              </w:rPr>
              <w:t>The following table and discussion reflect our changes in cash flows for the comparative six month periods.</w:t>
            </w:r>
          </w:p>
        </w:tc>
        <w:tc>
          <w:tcPr>
            <w:tcW w:w="4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315"/>
        </w:trPr>
        <w:tc>
          <w:tcPr>
            <w:tcW w:w="77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c>
          <w:tcPr>
            <w:tcW w:w="1040" w:type="dxa"/>
            <w:vAlign w:val="bottom"/>
            <w:tcBorders>
              <w:bottom w:val="single" w:sz="8" w:color="auto"/>
            </w:tcBorders>
          </w:tcPr>
          <w:p>
            <w:pPr>
              <w:spacing w:after="0"/>
              <w:rPr>
                <w:sz w:val="24"/>
                <w:szCs w:val="24"/>
                <w:color w:val="auto"/>
              </w:rPr>
            </w:pPr>
          </w:p>
        </w:tc>
      </w:tr>
      <w:tr>
        <w:trPr>
          <w:trHeight w:val="142"/>
        </w:trPr>
        <w:tc>
          <w:tcPr>
            <w:tcW w:w="7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4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42"/>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provided by (used in):</w:t>
            </w:r>
          </w:p>
        </w:tc>
        <w:tc>
          <w:tcPr>
            <w:tcW w:w="4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53"/>
        </w:trPr>
        <w:tc>
          <w:tcPr>
            <w:tcW w:w="77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Operating activities</w:t>
            </w: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Pr>
          <w:p>
            <w:pPr>
              <w:jc w:val="center"/>
              <w:ind w:left="840"/>
              <w:spacing w:after="0"/>
              <w:rPr>
                <w:sz w:val="20"/>
                <w:szCs w:val="20"/>
                <w:color w:val="auto"/>
              </w:rPr>
            </w:pPr>
            <w:r>
              <w:rPr>
                <w:rFonts w:ascii="Times New Roman" w:cs="Times New Roman" w:eastAsia="Times New Roman" w:hAnsi="Times New Roman"/>
                <w:sz w:val="12"/>
                <w:szCs w:val="12"/>
                <w:color w:val="auto"/>
              </w:rPr>
              <w:t>42,007</w:t>
            </w:r>
          </w:p>
        </w:tc>
        <w:tc>
          <w:tcPr>
            <w:tcW w:w="80" w:type="dxa"/>
            <w:vAlign w:val="bottom"/>
          </w:tcPr>
          <w:p>
            <w:pPr>
              <w:spacing w:after="0"/>
              <w:rPr>
                <w:sz w:val="13"/>
                <w:szCs w:val="13"/>
                <w:color w:val="auto"/>
              </w:rPr>
            </w:pPr>
          </w:p>
        </w:tc>
        <w:tc>
          <w:tcPr>
            <w:tcW w:w="700" w:type="dxa"/>
            <w:vAlign w:val="bottom"/>
          </w:tcPr>
          <w:p>
            <w:pPr>
              <w:jc w:val="right"/>
              <w:ind w:right="56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46,857</w:t>
            </w:r>
          </w:p>
        </w:tc>
      </w:tr>
      <w:tr>
        <w:trPr>
          <w:trHeight w:val="153"/>
        </w:trPr>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Investing activities</w:t>
            </w:r>
          </w:p>
        </w:tc>
        <w:tc>
          <w:tcPr>
            <w:tcW w:w="400" w:type="dxa"/>
            <w:vAlign w:val="bottom"/>
            <w:shd w:val="clear" w:color="auto" w:fill="CCEEFF"/>
          </w:tcPr>
          <w:p>
            <w:pPr>
              <w:spacing w:after="0"/>
              <w:rPr>
                <w:sz w:val="13"/>
                <w:szCs w:val="13"/>
                <w:color w:val="auto"/>
              </w:rPr>
            </w:pPr>
          </w:p>
        </w:tc>
        <w:tc>
          <w:tcPr>
            <w:tcW w:w="1320" w:type="dxa"/>
            <w:vAlign w:val="bottom"/>
            <w:shd w:val="clear" w:color="auto" w:fill="CCEEFF"/>
          </w:tcPr>
          <w:p>
            <w:pPr>
              <w:jc w:val="center"/>
              <w:ind w:left="820"/>
              <w:spacing w:after="0"/>
              <w:rPr>
                <w:sz w:val="20"/>
                <w:szCs w:val="20"/>
                <w:color w:val="auto"/>
              </w:rPr>
            </w:pPr>
            <w:r>
              <w:rPr>
                <w:rFonts w:ascii="Times New Roman" w:cs="Times New Roman" w:eastAsia="Times New Roman" w:hAnsi="Times New Roman"/>
                <w:sz w:val="12"/>
                <w:szCs w:val="12"/>
                <w:color w:val="auto"/>
                <w:w w:val="97"/>
              </w:rPr>
              <w:t>(20,598)</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(13,082)</w:t>
            </w:r>
          </w:p>
        </w:tc>
      </w:tr>
      <w:tr>
        <w:trPr>
          <w:trHeight w:val="153"/>
        </w:trPr>
        <w:tc>
          <w:tcPr>
            <w:tcW w:w="77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Financing activities</w:t>
            </w:r>
          </w:p>
        </w:tc>
        <w:tc>
          <w:tcPr>
            <w:tcW w:w="4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left="840"/>
              <w:spacing w:after="0"/>
              <w:rPr>
                <w:sz w:val="20"/>
                <w:szCs w:val="20"/>
                <w:color w:val="auto"/>
              </w:rPr>
            </w:pPr>
            <w:r>
              <w:rPr>
                <w:rFonts w:ascii="Times New Roman" w:cs="Times New Roman" w:eastAsia="Times New Roman" w:hAnsi="Times New Roman"/>
                <w:sz w:val="12"/>
                <w:szCs w:val="12"/>
                <w:color w:val="auto"/>
              </w:rPr>
              <w:t>18,149</w:t>
            </w:r>
          </w:p>
        </w:tc>
        <w:tc>
          <w:tcPr>
            <w:tcW w:w="8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144,138</w:t>
            </w:r>
          </w:p>
        </w:tc>
      </w:tr>
      <w:tr>
        <w:trPr>
          <w:trHeight w:val="158"/>
        </w:trPr>
        <w:tc>
          <w:tcPr>
            <w:tcW w:w="7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(decrease) increase in cash and cash equivalents and restricted cash</w:t>
            </w: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bottom w:val="single" w:sz="8" w:color="auto"/>
            </w:tcBorders>
            <w:shd w:val="clear" w:color="auto" w:fill="CCEEFF"/>
          </w:tcPr>
          <w:p>
            <w:pPr>
              <w:jc w:val="center"/>
              <w:ind w:left="840"/>
              <w:spacing w:after="0"/>
              <w:rPr>
                <w:sz w:val="20"/>
                <w:szCs w:val="20"/>
                <w:color w:val="auto"/>
              </w:rPr>
            </w:pPr>
            <w:r>
              <w:rPr>
                <w:rFonts w:ascii="Times New Roman" w:cs="Times New Roman" w:eastAsia="Times New Roman" w:hAnsi="Times New Roman"/>
                <w:sz w:val="12"/>
                <w:szCs w:val="12"/>
                <w:color w:val="auto"/>
              </w:rPr>
              <w:t>39,558</w:t>
            </w:r>
          </w:p>
        </w:tc>
        <w:tc>
          <w:tcPr>
            <w:tcW w:w="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56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177,913</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Cash Provided by Operating Activities</w:t>
      </w:r>
    </w:p>
    <w:p>
      <w:pPr>
        <w:spacing w:after="0" w:line="15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Net cash provided by operating activities was $42.0 million for the six months ended June 30, 2024 compared to $46.9 million for the six months ended June 30, 2023. The $4.9 million decrease in 2024 was primarily driven by changes in the operating assets and liabilities.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Cash Used in Investing Activities</w:t>
      </w:r>
    </w:p>
    <w:p>
      <w:pPr>
        <w:spacing w:after="0" w:line="152"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2"/>
          <w:szCs w:val="12"/>
          <w:color w:val="auto"/>
        </w:rPr>
        <w:t>Net cash used in investing activities was $20.6 million and $13.1 million for the six months ended June 30, 2024 and 2023, respectively. For the six months ended June 30, 2024, investing activities included additions to property, equipment and software of $11.7 million, $1.4 million related to net payments received on loans to ISOs and $7.5 million related to the acquisition of intangible assets and an investment in an unconsolidated entity. For the six months ended June 30, 2023, net cash used in investing activities included $2.7 million of cash used to fund acquisitions of intangible assets, $9.9 million of cash used to acquire property, equipment and software and $0.5 million related to net payments received on loans to ISOs.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Cash Provided by Financing Activities</w:t>
      </w:r>
    </w:p>
    <w:p>
      <w:pPr>
        <w:spacing w:after="0" w:line="15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2"/>
          <w:szCs w:val="12"/>
          <w:color w:val="auto"/>
        </w:rPr>
        <w:t>Net cash used in financing activities was $18.1 million for the six months ended June 30, 2024, compared to $144.1 million of cash provided by financing activities for the six months ended June 30, 2023. The net cash used in financing activities for the six months ended June 30, 2024 included changes in the net obligations for funds held on the behalf of customers of $40.9 million and borrowings under the 2024 Credit Agreement net of issue discounts of $830.2 million, offset by $661.9 million of cash used for the repayment of the principal of the 2021 Credit Agreement and debt issuance and modification costs related to the refinancing, $167.8 million related to the redemption of senior preferred stock and accumulated unpaid dividend, $2.1 million for the redemption of redeemable NCI in subsidiary, $16.4 million of cash dividends paid to redeemable senior preferred stockholders, $0.6 million of cash used for shares withheld for taxes and $4.2 million of payments of contingent consideration. The net cash provided by financing activities for the six months ended June 30, 2023 included $15.5 million of cash used for the repayment of debt, $17.9 million of cash dividends paid to redeemable senior preferred stockholders, $1.0 million of cash used for shares withheld for taxes and share repurchases, and $2.0 million of payments of contingent consideration for business combinations, which was offset by changes in the net obligations for funds held on the behalf of customers of $175.5 million and $5.0 million in borrowings under the revolving credit facility.</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9" w:right="2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2"/>
          <w:szCs w:val="12"/>
          <w:i w:val="1"/>
          <w:iCs w:val="1"/>
          <w:color w:val="auto"/>
        </w:rPr>
        <w:t>Long-term Debt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June 30, 2024, we had outstanding debt obligations, including the current portion and net of unamortized debt discount of $817.4 million, compared to $638.7 million at December 31, 2023, resulting in an increase of</w:t>
      </w:r>
    </w:p>
    <w:p>
      <w:pPr>
        <w:spacing w:after="0" w:line="1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2"/>
          <w:szCs w:val="12"/>
          <w:color w:val="auto"/>
        </w:rPr>
        <w:t>$178.7 million. The increase is due to the refinancing of the 2021 Credit Agreement on May 16, 2024. The debt balance at June 30, 2024 consisted of $835.0 million outstanding under the term facility offset by $17.6 million of unamortized debt discounts and issuance costs. Minimum amortization of the term facility are equal quarterly installments in aggregate annual amounts equal to 1.0% of the original principal, with the balance paid upon maturity. The term facility matures on May 16, 2031 and the revolving credit facility matures on May 16, 2029.</w:t>
      </w:r>
    </w:p>
    <w:p>
      <w:pPr>
        <w:spacing w:after="0" w:line="125"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2"/>
          <w:szCs w:val="12"/>
          <w:color w:val="auto"/>
        </w:rPr>
        <w:t>The Credit Agreement contains representations and warranties, financial and collateral requirements, mandatory payment events, events of default and affirmative and negative covenants, including without limitation, covenants that restrict among other things, the ability to create liens, pay dividends or distribute assets from the loan parties to the Company, merge or consolidate, dispose of assets, incur additional indebtedness, make certain investments or acquisitions, enter into certain transactions (including with affiliates) and to enter into certain leases.</w:t>
      </w:r>
    </w:p>
    <w:p>
      <w:pPr>
        <w:spacing w:after="0" w:line="119"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2"/>
          <w:szCs w:val="12"/>
          <w:color w:val="auto"/>
        </w:rPr>
        <w:t>If the aggregate principal amount of outstanding revolving loans and letters of credit under the 2024 Credit Agreement exceeds 35% of the total revolving credit facility thereunder, the loan parties are required to comply with certain restrictions on its Total Net Leverage Ratio. If applicable, the maximum permitted Total Net Leverage Ratio is: 1) 6.90:1.00 at each fiscal quarter ended September 30, 2024 through December 31, 2025; 2) 6.40:1.00 at each fiscal quarter ended March 31, 2026 and each fiscal quarter thereafter. As of June 30, 2024, the Company was in compliance with the covenants in the 2024 Credit Agreement.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Effect of New Accounting Pronouncements and Recently Issued Accounting Pronouncements Not Yet Adopted</w:t>
      </w:r>
    </w:p>
    <w:p>
      <w:pPr>
        <w:spacing w:after="0" w:line="154"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2"/>
          <w:szCs w:val="12"/>
          <w:color w:val="auto"/>
        </w:rPr>
        <w:t xml:space="preserve">From time to time, new accounting pronouncements are issued by the FASB or other standards setting bodies that may affect our current and/or future financial statements. See </w:t>
      </w:r>
      <w:r>
        <w:rPr>
          <w:rFonts w:ascii="Times New Roman" w:cs="Times New Roman" w:eastAsia="Times New Roman" w:hAnsi="Times New Roman"/>
          <w:sz w:val="12"/>
          <w:szCs w:val="12"/>
          <w:u w:val="single" w:color="auto"/>
          <w:color w:val="0000FF"/>
        </w:rPr>
        <w:t>Note 1, Basis of Presentation and Significant Accounting</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0000FF"/>
        </w:rPr>
        <w:t>Policies</w:t>
      </w:r>
      <w:r>
        <w:rPr>
          <w:rFonts w:ascii="Times New Roman" w:cs="Times New Roman" w:eastAsia="Times New Roman" w:hAnsi="Times New Roman"/>
          <w:sz w:val="12"/>
          <w:szCs w:val="12"/>
          <w:color w:val="000000"/>
        </w:rPr>
        <w:t>, to our Unaudited Consolidated Financial Statements included in Part I, Item 1 of this Quarterly Report on Form 10-Q, for a discussion of recently issued accounting pronouncements not yet adopted.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3. Quantitative and Qualitative Disclosures About Market Risk</w:t>
      </w:r>
    </w:p>
    <w:p>
      <w:pPr>
        <w:spacing w:after="0" w:line="154"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For quantitative and qualitative disclosures about market risk, see Item 7A, "Quantitative and Qualitative Disclosures About Market Risk," of our Annual Report on Form 10-K for the year ended December 31, 2023. Our exposures to market risk have not changed materially since December 31, 2023.</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4. Controls and Procedures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Evaluation of Disclosure Controls and Procedures</w:t>
      </w:r>
    </w:p>
    <w:p>
      <w:pPr>
        <w:spacing w:after="0" w:line="152"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2"/>
          <w:szCs w:val="12"/>
          <w:color w:val="auto"/>
        </w:rPr>
        <w:t>We maintain disclosure controls and procedures, as defined in Rules 13a-15(e) and 15d-15(e) of the Exchange Act, designed to provide reasonable assurance that information required to be disclosed by the Company in reports that it files or submits under the Exchange Act is recorded, processed, summarized or reported within the time periods specified in SEC rules and regulations and that such information is accumulated and communicated to our management, including our principal executive officer (CEO), our principal financial officer (CFO) and, as appropriate, to allow timely decisions regarding required disclosures.</w:t>
      </w:r>
    </w:p>
    <w:p>
      <w:pPr>
        <w:spacing w:after="0" w:line="119"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Management, with the participation of the CEO and CFO, has evaluated the effectiveness of the Company's disclosure controls and procedures as of June 30, 2024. Based on that evaluation, the Company's CEO and CFO concluded that the Company's disclosure controls and procedures were effective as of June 30, 2024.</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7" w:right="2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2"/>
          <w:szCs w:val="12"/>
          <w:i w:val="1"/>
          <w:iCs w:val="1"/>
          <w:color w:val="auto"/>
        </w:rPr>
        <w:t>Changes in Internal Control over Financial Reporting</w:t>
      </w:r>
    </w:p>
    <w:p>
      <w:pPr>
        <w:spacing w:after="0" w:line="15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There have been no changes in the Company's internal control over financial reporting during the three and six months ended June 30, 2024 that have materially affected, or are reasonably likely to materially affect, the Company's internal control over financial reporting.</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June 30, 2024, the public float of the Company exceeded $75.0 million resulting in a change in the filing status of the Company to an accelerated filer.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000"/>
          </w:cols>
          <w:pgMar w:left="300" w:top="1027" w:right="59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2"/>
          <w:szCs w:val="12"/>
          <w:b w:val="1"/>
          <w:bCs w:val="1"/>
          <w:color w:val="auto"/>
        </w:rPr>
        <w:t>PART II. OTHER INFORMATION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 Legal Proceedings</w:t>
      </w:r>
    </w:p>
    <w:p>
      <w:pPr>
        <w:spacing w:after="0" w:line="15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2"/>
          <w:szCs w:val="12"/>
          <w:color w:val="auto"/>
        </w:rPr>
        <w:t>We are involved in certain legal proceedings and claims, which arise in the ordinary course of business. In the opinion of the Company, based on consultations with internal and external counsel, the results of any of these ordinary course matters, individually and in the aggregate, are not expected to have a material effect on our results of operations, financial condition, or cash flows. As more information becomes available and we determine that an unfavorable outcome is probable on a claim and that the amount of probable loss that we will incur on that claim is reasonably estimable, we will record an accrued expense for the claim in question. If and when we record such an accrual, it could be material and could adversely impact our results of operations, financial condition and cash flows.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1A. Risk Factors</w:t>
      </w:r>
    </w:p>
    <w:p>
      <w:pPr>
        <w:spacing w:after="0" w:line="15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In addition to the other information set forth in this report, you should carefully consider the factors discussed in our Annual Report under Part I, Item 1A "Risk Factors" because these risk factors may affect our operations and financial results. The risks described in the Annual Report are not the only risks we face. Additional risks and uncertainties not currently known to us or that we currently deem to be immaterial may also materially adversely affect our business, financial condition and operating results.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2. Unregistered Sales of Equity Securities and Use of Proceeds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Unregistered Sales of Equity Securities and Use of Proceeds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Issuer Purchases of Equity Securities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Company's purchases of its Common Stock during the three months ended June 30, 2024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200" w:type="dxa"/>
            <w:vAlign w:val="bottom"/>
            <w:gridSpan w:val="2"/>
            <w:vMerge w:val="restart"/>
          </w:tcPr>
          <w:p>
            <w:pPr>
              <w:ind w:left="900"/>
              <w:spacing w:after="0"/>
              <w:rPr>
                <w:sz w:val="20"/>
                <w:szCs w:val="20"/>
                <w:color w:val="auto"/>
              </w:rPr>
            </w:pPr>
            <w:r>
              <w:rPr>
                <w:rFonts w:ascii="Times New Roman" w:cs="Times New Roman" w:eastAsia="Times New Roman" w:hAnsi="Times New Roman"/>
                <w:sz w:val="12"/>
                <w:szCs w:val="12"/>
                <w:b w:val="1"/>
                <w:bCs w:val="1"/>
                <w:color w:val="auto"/>
              </w:rPr>
              <w:t>Period</w:t>
            </w:r>
          </w:p>
        </w:tc>
        <w:tc>
          <w:tcPr>
            <w:tcW w:w="146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Total Number of 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Average Price Paid</w:t>
            </w:r>
          </w:p>
        </w:tc>
        <w:tc>
          <w:tcPr>
            <w:tcW w:w="3000" w:type="dxa"/>
            <w:vAlign w:val="bottom"/>
          </w:tcPr>
          <w:p>
            <w:pPr>
              <w:jc w:val="center"/>
              <w:ind w:left="120"/>
              <w:spacing w:after="0"/>
              <w:rPr>
                <w:sz w:val="20"/>
                <w:szCs w:val="20"/>
                <w:color w:val="auto"/>
              </w:rPr>
            </w:pPr>
            <w:r>
              <w:rPr>
                <w:rFonts w:ascii="Times New Roman" w:cs="Times New Roman" w:eastAsia="Times New Roman" w:hAnsi="Times New Roman"/>
                <w:sz w:val="12"/>
                <w:szCs w:val="12"/>
                <w:b w:val="1"/>
                <w:bCs w:val="1"/>
                <w:color w:val="auto"/>
                <w:w w:val="99"/>
              </w:rPr>
              <w:t>Total Number of Shares Purchased as Part of Publicly</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Maximum Number of Shares that May Yet Be Purchased</w:t>
            </w:r>
          </w:p>
        </w:tc>
        <w:tc>
          <w:tcPr>
            <w:tcW w:w="0" w:type="dxa"/>
            <w:vAlign w:val="bottom"/>
          </w:tcPr>
          <w:p>
            <w:pPr>
              <w:spacing w:after="0"/>
              <w:rPr>
                <w:sz w:val="1"/>
                <w:szCs w:val="1"/>
                <w:color w:val="auto"/>
              </w:rPr>
            </w:pPr>
          </w:p>
        </w:tc>
      </w:tr>
      <w:tr>
        <w:trPr>
          <w:trHeight w:val="162"/>
        </w:trPr>
        <w:tc>
          <w:tcPr>
            <w:tcW w:w="2200" w:type="dxa"/>
            <w:vAlign w:val="bottom"/>
            <w:gridSpan w:val="2"/>
            <w:vMerge w:val="continue"/>
          </w:tcPr>
          <w:p>
            <w:pPr>
              <w:spacing w:after="0"/>
              <w:rPr>
                <w:sz w:val="14"/>
                <w:szCs w:val="14"/>
                <w:color w:val="auto"/>
              </w:rPr>
            </w:pPr>
          </w:p>
        </w:tc>
        <w:tc>
          <w:tcPr>
            <w:tcW w:w="1460" w:type="dxa"/>
            <w:vAlign w:val="bottom"/>
          </w:tcPr>
          <w:p>
            <w:pPr>
              <w:jc w:val="right"/>
              <w:ind w:right="360"/>
              <w:spacing w:after="0" w:line="162" w:lineRule="exact"/>
              <w:rPr>
                <w:sz w:val="20"/>
                <w:szCs w:val="20"/>
                <w:color w:val="auto"/>
              </w:rPr>
            </w:pPr>
            <w:r>
              <w:rPr>
                <w:rFonts w:ascii="Times New Roman" w:cs="Times New Roman" w:eastAsia="Times New Roman" w:hAnsi="Times New Roman"/>
                <w:sz w:val="12"/>
                <w:szCs w:val="12"/>
                <w:b w:val="1"/>
                <w:bCs w:val="1"/>
                <w:color w:val="auto"/>
              </w:rPr>
              <w:t>Purchased</w:t>
            </w:r>
            <w:r>
              <w:rPr>
                <w:rFonts w:ascii="Times New Roman" w:cs="Times New Roman" w:eastAsia="Times New Roman" w:hAnsi="Times New Roman"/>
                <w:sz w:val="15"/>
                <w:szCs w:val="15"/>
                <w:b w:val="1"/>
                <w:bCs w:val="1"/>
                <w:color w:val="auto"/>
                <w:vertAlign w:val="superscript"/>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per Share</w:t>
            </w:r>
          </w:p>
        </w:tc>
        <w:tc>
          <w:tcPr>
            <w:tcW w:w="3000" w:type="dxa"/>
            <w:vAlign w:val="bottom"/>
          </w:tcPr>
          <w:p>
            <w:pPr>
              <w:jc w:val="center"/>
              <w:ind w:left="120"/>
              <w:spacing w:after="0"/>
              <w:rPr>
                <w:sz w:val="20"/>
                <w:szCs w:val="20"/>
                <w:color w:val="auto"/>
              </w:rPr>
            </w:pPr>
            <w:r>
              <w:rPr>
                <w:rFonts w:ascii="Times New Roman" w:cs="Times New Roman" w:eastAsia="Times New Roman" w:hAnsi="Times New Roman"/>
                <w:sz w:val="12"/>
                <w:szCs w:val="12"/>
                <w:b w:val="1"/>
                <w:bCs w:val="1"/>
                <w:color w:val="auto"/>
              </w:rPr>
              <w:t>Announced Plans or Programs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tcPr>
          <w:p>
            <w:pPr>
              <w:jc w:val="right"/>
              <w:ind w:right="700"/>
              <w:spacing w:after="0"/>
              <w:rPr>
                <w:sz w:val="20"/>
                <w:szCs w:val="20"/>
                <w:color w:val="auto"/>
              </w:rPr>
            </w:pPr>
            <w:r>
              <w:rPr>
                <w:rFonts w:ascii="Times New Roman" w:cs="Times New Roman" w:eastAsia="Times New Roman" w:hAnsi="Times New Roman"/>
                <w:sz w:val="12"/>
                <w:szCs w:val="12"/>
                <w:b w:val="1"/>
                <w:bCs w:val="1"/>
                <w:color w:val="auto"/>
              </w:rPr>
              <w:t>Under the Plans or Programs</w:t>
            </w:r>
          </w:p>
        </w:tc>
        <w:tc>
          <w:tcPr>
            <w:tcW w:w="0" w:type="dxa"/>
            <w:vAlign w:val="bottom"/>
          </w:tcPr>
          <w:p>
            <w:pPr>
              <w:spacing w:after="0"/>
              <w:rPr>
                <w:sz w:val="1"/>
                <w:szCs w:val="1"/>
                <w:color w:val="auto"/>
              </w:rPr>
            </w:pPr>
          </w:p>
        </w:tc>
      </w:tr>
      <w:tr>
        <w:trPr>
          <w:trHeight w:val="142"/>
        </w:trPr>
        <w:tc>
          <w:tcPr>
            <w:tcW w:w="2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April 1-30, 2024</w:t>
            </w:r>
          </w:p>
        </w:tc>
        <w:tc>
          <w:tcPr>
            <w:tcW w:w="8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54,219</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3.23</w:t>
            </w:r>
          </w:p>
        </w:tc>
        <w:tc>
          <w:tcPr>
            <w:tcW w:w="80" w:type="dxa"/>
            <w:vAlign w:val="bottom"/>
            <w:tcBorders>
              <w:top w:val="single" w:sz="8" w:color="CCEEFF"/>
            </w:tcBorders>
            <w:shd w:val="clear" w:color="auto" w:fill="CCEEFF"/>
          </w:tcPr>
          <w:p>
            <w:pPr>
              <w:spacing w:after="0"/>
              <w:rPr>
                <w:sz w:val="12"/>
                <w:szCs w:val="12"/>
                <w:color w:val="auto"/>
              </w:rPr>
            </w:pPr>
          </w:p>
        </w:tc>
        <w:tc>
          <w:tcPr>
            <w:tcW w:w="30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w w:val="82"/>
              </w:rPr>
              <w:t>—</w:t>
            </w:r>
          </w:p>
        </w:tc>
        <w:tc>
          <w:tcPr>
            <w:tcW w:w="80" w:type="dxa"/>
            <w:vAlign w:val="bottom"/>
            <w:tcBorders>
              <w:top w:val="single" w:sz="8" w:color="CCEEFF"/>
            </w:tcBorders>
            <w:shd w:val="clear" w:color="auto" w:fill="CCEEFF"/>
          </w:tcPr>
          <w:p>
            <w:pPr>
              <w:spacing w:after="0"/>
              <w:rPr>
                <w:sz w:val="12"/>
                <w:szCs w:val="12"/>
                <w:color w:val="auto"/>
              </w:rPr>
            </w:pPr>
          </w:p>
        </w:tc>
        <w:tc>
          <w:tcPr>
            <w:tcW w:w="3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690,296</w:t>
            </w:r>
          </w:p>
        </w:tc>
        <w:tc>
          <w:tcPr>
            <w:tcW w:w="0" w:type="dxa"/>
            <w:vAlign w:val="bottom"/>
          </w:tcPr>
          <w:p>
            <w:pPr>
              <w:spacing w:after="0"/>
              <w:rPr>
                <w:sz w:val="1"/>
                <w:szCs w:val="1"/>
                <w:color w:val="auto"/>
              </w:rPr>
            </w:pPr>
          </w:p>
        </w:tc>
      </w:tr>
      <w:tr>
        <w:trPr>
          <w:trHeight w:val="153"/>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May 1-31, 2024</w:t>
            </w: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3,079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3.21</w:t>
            </w:r>
          </w:p>
        </w:tc>
        <w:tc>
          <w:tcPr>
            <w:tcW w:w="8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12"/>
                <w:szCs w:val="12"/>
                <w:color w:val="auto"/>
                <w:w w:val="82"/>
              </w:rPr>
              <w:t>—</w:t>
            </w:r>
          </w:p>
        </w:tc>
        <w:tc>
          <w:tcPr>
            <w:tcW w:w="31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690,296</w:t>
            </w:r>
          </w:p>
        </w:tc>
        <w:tc>
          <w:tcPr>
            <w:tcW w:w="0" w:type="dxa"/>
            <w:vAlign w:val="bottom"/>
          </w:tcPr>
          <w:p>
            <w:pPr>
              <w:spacing w:after="0"/>
              <w:rPr>
                <w:sz w:val="1"/>
                <w:szCs w:val="1"/>
                <w:color w:val="auto"/>
              </w:rPr>
            </w:pPr>
          </w:p>
        </w:tc>
      </w:tr>
      <w:tr>
        <w:trPr>
          <w:trHeight w:val="153"/>
        </w:trPr>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June 1-30, 2024</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00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w w:val="82"/>
              </w:rPr>
              <w:t>—</w:t>
            </w:r>
          </w:p>
        </w:tc>
        <w:tc>
          <w:tcPr>
            <w:tcW w:w="3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690,296</w:t>
            </w:r>
          </w:p>
        </w:tc>
        <w:tc>
          <w:tcPr>
            <w:tcW w:w="0" w:type="dxa"/>
            <w:vAlign w:val="bottom"/>
          </w:tcPr>
          <w:p>
            <w:pPr>
              <w:spacing w:after="0"/>
              <w:rPr>
                <w:sz w:val="1"/>
                <w:szCs w:val="1"/>
                <w:color w:val="auto"/>
              </w:rPr>
            </w:pPr>
          </w:p>
        </w:tc>
      </w:tr>
      <w:tr>
        <w:trPr>
          <w:trHeight w:val="142"/>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Total</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57,298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3.18</w:t>
            </w:r>
          </w:p>
        </w:tc>
        <w:tc>
          <w:tcPr>
            <w:tcW w:w="80" w:type="dxa"/>
            <w:vAlign w:val="bottom"/>
          </w:tcPr>
          <w:p>
            <w:pPr>
              <w:spacing w:after="0"/>
              <w:rPr>
                <w:sz w:val="12"/>
                <w:szCs w:val="12"/>
                <w:color w:val="auto"/>
              </w:rPr>
            </w:pPr>
          </w:p>
        </w:tc>
        <w:tc>
          <w:tcPr>
            <w:tcW w:w="30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20" w:hanging="212"/>
        <w:spacing w:after="0"/>
        <w:tabs>
          <w:tab w:leader="none" w:pos="420" w:val="left"/>
        </w:tabs>
        <w:numPr>
          <w:ilvl w:val="0"/>
          <w:numId w:val="2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Represents shares (in whole units) withheld to satisfy employees' tax withholding obligations related to the vesting of restricted stock awards, which was determined based on the fair market value on the vesting date.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3. Defaults Upon Senior Securities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4. Mine Safety Disclosures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025"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2"/>
          <w:szCs w:val="12"/>
          <w:b w:val="1"/>
          <w:bCs w:val="1"/>
          <w:color w:val="auto"/>
        </w:rPr>
        <w:t>Item 5. Other Information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Rule 10b5-1 Director and Officer Trading Arrangements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June 16, 2023, Sean Kiewiet, an officer of the Company as defined in Section 16 of the Exchange Act, adopted a Rule 10b5-1 trading arrangement as defined in Item 408(a) of the SEC's Regulation S-K.</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640" w:type="dxa"/>
            <w:vAlign w:val="bottom"/>
            <w:gridSpan w:val="4"/>
          </w:tcPr>
          <w:p>
            <w:pPr>
              <w:ind w:left="380"/>
              <w:spacing w:after="0"/>
              <w:rPr>
                <w:sz w:val="20"/>
                <w:szCs w:val="20"/>
                <w:color w:val="auto"/>
              </w:rPr>
            </w:pPr>
            <w:r>
              <w:rPr>
                <w:rFonts w:ascii="Times New Roman" w:cs="Times New Roman" w:eastAsia="Times New Roman" w:hAnsi="Times New Roman"/>
                <w:sz w:val="12"/>
                <w:szCs w:val="12"/>
                <w:b w:val="1"/>
                <w:bCs w:val="1"/>
                <w:color w:val="auto"/>
              </w:rPr>
              <w:t>Officer or Director Name and Title</w:t>
            </w:r>
          </w:p>
        </w:tc>
        <w:tc>
          <w:tcPr>
            <w:tcW w:w="1320" w:type="dxa"/>
            <w:vAlign w:val="bottom"/>
            <w:gridSpan w:val="2"/>
          </w:tcPr>
          <w:p>
            <w:pPr>
              <w:ind w:left="460"/>
              <w:spacing w:after="0"/>
              <w:rPr>
                <w:sz w:val="20"/>
                <w:szCs w:val="20"/>
                <w:color w:val="auto"/>
              </w:rPr>
            </w:pPr>
            <w:r>
              <w:rPr>
                <w:rFonts w:ascii="Times New Roman" w:cs="Times New Roman" w:eastAsia="Times New Roman" w:hAnsi="Times New Roman"/>
                <w:sz w:val="12"/>
                <w:szCs w:val="12"/>
                <w:b w:val="1"/>
                <w:bCs w:val="1"/>
                <w:color w:val="auto"/>
              </w:rPr>
              <w:t>Action</w:t>
            </w:r>
          </w:p>
        </w:tc>
        <w:tc>
          <w:tcPr>
            <w:tcW w:w="1360" w:type="dxa"/>
            <w:vAlign w:val="bottom"/>
            <w:gridSpan w:val="2"/>
          </w:tcPr>
          <w:p>
            <w:pPr>
              <w:ind w:left="380"/>
              <w:spacing w:after="0"/>
              <w:rPr>
                <w:sz w:val="20"/>
                <w:szCs w:val="20"/>
                <w:color w:val="auto"/>
              </w:rPr>
            </w:pPr>
            <w:r>
              <w:rPr>
                <w:rFonts w:ascii="Times New Roman" w:cs="Times New Roman" w:eastAsia="Times New Roman" w:hAnsi="Times New Roman"/>
                <w:sz w:val="12"/>
                <w:szCs w:val="12"/>
                <w:b w:val="1"/>
                <w:bCs w:val="1"/>
                <w:color w:val="auto"/>
              </w:rPr>
              <w:t>Plan Type</w:t>
            </w:r>
          </w:p>
        </w:tc>
        <w:tc>
          <w:tcPr>
            <w:tcW w:w="2020" w:type="dxa"/>
            <w:vAlign w:val="bottom"/>
            <w:gridSpan w:val="2"/>
          </w:tcPr>
          <w:p>
            <w:pPr>
              <w:ind w:left="860"/>
              <w:spacing w:after="0"/>
              <w:rPr>
                <w:sz w:val="20"/>
                <w:szCs w:val="20"/>
                <w:color w:val="auto"/>
              </w:rPr>
            </w:pPr>
            <w:r>
              <w:rPr>
                <w:rFonts w:ascii="Times New Roman" w:cs="Times New Roman" w:eastAsia="Times New Roman" w:hAnsi="Times New Roman"/>
                <w:sz w:val="12"/>
                <w:szCs w:val="12"/>
                <w:b w:val="1"/>
                <w:bCs w:val="1"/>
                <w:color w:val="auto"/>
              </w:rPr>
              <w:t>Date</w:t>
            </w:r>
          </w:p>
        </w:tc>
        <w:tc>
          <w:tcPr>
            <w:tcW w:w="192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Number of Shares to be sold</w:t>
            </w:r>
          </w:p>
        </w:tc>
        <w:tc>
          <w:tcPr>
            <w:tcW w:w="2040" w:type="dxa"/>
            <w:vAlign w:val="bottom"/>
          </w:tcPr>
          <w:p>
            <w:pPr>
              <w:ind w:left="740"/>
              <w:spacing w:after="0"/>
              <w:rPr>
                <w:sz w:val="20"/>
                <w:szCs w:val="20"/>
                <w:color w:val="auto"/>
              </w:rPr>
            </w:pPr>
            <w:r>
              <w:rPr>
                <w:rFonts w:ascii="Times New Roman" w:cs="Times New Roman" w:eastAsia="Times New Roman" w:hAnsi="Times New Roman"/>
                <w:sz w:val="12"/>
                <w:szCs w:val="12"/>
                <w:b w:val="1"/>
                <w:bCs w:val="1"/>
                <w:color w:val="auto"/>
              </w:rPr>
              <w:t>Expiration</w:t>
            </w:r>
          </w:p>
        </w:tc>
      </w:tr>
      <w:tr>
        <w:trPr>
          <w:trHeight w:val="106"/>
        </w:trPr>
        <w:tc>
          <w:tcPr>
            <w:tcW w:w="1180" w:type="dxa"/>
            <w:vAlign w:val="bottom"/>
            <w:tcBorders>
              <w:top w:val="single" w:sz="8" w:color="auto"/>
            </w:tcBorders>
            <w:gridSpan w:val="2"/>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Sean Kiewiet,</w:t>
            </w:r>
          </w:p>
        </w:tc>
        <w:tc>
          <w:tcPr>
            <w:tcW w:w="14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2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9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8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40" w:type="dxa"/>
            <w:vAlign w:val="bottom"/>
            <w:tcBorders>
              <w:top w:val="single" w:sz="8" w:color="auto"/>
            </w:tcBorders>
            <w:shd w:val="clear" w:color="auto" w:fill="CCEEFF"/>
          </w:tcPr>
          <w:p>
            <w:pPr>
              <w:spacing w:after="0"/>
              <w:rPr>
                <w:sz w:val="9"/>
                <w:szCs w:val="9"/>
                <w:color w:val="auto"/>
              </w:rPr>
            </w:pPr>
          </w:p>
        </w:tc>
      </w:tr>
      <w:tr>
        <w:trPr>
          <w:trHeight w:val="162"/>
        </w:trPr>
        <w:tc>
          <w:tcPr>
            <w:tcW w:w="1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Chief Strategy Officer</w:t>
            </w:r>
          </w:p>
        </w:tc>
        <w:tc>
          <w:tcPr>
            <w:tcW w:w="1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Adopted</w:t>
            </w: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Rule 10b5-1</w:t>
            </w:r>
          </w:p>
        </w:tc>
        <w:tc>
          <w:tcPr>
            <w:tcW w:w="2020" w:type="dxa"/>
            <w:vAlign w:val="bottom"/>
            <w:gridSpan w:val="2"/>
            <w:shd w:val="clear" w:color="auto" w:fill="CCEEFF"/>
          </w:tcPr>
          <w:p>
            <w:pPr>
              <w:jc w:val="center"/>
              <w:ind w:right="1340"/>
              <w:spacing w:after="0"/>
              <w:rPr>
                <w:sz w:val="20"/>
                <w:szCs w:val="20"/>
                <w:color w:val="auto"/>
              </w:rPr>
            </w:pPr>
            <w:r>
              <w:rPr>
                <w:rFonts w:ascii="Times New Roman" w:cs="Times New Roman" w:eastAsia="Times New Roman" w:hAnsi="Times New Roman"/>
                <w:sz w:val="12"/>
                <w:szCs w:val="12"/>
                <w:color w:val="auto"/>
              </w:rPr>
              <w:t>June 16, 2023</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620,000</w:t>
            </w:r>
          </w:p>
        </w:tc>
        <w:tc>
          <w:tcPr>
            <w:tcW w:w="80" w:type="dxa"/>
            <w:vAlign w:val="bottom"/>
            <w:shd w:val="clear" w:color="auto" w:fill="CCEEFF"/>
          </w:tcPr>
          <w:p>
            <w:pPr>
              <w:spacing w:after="0"/>
              <w:rPr>
                <w:sz w:val="14"/>
                <w:szCs w:val="14"/>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December 31, 2024</w:t>
            </w:r>
          </w:p>
        </w:tc>
      </w:tr>
      <w:tr>
        <w:trPr>
          <w:trHeight w:val="657"/>
        </w:trPr>
        <w:tc>
          <w:tcPr>
            <w:tcW w:w="11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Item 6. Exhibits</w:t>
            </w: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62"/>
        </w:trPr>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153"/>
        </w:trPr>
        <w:tc>
          <w:tcPr>
            <w:tcW w:w="1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r>
      <w:tr>
        <w:trPr>
          <w:trHeight w:val="106"/>
        </w:trPr>
        <w:tc>
          <w:tcPr>
            <w:tcW w:w="1100" w:type="dxa"/>
            <w:vAlign w:val="bottom"/>
            <w:tcBorders>
              <w:top w:val="single" w:sz="8" w:color="auto"/>
            </w:tcBorders>
          </w:tcPr>
          <w:p>
            <w:pPr>
              <w:spacing w:after="0" w:line="106" w:lineRule="exact"/>
              <w:rPr>
                <w:rFonts w:ascii="Times New Roman" w:cs="Times New Roman" w:eastAsia="Times New Roman" w:hAnsi="Times New Roman"/>
                <w:sz w:val="12"/>
                <w:szCs w:val="12"/>
                <w:color w:val="0000FF"/>
              </w:rPr>
            </w:pPr>
            <w:hyperlink r:id="rId89">
              <w:r>
                <w:rPr>
                  <w:rFonts w:ascii="Times New Roman" w:cs="Times New Roman" w:eastAsia="Times New Roman" w:hAnsi="Times New Roman"/>
                  <w:sz w:val="12"/>
                  <w:szCs w:val="12"/>
                  <w:color w:val="0000FF"/>
                </w:rPr>
                <w:t>2.1</w:t>
              </w:r>
            </w:hyperlink>
          </w:p>
        </w:tc>
        <w:tc>
          <w:tcPr>
            <w:tcW w:w="80" w:type="dxa"/>
            <w:vAlign w:val="bottom"/>
          </w:tcPr>
          <w:p>
            <w:pPr>
              <w:spacing w:after="0"/>
              <w:rPr>
                <w:sz w:val="9"/>
                <w:szCs w:val="9"/>
                <w:color w:val="auto"/>
              </w:rPr>
            </w:pPr>
          </w:p>
        </w:tc>
        <w:tc>
          <w:tcPr>
            <w:tcW w:w="10120" w:type="dxa"/>
            <w:vAlign w:val="bottom"/>
            <w:tcBorders>
              <w:top w:val="single" w:sz="8" w:color="auto"/>
            </w:tcBorders>
            <w:gridSpan w:val="11"/>
          </w:tcPr>
          <w:p>
            <w:pPr>
              <w:spacing w:after="0" w:line="106" w:lineRule="exact"/>
              <w:rPr>
                <w:rFonts w:ascii="Times New Roman" w:cs="Times New Roman" w:eastAsia="Times New Roman" w:hAnsi="Times New Roman"/>
                <w:sz w:val="12"/>
                <w:szCs w:val="12"/>
                <w:color w:val="0000FF"/>
              </w:rPr>
            </w:pPr>
            <w:hyperlink r:id="rId89">
              <w:r>
                <w:rPr>
                  <w:rFonts w:ascii="Times New Roman" w:cs="Times New Roman" w:eastAsia="Times New Roman" w:hAnsi="Times New Roman"/>
                  <w:sz w:val="12"/>
                  <w:szCs w:val="12"/>
                  <w:color w:val="0000FF"/>
                </w:rPr>
                <w:t>Second Amended and Restated Contribution Agreement, dated as of April 17, 2018, by and among Priority Investment Holdings, Priority Incentive Equity Holdings, LLC and M I Acquisitions, Inc.</w:t>
              </w:r>
            </w:hyperlink>
          </w:p>
        </w:tc>
      </w:tr>
      <w:tr>
        <w:trPr>
          <w:trHeight w:val="158"/>
        </w:trPr>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160" w:type="dxa"/>
            <w:vAlign w:val="bottom"/>
            <w:gridSpan w:val="8"/>
          </w:tcPr>
          <w:p>
            <w:pPr>
              <w:spacing w:after="0"/>
              <w:rPr>
                <w:rFonts w:ascii="Times New Roman" w:cs="Times New Roman" w:eastAsia="Times New Roman" w:hAnsi="Times New Roman"/>
                <w:sz w:val="12"/>
                <w:szCs w:val="12"/>
                <w:color w:val="0000FF"/>
              </w:rPr>
            </w:pPr>
            <w:hyperlink r:id="rId89">
              <w:r>
                <w:rPr>
                  <w:rFonts w:ascii="Times New Roman" w:cs="Times New Roman" w:eastAsia="Times New Roman" w:hAnsi="Times New Roman"/>
                  <w:sz w:val="12"/>
                  <w:szCs w:val="12"/>
                  <w:color w:val="0000FF"/>
                </w:rPr>
                <w:t>(incorporated by reference to Annex A to the Company's Proxy Statement on Schedule 14(a), filed July 5, 2018).</w:t>
              </w:r>
            </w:hyperlink>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157"/>
        </w:trPr>
        <w:tc>
          <w:tcPr>
            <w:tcW w:w="1100" w:type="dxa"/>
            <w:vAlign w:val="bottom"/>
            <w:shd w:val="clear" w:color="auto" w:fill="CCEEFF"/>
          </w:tcPr>
          <w:p>
            <w:pPr>
              <w:spacing w:after="0"/>
              <w:rPr>
                <w:rFonts w:ascii="Times New Roman" w:cs="Times New Roman" w:eastAsia="Times New Roman" w:hAnsi="Times New Roman"/>
                <w:sz w:val="12"/>
                <w:szCs w:val="12"/>
                <w:color w:val="0000FF"/>
              </w:rPr>
            </w:pPr>
            <w:hyperlink r:id="rId90">
              <w:r>
                <w:rPr>
                  <w:rFonts w:ascii="Times New Roman" w:cs="Times New Roman" w:eastAsia="Times New Roman" w:hAnsi="Times New Roman"/>
                  <w:sz w:val="12"/>
                  <w:szCs w:val="12"/>
                  <w:color w:val="0000FF"/>
                </w:rPr>
                <w:t>2.2</w:t>
              </w:r>
            </w:hyperlink>
          </w:p>
        </w:tc>
        <w:tc>
          <w:tcPr>
            <w:tcW w:w="80" w:type="dxa"/>
            <w:vAlign w:val="bottom"/>
            <w:shd w:val="clear" w:color="auto" w:fill="CCEEFF"/>
          </w:tcPr>
          <w:p>
            <w:pPr>
              <w:spacing w:after="0"/>
              <w:rPr>
                <w:sz w:val="13"/>
                <w:szCs w:val="13"/>
                <w:color w:val="auto"/>
              </w:rPr>
            </w:pPr>
          </w:p>
        </w:tc>
        <w:tc>
          <w:tcPr>
            <w:tcW w:w="8080" w:type="dxa"/>
            <w:vAlign w:val="bottom"/>
            <w:gridSpan w:val="10"/>
            <w:shd w:val="clear" w:color="auto" w:fill="CCEEFF"/>
          </w:tcPr>
          <w:p>
            <w:pPr>
              <w:spacing w:after="0"/>
              <w:rPr>
                <w:rFonts w:ascii="Times New Roman" w:cs="Times New Roman" w:eastAsia="Times New Roman" w:hAnsi="Times New Roman"/>
                <w:sz w:val="12"/>
                <w:szCs w:val="12"/>
                <w:color w:val="0000FF"/>
              </w:rPr>
            </w:pPr>
            <w:hyperlink r:id="rId90">
              <w:r>
                <w:rPr>
                  <w:rFonts w:ascii="Times New Roman" w:cs="Times New Roman" w:eastAsia="Times New Roman" w:hAnsi="Times New Roman"/>
                  <w:sz w:val="12"/>
                  <w:szCs w:val="12"/>
                  <w:color w:val="0000FF"/>
                </w:rPr>
                <w:t>Agreement and Plan of Merger, dated as of March 5, 2021, by and among the Company, Finxera, Merger Sub, and the Equityholder Representative.</w:t>
              </w:r>
            </w:hyperlink>
          </w:p>
        </w:tc>
        <w:tc>
          <w:tcPr>
            <w:tcW w:w="2040" w:type="dxa"/>
            <w:vAlign w:val="bottom"/>
            <w:shd w:val="clear" w:color="auto" w:fill="CCEEFF"/>
          </w:tcPr>
          <w:p>
            <w:pPr>
              <w:spacing w:after="0"/>
              <w:rPr>
                <w:sz w:val="13"/>
                <w:szCs w:val="13"/>
                <w:color w:val="auto"/>
              </w:rPr>
            </w:pPr>
          </w:p>
        </w:tc>
      </w:tr>
      <w:tr>
        <w:trPr>
          <w:trHeight w:val="153"/>
        </w:trPr>
        <w:tc>
          <w:tcPr>
            <w:tcW w:w="1100" w:type="dxa"/>
            <w:vAlign w:val="bottom"/>
          </w:tcPr>
          <w:p>
            <w:pPr>
              <w:spacing w:after="0"/>
              <w:rPr>
                <w:rFonts w:ascii="Times New Roman" w:cs="Times New Roman" w:eastAsia="Times New Roman" w:hAnsi="Times New Roman"/>
                <w:sz w:val="12"/>
                <w:szCs w:val="12"/>
                <w:color w:val="0000FF"/>
              </w:rPr>
            </w:pPr>
            <w:hyperlink r:id="rId91">
              <w:r>
                <w:rPr>
                  <w:rFonts w:ascii="Times New Roman" w:cs="Times New Roman" w:eastAsia="Times New Roman" w:hAnsi="Times New Roman"/>
                  <w:sz w:val="12"/>
                  <w:szCs w:val="12"/>
                  <w:color w:val="0000FF"/>
                </w:rPr>
                <w:t>2.3</w:t>
              </w:r>
            </w:hyperlink>
          </w:p>
        </w:tc>
        <w:tc>
          <w:tcPr>
            <w:tcW w:w="80" w:type="dxa"/>
            <w:vAlign w:val="bottom"/>
          </w:tcPr>
          <w:p>
            <w:pPr>
              <w:spacing w:after="0"/>
              <w:rPr>
                <w:sz w:val="13"/>
                <w:szCs w:val="13"/>
                <w:color w:val="auto"/>
              </w:rPr>
            </w:pPr>
          </w:p>
        </w:tc>
        <w:tc>
          <w:tcPr>
            <w:tcW w:w="8080" w:type="dxa"/>
            <w:vAlign w:val="bottom"/>
            <w:gridSpan w:val="10"/>
          </w:tcPr>
          <w:p>
            <w:pPr>
              <w:spacing w:after="0"/>
              <w:rPr>
                <w:rFonts w:ascii="Times New Roman" w:cs="Times New Roman" w:eastAsia="Times New Roman" w:hAnsi="Times New Roman"/>
                <w:sz w:val="12"/>
                <w:szCs w:val="12"/>
                <w:color w:val="0000FF"/>
              </w:rPr>
            </w:pPr>
            <w:hyperlink r:id="rId91">
              <w:r>
                <w:rPr>
                  <w:rFonts w:ascii="Times New Roman" w:cs="Times New Roman" w:eastAsia="Times New Roman" w:hAnsi="Times New Roman"/>
                  <w:sz w:val="12"/>
                  <w:szCs w:val="12"/>
                  <w:color w:val="0000FF"/>
                </w:rPr>
                <w:t>Certificate of Amendment to the Certificate of Incorporation of Priority Technology Holdings dated April 16, 2021, filed April 29, 2021</w:t>
              </w:r>
            </w:hyperlink>
          </w:p>
        </w:tc>
        <w:tc>
          <w:tcPr>
            <w:tcW w:w="2040" w:type="dxa"/>
            <w:vAlign w:val="bottom"/>
          </w:tcPr>
          <w:p>
            <w:pPr>
              <w:spacing w:after="0"/>
              <w:rPr>
                <w:sz w:val="13"/>
                <w:szCs w:val="13"/>
                <w:color w:val="auto"/>
              </w:rPr>
            </w:pPr>
          </w:p>
        </w:tc>
      </w:tr>
      <w:tr>
        <w:trPr>
          <w:trHeight w:val="153"/>
        </w:trPr>
        <w:tc>
          <w:tcPr>
            <w:tcW w:w="1100" w:type="dxa"/>
            <w:vAlign w:val="bottom"/>
            <w:shd w:val="clear" w:color="auto" w:fill="CCEEFF"/>
          </w:tcPr>
          <w:p>
            <w:pPr>
              <w:spacing w:after="0"/>
              <w:rPr>
                <w:rFonts w:ascii="Times New Roman" w:cs="Times New Roman" w:eastAsia="Times New Roman" w:hAnsi="Times New Roman"/>
                <w:sz w:val="12"/>
                <w:szCs w:val="12"/>
                <w:color w:val="0000FF"/>
              </w:rPr>
            </w:pPr>
            <w:hyperlink r:id="rId92">
              <w:r>
                <w:rPr>
                  <w:rFonts w:ascii="Times New Roman" w:cs="Times New Roman" w:eastAsia="Times New Roman" w:hAnsi="Times New Roman"/>
                  <w:sz w:val="12"/>
                  <w:szCs w:val="12"/>
                  <w:color w:val="0000FF"/>
                </w:rPr>
                <w:t>2.4</w:t>
              </w:r>
            </w:hyperlink>
          </w:p>
        </w:tc>
        <w:tc>
          <w:tcPr>
            <w:tcW w:w="80" w:type="dxa"/>
            <w:vAlign w:val="bottom"/>
            <w:shd w:val="clear" w:color="auto" w:fill="CCEEFF"/>
          </w:tcPr>
          <w:p>
            <w:pPr>
              <w:spacing w:after="0"/>
              <w:rPr>
                <w:sz w:val="13"/>
                <w:szCs w:val="13"/>
                <w:color w:val="auto"/>
              </w:rPr>
            </w:pPr>
          </w:p>
        </w:tc>
        <w:tc>
          <w:tcPr>
            <w:tcW w:w="8080" w:type="dxa"/>
            <w:vAlign w:val="bottom"/>
            <w:gridSpan w:val="10"/>
            <w:shd w:val="clear" w:color="auto" w:fill="CCEEFF"/>
          </w:tcPr>
          <w:p>
            <w:pPr>
              <w:spacing w:after="0"/>
              <w:rPr>
                <w:rFonts w:ascii="Times New Roman" w:cs="Times New Roman" w:eastAsia="Times New Roman" w:hAnsi="Times New Roman"/>
                <w:sz w:val="12"/>
                <w:szCs w:val="12"/>
                <w:color w:val="0000FF"/>
              </w:rPr>
            </w:pPr>
            <w:hyperlink r:id="rId92">
              <w:r>
                <w:rPr>
                  <w:rFonts w:ascii="Times New Roman" w:cs="Times New Roman" w:eastAsia="Times New Roman" w:hAnsi="Times New Roman"/>
                  <w:sz w:val="12"/>
                  <w:szCs w:val="12"/>
                  <w:color w:val="0000FF"/>
                </w:rPr>
                <w:t>Agreement and Plan of Merger by and among the Company, Finxera Holdings, Inc., Prime Warrior Acquisition Corp., and Stone Point Capital LLC.</w:t>
              </w:r>
            </w:hyperlink>
          </w:p>
        </w:tc>
        <w:tc>
          <w:tcPr>
            <w:tcW w:w="2040" w:type="dxa"/>
            <w:vAlign w:val="bottom"/>
            <w:shd w:val="clear" w:color="auto" w:fill="CCEEFF"/>
          </w:tcPr>
          <w:p>
            <w:pPr>
              <w:spacing w:after="0"/>
              <w:rPr>
                <w:sz w:val="13"/>
                <w:szCs w:val="13"/>
                <w:color w:val="auto"/>
              </w:rPr>
            </w:pPr>
          </w:p>
        </w:tc>
      </w:tr>
      <w:tr>
        <w:trPr>
          <w:trHeight w:val="153"/>
        </w:trPr>
        <w:tc>
          <w:tcPr>
            <w:tcW w:w="1100" w:type="dxa"/>
            <w:vAlign w:val="bottom"/>
          </w:tcPr>
          <w:p>
            <w:pPr>
              <w:spacing w:after="0"/>
              <w:rPr>
                <w:rFonts w:ascii="Times New Roman" w:cs="Times New Roman" w:eastAsia="Times New Roman" w:hAnsi="Times New Roman"/>
                <w:sz w:val="12"/>
                <w:szCs w:val="12"/>
                <w:color w:val="0000FF"/>
              </w:rPr>
            </w:pPr>
            <w:hyperlink r:id="rId93">
              <w:r>
                <w:rPr>
                  <w:rFonts w:ascii="Times New Roman" w:cs="Times New Roman" w:eastAsia="Times New Roman" w:hAnsi="Times New Roman"/>
                  <w:sz w:val="12"/>
                  <w:szCs w:val="12"/>
                  <w:color w:val="0000FF"/>
                </w:rPr>
                <w:t>3.1</w:t>
              </w:r>
            </w:hyperlink>
          </w:p>
        </w:tc>
        <w:tc>
          <w:tcPr>
            <w:tcW w:w="80" w:type="dxa"/>
            <w:vAlign w:val="bottom"/>
          </w:tcPr>
          <w:p>
            <w:pPr>
              <w:spacing w:after="0"/>
              <w:rPr>
                <w:sz w:val="13"/>
                <w:szCs w:val="13"/>
                <w:color w:val="auto"/>
              </w:rPr>
            </w:pPr>
          </w:p>
        </w:tc>
        <w:tc>
          <w:tcPr>
            <w:tcW w:w="10120" w:type="dxa"/>
            <w:vAlign w:val="bottom"/>
            <w:gridSpan w:val="11"/>
          </w:tcPr>
          <w:p>
            <w:pPr>
              <w:spacing w:after="0"/>
              <w:rPr>
                <w:rFonts w:ascii="Times New Roman" w:cs="Times New Roman" w:eastAsia="Times New Roman" w:hAnsi="Times New Roman"/>
                <w:sz w:val="12"/>
                <w:szCs w:val="12"/>
                <w:color w:val="0000FF"/>
              </w:rPr>
            </w:pPr>
            <w:hyperlink r:id="rId93">
              <w:r>
                <w:rPr>
                  <w:rFonts w:ascii="Times New Roman" w:cs="Times New Roman" w:eastAsia="Times New Roman" w:hAnsi="Times New Roman"/>
                  <w:sz w:val="12"/>
                  <w:szCs w:val="12"/>
                  <w:color w:val="0000FF"/>
                </w:rPr>
                <w:t>Second Amended and Restated Certificate of Incorporation of Priority Technology Holdings, Inc. (incorporated by reference to Exhibit 3.1 to the Company's Current Report on Form 8-K, filed July 31, 2018).</w:t>
              </w:r>
            </w:hyperlink>
          </w:p>
        </w:tc>
      </w:tr>
      <w:tr>
        <w:trPr>
          <w:trHeight w:val="153"/>
        </w:trPr>
        <w:tc>
          <w:tcPr>
            <w:tcW w:w="1100" w:type="dxa"/>
            <w:vAlign w:val="bottom"/>
            <w:shd w:val="clear" w:color="auto" w:fill="CCEEFF"/>
          </w:tcPr>
          <w:p>
            <w:pPr>
              <w:spacing w:after="0"/>
              <w:rPr>
                <w:rFonts w:ascii="Times New Roman" w:cs="Times New Roman" w:eastAsia="Times New Roman" w:hAnsi="Times New Roman"/>
                <w:sz w:val="12"/>
                <w:szCs w:val="12"/>
                <w:color w:val="0000FF"/>
              </w:rPr>
            </w:pPr>
            <w:hyperlink r:id="rId94">
              <w:r>
                <w:rPr>
                  <w:rFonts w:ascii="Times New Roman" w:cs="Times New Roman" w:eastAsia="Times New Roman" w:hAnsi="Times New Roman"/>
                  <w:sz w:val="12"/>
                  <w:szCs w:val="12"/>
                  <w:color w:val="0000FF"/>
                </w:rPr>
                <w:t>3.2</w:t>
              </w:r>
            </w:hyperlink>
          </w:p>
        </w:tc>
        <w:tc>
          <w:tcPr>
            <w:tcW w:w="80" w:type="dxa"/>
            <w:vAlign w:val="bottom"/>
            <w:shd w:val="clear" w:color="auto" w:fill="CCEEFF"/>
          </w:tcPr>
          <w:p>
            <w:pPr>
              <w:spacing w:after="0"/>
              <w:rPr>
                <w:sz w:val="13"/>
                <w:szCs w:val="13"/>
                <w:color w:val="auto"/>
              </w:rPr>
            </w:pPr>
          </w:p>
        </w:tc>
        <w:tc>
          <w:tcPr>
            <w:tcW w:w="10120" w:type="dxa"/>
            <w:vAlign w:val="bottom"/>
            <w:gridSpan w:val="11"/>
            <w:shd w:val="clear" w:color="auto" w:fill="CCEEFF"/>
          </w:tcPr>
          <w:p>
            <w:pPr>
              <w:spacing w:after="0"/>
              <w:rPr>
                <w:rFonts w:ascii="Times New Roman" w:cs="Times New Roman" w:eastAsia="Times New Roman" w:hAnsi="Times New Roman"/>
                <w:sz w:val="12"/>
                <w:szCs w:val="12"/>
                <w:color w:val="0000FF"/>
              </w:rPr>
            </w:pPr>
            <w:hyperlink r:id="rId94">
              <w:r>
                <w:rPr>
                  <w:rFonts w:ascii="Times New Roman" w:cs="Times New Roman" w:eastAsia="Times New Roman" w:hAnsi="Times New Roman"/>
                  <w:sz w:val="12"/>
                  <w:szCs w:val="12"/>
                  <w:color w:val="0000FF"/>
                </w:rPr>
                <w:t>Amended and Restated Bylaws of Priority Technology Holdings, Inc. (incorporated by reference to Exhibit 3.2 to the Company's Current Report on Form 8-K, filed July 31, 2018).</w:t>
              </w:r>
            </w:hyperlink>
          </w:p>
        </w:tc>
      </w:tr>
      <w:tr>
        <w:trPr>
          <w:trHeight w:val="117"/>
        </w:trPr>
        <w:tc>
          <w:tcPr>
            <w:tcW w:w="1100" w:type="dxa"/>
            <w:vAlign w:val="bottom"/>
          </w:tcPr>
          <w:p>
            <w:pPr>
              <w:spacing w:after="0" w:line="117" w:lineRule="exact"/>
              <w:rPr>
                <w:rFonts w:ascii="Times New Roman" w:cs="Times New Roman" w:eastAsia="Times New Roman" w:hAnsi="Times New Roman"/>
                <w:sz w:val="12"/>
                <w:szCs w:val="12"/>
                <w:color w:val="0000FF"/>
              </w:rPr>
            </w:pPr>
            <w:hyperlink r:id="rId95">
              <w:r>
                <w:rPr>
                  <w:rFonts w:ascii="Times New Roman" w:cs="Times New Roman" w:eastAsia="Times New Roman" w:hAnsi="Times New Roman"/>
                  <w:sz w:val="12"/>
                  <w:szCs w:val="12"/>
                  <w:color w:val="0000FF"/>
                </w:rPr>
                <w:t>4.1</w:t>
              </w:r>
            </w:hyperlink>
          </w:p>
        </w:tc>
        <w:tc>
          <w:tcPr>
            <w:tcW w:w="80" w:type="dxa"/>
            <w:vAlign w:val="bottom"/>
          </w:tcPr>
          <w:p>
            <w:pPr>
              <w:spacing w:after="0"/>
              <w:rPr>
                <w:sz w:val="10"/>
                <w:szCs w:val="10"/>
                <w:color w:val="auto"/>
              </w:rPr>
            </w:pPr>
          </w:p>
        </w:tc>
        <w:tc>
          <w:tcPr>
            <w:tcW w:w="10120" w:type="dxa"/>
            <w:vAlign w:val="bottom"/>
            <w:gridSpan w:val="11"/>
          </w:tcPr>
          <w:p>
            <w:pPr>
              <w:spacing w:after="0" w:line="117" w:lineRule="exact"/>
              <w:rPr>
                <w:rFonts w:ascii="Times New Roman" w:cs="Times New Roman" w:eastAsia="Times New Roman" w:hAnsi="Times New Roman"/>
                <w:sz w:val="12"/>
                <w:szCs w:val="12"/>
                <w:color w:val="0000FF"/>
              </w:rPr>
            </w:pPr>
            <w:hyperlink r:id="rId95">
              <w:r>
                <w:rPr>
                  <w:rFonts w:ascii="Times New Roman" w:cs="Times New Roman" w:eastAsia="Times New Roman" w:hAnsi="Times New Roman"/>
                  <w:sz w:val="12"/>
                  <w:szCs w:val="12"/>
                  <w:color w:val="0000FF"/>
                </w:rPr>
                <w:t>Warrant Agreement, dated September 13, 2016, by and between American Stock Transfer &amp; Trust Company, LLC and the Registrant (incorporated by reference to Exhibit 4.1 to the Current Report on Form 8-</w:t>
              </w:r>
            </w:hyperlink>
          </w:p>
        </w:tc>
      </w:tr>
      <w:tr>
        <w:trPr>
          <w:trHeight w:val="158"/>
        </w:trPr>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gridSpan w:val="2"/>
          </w:tcPr>
          <w:p>
            <w:pPr>
              <w:spacing w:after="0"/>
              <w:rPr>
                <w:rFonts w:ascii="Times New Roman" w:cs="Times New Roman" w:eastAsia="Times New Roman" w:hAnsi="Times New Roman"/>
                <w:sz w:val="12"/>
                <w:szCs w:val="12"/>
                <w:color w:val="0000FF"/>
              </w:rPr>
            </w:pPr>
            <w:hyperlink r:id="rId95">
              <w:r>
                <w:rPr>
                  <w:rFonts w:ascii="Times New Roman" w:cs="Times New Roman" w:eastAsia="Times New Roman" w:hAnsi="Times New Roman"/>
                  <w:sz w:val="12"/>
                  <w:szCs w:val="12"/>
                  <w:color w:val="0000FF"/>
                </w:rPr>
                <w:t>K, filed September 16, 2016).</w:t>
              </w:r>
            </w:hyperlink>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157"/>
        </w:trPr>
        <w:tc>
          <w:tcPr>
            <w:tcW w:w="1100" w:type="dxa"/>
            <w:vAlign w:val="bottom"/>
            <w:shd w:val="clear" w:color="auto" w:fill="CCEEFF"/>
          </w:tcPr>
          <w:p>
            <w:pPr>
              <w:spacing w:after="0"/>
              <w:rPr>
                <w:rFonts w:ascii="Times New Roman" w:cs="Times New Roman" w:eastAsia="Times New Roman" w:hAnsi="Times New Roman"/>
                <w:sz w:val="12"/>
                <w:szCs w:val="12"/>
                <w:color w:val="0000FF"/>
              </w:rPr>
            </w:pPr>
            <w:hyperlink r:id="rId96">
              <w:r>
                <w:rPr>
                  <w:rFonts w:ascii="Times New Roman" w:cs="Times New Roman" w:eastAsia="Times New Roman" w:hAnsi="Times New Roman"/>
                  <w:sz w:val="12"/>
                  <w:szCs w:val="12"/>
                  <w:color w:val="0000FF"/>
                </w:rPr>
                <w:t>4.2</w:t>
              </w:r>
            </w:hyperlink>
          </w:p>
        </w:tc>
        <w:tc>
          <w:tcPr>
            <w:tcW w:w="80" w:type="dxa"/>
            <w:vAlign w:val="bottom"/>
            <w:shd w:val="clear" w:color="auto" w:fill="CCEEFF"/>
          </w:tcPr>
          <w:p>
            <w:pPr>
              <w:spacing w:after="0"/>
              <w:rPr>
                <w:sz w:val="13"/>
                <w:szCs w:val="13"/>
                <w:color w:val="auto"/>
              </w:rPr>
            </w:pPr>
          </w:p>
        </w:tc>
        <w:tc>
          <w:tcPr>
            <w:tcW w:w="2780" w:type="dxa"/>
            <w:vAlign w:val="bottom"/>
            <w:gridSpan w:val="4"/>
            <w:shd w:val="clear" w:color="auto" w:fill="CCEEFF"/>
          </w:tcPr>
          <w:p>
            <w:pPr>
              <w:spacing w:after="0"/>
              <w:rPr>
                <w:rFonts w:ascii="Times New Roman" w:cs="Times New Roman" w:eastAsia="Times New Roman" w:hAnsi="Times New Roman"/>
                <w:sz w:val="12"/>
                <w:szCs w:val="12"/>
                <w:color w:val="0000FF"/>
              </w:rPr>
            </w:pPr>
            <w:hyperlink r:id="rId96">
              <w:r>
                <w:rPr>
                  <w:rFonts w:ascii="Times New Roman" w:cs="Times New Roman" w:eastAsia="Times New Roman" w:hAnsi="Times New Roman"/>
                  <w:sz w:val="12"/>
                  <w:szCs w:val="12"/>
                  <w:color w:val="0000FF"/>
                </w:rPr>
                <w:t>Certificate of Designations of Senior Preferred Stock</w:t>
              </w:r>
            </w:hyperlink>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r>
      <w:tr>
        <w:trPr>
          <w:trHeight w:val="117"/>
        </w:trPr>
        <w:tc>
          <w:tcPr>
            <w:tcW w:w="1100" w:type="dxa"/>
            <w:vAlign w:val="bottom"/>
          </w:tcPr>
          <w:p>
            <w:pPr>
              <w:spacing w:after="0" w:line="117" w:lineRule="exact"/>
              <w:rPr>
                <w:rFonts w:ascii="Times New Roman" w:cs="Times New Roman" w:eastAsia="Times New Roman" w:hAnsi="Times New Roman"/>
                <w:sz w:val="12"/>
                <w:szCs w:val="12"/>
                <w:color w:val="0000FF"/>
              </w:rPr>
            </w:pPr>
            <w:hyperlink r:id="rId97">
              <w:r>
                <w:rPr>
                  <w:rFonts w:ascii="Times New Roman" w:cs="Times New Roman" w:eastAsia="Times New Roman" w:hAnsi="Times New Roman"/>
                  <w:sz w:val="12"/>
                  <w:szCs w:val="12"/>
                  <w:color w:val="0000FF"/>
                </w:rPr>
                <w:t>10.1</w:t>
              </w:r>
            </w:hyperlink>
          </w:p>
        </w:tc>
        <w:tc>
          <w:tcPr>
            <w:tcW w:w="80" w:type="dxa"/>
            <w:vAlign w:val="bottom"/>
          </w:tcPr>
          <w:p>
            <w:pPr>
              <w:spacing w:after="0"/>
              <w:rPr>
                <w:sz w:val="10"/>
                <w:szCs w:val="10"/>
                <w:color w:val="auto"/>
              </w:rPr>
            </w:pPr>
          </w:p>
        </w:tc>
        <w:tc>
          <w:tcPr>
            <w:tcW w:w="10120" w:type="dxa"/>
            <w:vAlign w:val="bottom"/>
            <w:gridSpan w:val="11"/>
          </w:tcPr>
          <w:p>
            <w:pPr>
              <w:spacing w:after="0" w:line="117" w:lineRule="exact"/>
              <w:rPr>
                <w:rFonts w:ascii="Times New Roman" w:cs="Times New Roman" w:eastAsia="Times New Roman" w:hAnsi="Times New Roman"/>
                <w:sz w:val="12"/>
                <w:szCs w:val="12"/>
                <w:color w:val="0000FF"/>
              </w:rPr>
            </w:pPr>
            <w:hyperlink r:id="rId97">
              <w:r>
                <w:rPr>
                  <w:rFonts w:ascii="Times New Roman" w:cs="Times New Roman" w:eastAsia="Times New Roman" w:hAnsi="Times New Roman"/>
                  <w:sz w:val="12"/>
                  <w:szCs w:val="12"/>
                  <w:color w:val="0000FF"/>
                </w:rPr>
                <w:t>Registration Rights Agreement dated as of July 25, 2018 by and among M I Acquisitions, Inc. and the other parties thereto (incorporated by reference to Exhibit 10.1 to the Company's Current Report on Form</w:t>
              </w:r>
            </w:hyperlink>
          </w:p>
        </w:tc>
      </w:tr>
      <w:tr>
        <w:trPr>
          <w:trHeight w:val="158"/>
        </w:trPr>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gridSpan w:val="2"/>
          </w:tcPr>
          <w:p>
            <w:pPr>
              <w:spacing w:after="0"/>
              <w:rPr>
                <w:rFonts w:ascii="Times New Roman" w:cs="Times New Roman" w:eastAsia="Times New Roman" w:hAnsi="Times New Roman"/>
                <w:sz w:val="12"/>
                <w:szCs w:val="12"/>
                <w:color w:val="0000FF"/>
              </w:rPr>
            </w:pPr>
            <w:hyperlink r:id="rId97">
              <w:r>
                <w:rPr>
                  <w:rFonts w:ascii="Times New Roman" w:cs="Times New Roman" w:eastAsia="Times New Roman" w:hAnsi="Times New Roman"/>
                  <w:sz w:val="12"/>
                  <w:szCs w:val="12"/>
                  <w:color w:val="0000FF"/>
                </w:rPr>
                <w:t>8-K, filed July 31, 2018).</w:t>
              </w:r>
            </w:hyperlink>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157"/>
        </w:trPr>
        <w:tc>
          <w:tcPr>
            <w:tcW w:w="1100" w:type="dxa"/>
            <w:vAlign w:val="bottom"/>
            <w:shd w:val="clear" w:color="auto" w:fill="CCEEFF"/>
          </w:tcPr>
          <w:p>
            <w:pPr>
              <w:spacing w:after="0"/>
              <w:rPr>
                <w:rFonts w:ascii="Times New Roman" w:cs="Times New Roman" w:eastAsia="Times New Roman" w:hAnsi="Times New Roman"/>
                <w:sz w:val="12"/>
                <w:szCs w:val="12"/>
                <w:color w:val="0000FF"/>
              </w:rPr>
            </w:pPr>
            <w:hyperlink r:id="rId98">
              <w:r>
                <w:rPr>
                  <w:rFonts w:ascii="Times New Roman" w:cs="Times New Roman" w:eastAsia="Times New Roman" w:hAnsi="Times New Roman"/>
                  <w:sz w:val="12"/>
                  <w:szCs w:val="12"/>
                  <w:color w:val="0000FF"/>
                </w:rPr>
                <w:t>10.2</w:t>
              </w:r>
            </w:hyperlink>
          </w:p>
        </w:tc>
        <w:tc>
          <w:tcPr>
            <w:tcW w:w="80" w:type="dxa"/>
            <w:vAlign w:val="bottom"/>
            <w:shd w:val="clear" w:color="auto" w:fill="CCEEFF"/>
          </w:tcPr>
          <w:p>
            <w:pPr>
              <w:spacing w:after="0"/>
              <w:rPr>
                <w:sz w:val="13"/>
                <w:szCs w:val="13"/>
                <w:color w:val="auto"/>
              </w:rPr>
            </w:pPr>
          </w:p>
        </w:tc>
        <w:tc>
          <w:tcPr>
            <w:tcW w:w="10120" w:type="dxa"/>
            <w:vAlign w:val="bottom"/>
            <w:gridSpan w:val="11"/>
            <w:shd w:val="clear" w:color="auto" w:fill="CCEEFF"/>
          </w:tcPr>
          <w:p>
            <w:pPr>
              <w:spacing w:after="0"/>
              <w:rPr>
                <w:rFonts w:ascii="Times New Roman" w:cs="Times New Roman" w:eastAsia="Times New Roman" w:hAnsi="Times New Roman"/>
                <w:sz w:val="12"/>
                <w:szCs w:val="12"/>
                <w:color w:val="0000FF"/>
              </w:rPr>
            </w:pPr>
            <w:hyperlink r:id="rId98">
              <w:r>
                <w:rPr>
                  <w:rFonts w:ascii="Times New Roman" w:cs="Times New Roman" w:eastAsia="Times New Roman" w:hAnsi="Times New Roman"/>
                  <w:sz w:val="12"/>
                  <w:szCs w:val="12"/>
                  <w:color w:val="0000FF"/>
                </w:rPr>
                <w:t>Priority Technology Holdings, Inc. 2018 Equity Incentive Plan (incorporated by reference to Exhibit 10.2 to the Company's Current Report on Form 8-K, filed July 31, 2018).</w:t>
              </w:r>
            </w:hyperlink>
          </w:p>
        </w:tc>
      </w:tr>
      <w:tr>
        <w:trPr>
          <w:trHeight w:val="153"/>
        </w:trPr>
        <w:tc>
          <w:tcPr>
            <w:tcW w:w="1100" w:type="dxa"/>
            <w:vAlign w:val="bottom"/>
          </w:tcPr>
          <w:p>
            <w:pPr>
              <w:spacing w:after="0"/>
              <w:rPr>
                <w:rFonts w:ascii="Times New Roman" w:cs="Times New Roman" w:eastAsia="Times New Roman" w:hAnsi="Times New Roman"/>
                <w:sz w:val="12"/>
                <w:szCs w:val="12"/>
                <w:color w:val="0000FF"/>
              </w:rPr>
            </w:pPr>
            <w:hyperlink r:id="rId99">
              <w:r>
                <w:rPr>
                  <w:rFonts w:ascii="Times New Roman" w:cs="Times New Roman" w:eastAsia="Times New Roman" w:hAnsi="Times New Roman"/>
                  <w:sz w:val="12"/>
                  <w:szCs w:val="12"/>
                  <w:color w:val="0000FF"/>
                </w:rPr>
                <w:t>10.3</w:t>
              </w:r>
            </w:hyperlink>
          </w:p>
        </w:tc>
        <w:tc>
          <w:tcPr>
            <w:tcW w:w="80" w:type="dxa"/>
            <w:vAlign w:val="bottom"/>
          </w:tcPr>
          <w:p>
            <w:pPr>
              <w:spacing w:after="0"/>
              <w:rPr>
                <w:sz w:val="13"/>
                <w:szCs w:val="13"/>
                <w:color w:val="auto"/>
              </w:rPr>
            </w:pPr>
          </w:p>
        </w:tc>
        <w:tc>
          <w:tcPr>
            <w:tcW w:w="4140" w:type="dxa"/>
            <w:vAlign w:val="bottom"/>
            <w:gridSpan w:val="6"/>
          </w:tcPr>
          <w:p>
            <w:pPr>
              <w:spacing w:after="0"/>
              <w:rPr>
                <w:rFonts w:ascii="Times New Roman" w:cs="Times New Roman" w:eastAsia="Times New Roman" w:hAnsi="Times New Roman"/>
                <w:sz w:val="12"/>
                <w:szCs w:val="12"/>
                <w:color w:val="0000FF"/>
              </w:rPr>
            </w:pPr>
            <w:hyperlink r:id="rId99">
              <w:r>
                <w:rPr>
                  <w:rFonts w:ascii="Times New Roman" w:cs="Times New Roman" w:eastAsia="Times New Roman" w:hAnsi="Times New Roman"/>
                  <w:sz w:val="12"/>
                  <w:szCs w:val="12"/>
                  <w:color w:val="0000FF"/>
                </w:rPr>
                <w:t>Priority Technology Holdings, Inc. 2021 Employee Stock Purchase Plan</w:t>
              </w:r>
            </w:hyperlink>
          </w:p>
        </w:tc>
        <w:tc>
          <w:tcPr>
            <w:tcW w:w="1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153"/>
        </w:trPr>
        <w:tc>
          <w:tcPr>
            <w:tcW w:w="1100" w:type="dxa"/>
            <w:vAlign w:val="bottom"/>
            <w:shd w:val="clear" w:color="auto" w:fill="CCEEFF"/>
          </w:tcPr>
          <w:p>
            <w:pPr>
              <w:spacing w:after="0"/>
              <w:rPr>
                <w:rFonts w:ascii="Times New Roman" w:cs="Times New Roman" w:eastAsia="Times New Roman" w:hAnsi="Times New Roman"/>
                <w:sz w:val="12"/>
                <w:szCs w:val="12"/>
                <w:color w:val="0000FF"/>
              </w:rPr>
            </w:pPr>
            <w:hyperlink r:id="rId100">
              <w:r>
                <w:rPr>
                  <w:rFonts w:ascii="Times New Roman" w:cs="Times New Roman" w:eastAsia="Times New Roman" w:hAnsi="Times New Roman"/>
                  <w:sz w:val="12"/>
                  <w:szCs w:val="12"/>
                  <w:color w:val="0000FF"/>
                </w:rPr>
                <w:t>10.3.1</w:t>
              </w:r>
            </w:hyperlink>
          </w:p>
        </w:tc>
        <w:tc>
          <w:tcPr>
            <w:tcW w:w="80" w:type="dxa"/>
            <w:vAlign w:val="bottom"/>
            <w:shd w:val="clear" w:color="auto" w:fill="CCEEFF"/>
          </w:tcPr>
          <w:p>
            <w:pPr>
              <w:spacing w:after="0"/>
              <w:rPr>
                <w:sz w:val="13"/>
                <w:szCs w:val="13"/>
                <w:color w:val="auto"/>
              </w:rPr>
            </w:pPr>
          </w:p>
        </w:tc>
        <w:tc>
          <w:tcPr>
            <w:tcW w:w="6160" w:type="dxa"/>
            <w:vAlign w:val="bottom"/>
            <w:gridSpan w:val="8"/>
            <w:shd w:val="clear" w:color="auto" w:fill="CCEEFF"/>
          </w:tcPr>
          <w:p>
            <w:pPr>
              <w:spacing w:after="0"/>
              <w:rPr>
                <w:rFonts w:ascii="Times New Roman" w:cs="Times New Roman" w:eastAsia="Times New Roman" w:hAnsi="Times New Roman"/>
                <w:sz w:val="12"/>
                <w:szCs w:val="12"/>
                <w:color w:val="0000FF"/>
              </w:rPr>
            </w:pPr>
            <w:hyperlink r:id="rId100">
              <w:r>
                <w:rPr>
                  <w:rFonts w:ascii="Times New Roman" w:cs="Times New Roman" w:eastAsia="Times New Roman" w:hAnsi="Times New Roman"/>
                  <w:sz w:val="12"/>
                  <w:szCs w:val="12"/>
                  <w:color w:val="0000FF"/>
                </w:rPr>
                <w:t>Amendment No. 1 to Priority Technology Holdings, Inc. 2021 Employee Stock Purchase Plan</w:t>
              </w:r>
            </w:hyperlink>
          </w:p>
        </w:tc>
        <w:tc>
          <w:tcPr>
            <w:tcW w:w="1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r>
      <w:tr>
        <w:trPr>
          <w:trHeight w:val="117"/>
        </w:trPr>
        <w:tc>
          <w:tcPr>
            <w:tcW w:w="1180" w:type="dxa"/>
            <w:vAlign w:val="bottom"/>
            <w:gridSpan w:val="2"/>
          </w:tcPr>
          <w:p>
            <w:pPr>
              <w:spacing w:after="0" w:line="117" w:lineRule="exact"/>
              <w:rPr>
                <w:rFonts w:ascii="Times New Roman" w:cs="Times New Roman" w:eastAsia="Times New Roman" w:hAnsi="Times New Roman"/>
                <w:sz w:val="12"/>
                <w:szCs w:val="12"/>
                <w:color w:val="0000FF"/>
              </w:rPr>
            </w:pPr>
            <w:hyperlink r:id="rId101">
              <w:r>
                <w:rPr>
                  <w:rFonts w:ascii="Times New Roman" w:cs="Times New Roman" w:eastAsia="Times New Roman" w:hAnsi="Times New Roman"/>
                  <w:sz w:val="12"/>
                  <w:szCs w:val="12"/>
                  <w:color w:val="0000FF"/>
                </w:rPr>
                <w:t xml:space="preserve">10.4 </w:t>
              </w:r>
            </w:hyperlink>
            <w:r>
              <w:rPr>
                <w:rFonts w:ascii="Arial" w:cs="Arial" w:eastAsia="Arial" w:hAnsi="Arial"/>
                <w:sz w:val="12"/>
                <w:szCs w:val="12"/>
                <w:color w:val="000000"/>
              </w:rPr>
              <w:t>†</w:t>
            </w:r>
          </w:p>
        </w:tc>
        <w:tc>
          <w:tcPr>
            <w:tcW w:w="10120" w:type="dxa"/>
            <w:vAlign w:val="bottom"/>
            <w:gridSpan w:val="11"/>
          </w:tcPr>
          <w:p>
            <w:pPr>
              <w:spacing w:after="0" w:line="117" w:lineRule="exact"/>
              <w:rPr>
                <w:rFonts w:ascii="Times New Roman" w:cs="Times New Roman" w:eastAsia="Times New Roman" w:hAnsi="Times New Roman"/>
                <w:sz w:val="12"/>
                <w:szCs w:val="12"/>
                <w:color w:val="0000FF"/>
              </w:rPr>
            </w:pPr>
            <w:hyperlink r:id="rId101">
              <w:r>
                <w:rPr>
                  <w:rFonts w:ascii="Times New Roman" w:cs="Times New Roman" w:eastAsia="Times New Roman" w:hAnsi="Times New Roman"/>
                  <w:sz w:val="12"/>
                  <w:szCs w:val="12"/>
                  <w:color w:val="0000FF"/>
                </w:rPr>
                <w:t>Director Agreement by and among Priority Holdings LLC, Pipeline Cynergy Holdings, LLC, Priority Payment Systems Holdings, LLC and Thomas C. Priore, dated May 21, 2014 (incorporated by reference to</w:t>
              </w:r>
            </w:hyperlink>
          </w:p>
        </w:tc>
      </w:tr>
      <w:tr>
        <w:trPr>
          <w:trHeight w:val="158"/>
        </w:trPr>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160" w:type="dxa"/>
            <w:vAlign w:val="bottom"/>
            <w:gridSpan w:val="8"/>
          </w:tcPr>
          <w:p>
            <w:pPr>
              <w:spacing w:after="0"/>
              <w:rPr>
                <w:rFonts w:ascii="Times New Roman" w:cs="Times New Roman" w:eastAsia="Times New Roman" w:hAnsi="Times New Roman"/>
                <w:sz w:val="12"/>
                <w:szCs w:val="12"/>
                <w:color w:val="0000FF"/>
              </w:rPr>
            </w:pPr>
            <w:hyperlink r:id="rId101">
              <w:r>
                <w:rPr>
                  <w:rFonts w:ascii="Times New Roman" w:cs="Times New Roman" w:eastAsia="Times New Roman" w:hAnsi="Times New Roman"/>
                  <w:sz w:val="12"/>
                  <w:szCs w:val="12"/>
                  <w:color w:val="0000FF"/>
                </w:rPr>
                <w:t>Exhibit 10.6 to the Company's Registration Statement on Form S-4/A, filed December 26, 2018).</w:t>
              </w:r>
            </w:hyperlink>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121"/>
        </w:trPr>
        <w:tc>
          <w:tcPr>
            <w:tcW w:w="1180" w:type="dxa"/>
            <w:vAlign w:val="bottom"/>
            <w:gridSpan w:val="2"/>
            <w:shd w:val="clear" w:color="auto" w:fill="CCEEFF"/>
          </w:tcPr>
          <w:p>
            <w:pPr>
              <w:spacing w:after="0" w:line="121" w:lineRule="exact"/>
              <w:rPr>
                <w:rFonts w:ascii="Times New Roman" w:cs="Times New Roman" w:eastAsia="Times New Roman" w:hAnsi="Times New Roman"/>
                <w:sz w:val="12"/>
                <w:szCs w:val="12"/>
                <w:color w:val="0000FF"/>
              </w:rPr>
            </w:pPr>
            <w:hyperlink r:id="rId102">
              <w:r>
                <w:rPr>
                  <w:rFonts w:ascii="Times New Roman" w:cs="Times New Roman" w:eastAsia="Times New Roman" w:hAnsi="Times New Roman"/>
                  <w:sz w:val="12"/>
                  <w:szCs w:val="12"/>
                  <w:color w:val="0000FF"/>
                </w:rPr>
                <w:t xml:space="preserve">10.5 </w:t>
              </w:r>
            </w:hyperlink>
            <w:r>
              <w:rPr>
                <w:rFonts w:ascii="Arial" w:cs="Arial" w:eastAsia="Arial" w:hAnsi="Arial"/>
                <w:sz w:val="12"/>
                <w:szCs w:val="12"/>
                <w:color w:val="000000"/>
              </w:rPr>
              <w:t>†</w:t>
            </w:r>
          </w:p>
        </w:tc>
        <w:tc>
          <w:tcPr>
            <w:tcW w:w="10120" w:type="dxa"/>
            <w:vAlign w:val="bottom"/>
            <w:gridSpan w:val="11"/>
            <w:shd w:val="clear" w:color="auto" w:fill="CCEEFF"/>
          </w:tcPr>
          <w:p>
            <w:pPr>
              <w:spacing w:after="0" w:line="121" w:lineRule="exact"/>
              <w:rPr>
                <w:rFonts w:ascii="Times New Roman" w:cs="Times New Roman" w:eastAsia="Times New Roman" w:hAnsi="Times New Roman"/>
                <w:sz w:val="12"/>
                <w:szCs w:val="12"/>
                <w:color w:val="0000FF"/>
              </w:rPr>
            </w:pPr>
            <w:hyperlink r:id="rId102">
              <w:r>
                <w:rPr>
                  <w:rFonts w:ascii="Times New Roman" w:cs="Times New Roman" w:eastAsia="Times New Roman" w:hAnsi="Times New Roman"/>
                  <w:sz w:val="12"/>
                  <w:szCs w:val="12"/>
                  <w:color w:val="0000FF"/>
                </w:rPr>
                <w:t>Amendment No. 1 to Director Agreement by and among Priority Holdings LLC, Pipeline Cynergy Holdings, LLC, Priority Payment Systems Holdings, LLC and Thomas C. Priore, dated April 19, 2018</w:t>
              </w:r>
            </w:hyperlink>
          </w:p>
        </w:tc>
      </w:tr>
      <w:tr>
        <w:trPr>
          <w:trHeight w:val="162"/>
        </w:trPr>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160" w:type="dxa"/>
            <w:vAlign w:val="bottom"/>
            <w:gridSpan w:val="8"/>
            <w:shd w:val="clear" w:color="auto" w:fill="CCEEFF"/>
          </w:tcPr>
          <w:p>
            <w:pPr>
              <w:spacing w:after="0"/>
              <w:rPr>
                <w:rFonts w:ascii="Times New Roman" w:cs="Times New Roman" w:eastAsia="Times New Roman" w:hAnsi="Times New Roman"/>
                <w:sz w:val="12"/>
                <w:szCs w:val="12"/>
                <w:color w:val="0000FF"/>
              </w:rPr>
            </w:pPr>
            <w:hyperlink r:id="rId102">
              <w:r>
                <w:rPr>
                  <w:rFonts w:ascii="Times New Roman" w:cs="Times New Roman" w:eastAsia="Times New Roman" w:hAnsi="Times New Roman"/>
                  <w:sz w:val="12"/>
                  <w:szCs w:val="12"/>
                  <w:color w:val="0000FF"/>
                </w:rPr>
                <w:t>(incorporated by reference to Exhibit 10.7 to the Company's Registration Statement on Form S-4/A, filed December 26, 2018).</w:t>
              </w:r>
            </w:hyperlink>
          </w:p>
        </w:tc>
        <w:tc>
          <w:tcPr>
            <w:tcW w:w="1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r>
      <w:tr>
        <w:trPr>
          <w:trHeight w:val="153"/>
        </w:trPr>
        <w:tc>
          <w:tcPr>
            <w:tcW w:w="1100" w:type="dxa"/>
            <w:vAlign w:val="bottom"/>
          </w:tcPr>
          <w:p>
            <w:pPr>
              <w:spacing w:after="0"/>
              <w:rPr>
                <w:rFonts w:ascii="Times New Roman" w:cs="Times New Roman" w:eastAsia="Times New Roman" w:hAnsi="Times New Roman"/>
                <w:sz w:val="12"/>
                <w:szCs w:val="12"/>
                <w:color w:val="0000FF"/>
              </w:rPr>
            </w:pPr>
            <w:hyperlink r:id="rId103">
              <w:r>
                <w:rPr>
                  <w:rFonts w:ascii="Times New Roman" w:cs="Times New Roman" w:eastAsia="Times New Roman" w:hAnsi="Times New Roman"/>
                  <w:sz w:val="12"/>
                  <w:szCs w:val="12"/>
                  <w:color w:val="0000FF"/>
                </w:rPr>
                <w:t>10.6</w:t>
              </w:r>
            </w:hyperlink>
          </w:p>
        </w:tc>
        <w:tc>
          <w:tcPr>
            <w:tcW w:w="80" w:type="dxa"/>
            <w:vAlign w:val="bottom"/>
          </w:tcPr>
          <w:p>
            <w:pPr>
              <w:spacing w:after="0"/>
              <w:rPr>
                <w:sz w:val="13"/>
                <w:szCs w:val="13"/>
                <w:color w:val="auto"/>
              </w:rPr>
            </w:pPr>
          </w:p>
        </w:tc>
        <w:tc>
          <w:tcPr>
            <w:tcW w:w="8080" w:type="dxa"/>
            <w:vAlign w:val="bottom"/>
            <w:gridSpan w:val="10"/>
          </w:tcPr>
          <w:p>
            <w:pPr>
              <w:spacing w:after="0"/>
              <w:rPr>
                <w:rFonts w:ascii="Times New Roman" w:cs="Times New Roman" w:eastAsia="Times New Roman" w:hAnsi="Times New Roman"/>
                <w:sz w:val="12"/>
                <w:szCs w:val="12"/>
                <w:color w:val="0000FF"/>
              </w:rPr>
            </w:pPr>
            <w:hyperlink r:id="rId103">
              <w:r>
                <w:rPr>
                  <w:rFonts w:ascii="Times New Roman" w:cs="Times New Roman" w:eastAsia="Times New Roman" w:hAnsi="Times New Roman"/>
                  <w:sz w:val="12"/>
                  <w:szCs w:val="12"/>
                  <w:color w:val="0000FF"/>
                </w:rPr>
                <w:t>Form of Independent Director Agreement (incorporated by reference to Exhibit 10.19 to the Company's Annual Report on Form 10-K, filed March 29, 2019).</w:t>
              </w:r>
            </w:hyperlink>
          </w:p>
        </w:tc>
        <w:tc>
          <w:tcPr>
            <w:tcW w:w="2040" w:type="dxa"/>
            <w:vAlign w:val="bottom"/>
          </w:tcPr>
          <w:p>
            <w:pPr>
              <w:spacing w:after="0"/>
              <w:rPr>
                <w:sz w:val="13"/>
                <w:szCs w:val="13"/>
                <w:color w:val="auto"/>
              </w:rPr>
            </w:pPr>
          </w:p>
        </w:tc>
      </w:tr>
      <w:tr>
        <w:trPr>
          <w:trHeight w:val="117"/>
        </w:trPr>
        <w:tc>
          <w:tcPr>
            <w:tcW w:w="1100" w:type="dxa"/>
            <w:vAlign w:val="bottom"/>
            <w:shd w:val="clear" w:color="auto" w:fill="CCEEFF"/>
          </w:tcPr>
          <w:p>
            <w:pPr>
              <w:spacing w:after="0" w:line="117" w:lineRule="exact"/>
              <w:rPr>
                <w:rFonts w:ascii="Times New Roman" w:cs="Times New Roman" w:eastAsia="Times New Roman" w:hAnsi="Times New Roman"/>
                <w:sz w:val="12"/>
                <w:szCs w:val="12"/>
                <w:color w:val="0000FF"/>
              </w:rPr>
            </w:pPr>
            <w:hyperlink r:id="rId104">
              <w:r>
                <w:rPr>
                  <w:rFonts w:ascii="Times New Roman" w:cs="Times New Roman" w:eastAsia="Times New Roman" w:hAnsi="Times New Roman"/>
                  <w:sz w:val="12"/>
                  <w:szCs w:val="12"/>
                  <w:color w:val="0000FF"/>
                </w:rPr>
                <w:t>10.7</w:t>
              </w:r>
            </w:hyperlink>
          </w:p>
        </w:tc>
        <w:tc>
          <w:tcPr>
            <w:tcW w:w="80" w:type="dxa"/>
            <w:vAlign w:val="bottom"/>
            <w:shd w:val="clear" w:color="auto" w:fill="CCEEFF"/>
          </w:tcPr>
          <w:p>
            <w:pPr>
              <w:spacing w:after="0"/>
              <w:rPr>
                <w:sz w:val="10"/>
                <w:szCs w:val="10"/>
                <w:color w:val="auto"/>
              </w:rPr>
            </w:pPr>
          </w:p>
        </w:tc>
        <w:tc>
          <w:tcPr>
            <w:tcW w:w="10120" w:type="dxa"/>
            <w:vAlign w:val="bottom"/>
            <w:gridSpan w:val="11"/>
            <w:shd w:val="clear" w:color="auto" w:fill="CCEEFF"/>
          </w:tcPr>
          <w:p>
            <w:pPr>
              <w:spacing w:after="0" w:line="117" w:lineRule="exact"/>
              <w:rPr>
                <w:rFonts w:ascii="Times New Roman" w:cs="Times New Roman" w:eastAsia="Times New Roman" w:hAnsi="Times New Roman"/>
                <w:sz w:val="12"/>
                <w:szCs w:val="12"/>
                <w:color w:val="0000FF"/>
              </w:rPr>
            </w:pPr>
            <w:hyperlink r:id="rId104">
              <w:r>
                <w:rPr>
                  <w:rFonts w:ascii="Times New Roman" w:cs="Times New Roman" w:eastAsia="Times New Roman" w:hAnsi="Times New Roman"/>
                  <w:sz w:val="12"/>
                  <w:szCs w:val="12"/>
                  <w:color w:val="0000FF"/>
                </w:rPr>
                <w:t>Asset Purchase Agreement by and between MRI Payments LLC, MRI Software LLC, and Priority Real Estate Technology LLC, dated August 31, 2020 (incorporated by reference to Exhibit 10.1 to the</w:t>
              </w:r>
            </w:hyperlink>
          </w:p>
        </w:tc>
      </w:tr>
      <w:tr>
        <w:trPr>
          <w:trHeight w:val="162"/>
        </w:trPr>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140" w:type="dxa"/>
            <w:vAlign w:val="bottom"/>
            <w:gridSpan w:val="6"/>
            <w:shd w:val="clear" w:color="auto" w:fill="CCEEFF"/>
          </w:tcPr>
          <w:p>
            <w:pPr>
              <w:spacing w:after="0"/>
              <w:rPr>
                <w:rFonts w:ascii="Times New Roman" w:cs="Times New Roman" w:eastAsia="Times New Roman" w:hAnsi="Times New Roman"/>
                <w:sz w:val="12"/>
                <w:szCs w:val="12"/>
                <w:color w:val="0000FF"/>
              </w:rPr>
            </w:pPr>
            <w:hyperlink r:id="rId104">
              <w:r>
                <w:rPr>
                  <w:rFonts w:ascii="Times New Roman" w:cs="Times New Roman" w:eastAsia="Times New Roman" w:hAnsi="Times New Roman"/>
                  <w:sz w:val="12"/>
                  <w:szCs w:val="12"/>
                  <w:color w:val="0000FF"/>
                </w:rPr>
                <w:t>Company's Current Report on Form 8-K filed September 1, 2020).</w:t>
              </w:r>
            </w:hyperlink>
          </w:p>
        </w:tc>
        <w:tc>
          <w:tcPr>
            <w:tcW w:w="1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r>
      <w:tr>
        <w:trPr>
          <w:trHeight w:val="153"/>
        </w:trPr>
        <w:tc>
          <w:tcPr>
            <w:tcW w:w="1100" w:type="dxa"/>
            <w:vAlign w:val="bottom"/>
          </w:tcPr>
          <w:p>
            <w:pPr>
              <w:spacing w:after="0"/>
              <w:rPr>
                <w:rFonts w:ascii="Times New Roman" w:cs="Times New Roman" w:eastAsia="Times New Roman" w:hAnsi="Times New Roman"/>
                <w:sz w:val="12"/>
                <w:szCs w:val="12"/>
                <w:color w:val="0000FF"/>
              </w:rPr>
            </w:pPr>
            <w:hyperlink r:id="rId105">
              <w:r>
                <w:rPr>
                  <w:rFonts w:ascii="Times New Roman" w:cs="Times New Roman" w:eastAsia="Times New Roman" w:hAnsi="Times New Roman"/>
                  <w:sz w:val="12"/>
                  <w:szCs w:val="12"/>
                  <w:color w:val="0000FF"/>
                </w:rPr>
                <w:t>10.8</w:t>
              </w:r>
            </w:hyperlink>
          </w:p>
        </w:tc>
        <w:tc>
          <w:tcPr>
            <w:tcW w:w="80" w:type="dxa"/>
            <w:vAlign w:val="bottom"/>
          </w:tcPr>
          <w:p>
            <w:pPr>
              <w:spacing w:after="0"/>
              <w:rPr>
                <w:sz w:val="13"/>
                <w:szCs w:val="13"/>
                <w:color w:val="auto"/>
              </w:rPr>
            </w:pPr>
          </w:p>
        </w:tc>
        <w:tc>
          <w:tcPr>
            <w:tcW w:w="6160" w:type="dxa"/>
            <w:vAlign w:val="bottom"/>
            <w:gridSpan w:val="8"/>
          </w:tcPr>
          <w:p>
            <w:pPr>
              <w:spacing w:after="0"/>
              <w:rPr>
                <w:rFonts w:ascii="Times New Roman" w:cs="Times New Roman" w:eastAsia="Times New Roman" w:hAnsi="Times New Roman"/>
                <w:sz w:val="12"/>
                <w:szCs w:val="12"/>
                <w:color w:val="0000FF"/>
              </w:rPr>
            </w:pPr>
            <w:hyperlink r:id="rId105">
              <w:r>
                <w:rPr>
                  <w:rFonts w:ascii="Times New Roman" w:cs="Times New Roman" w:eastAsia="Times New Roman" w:hAnsi="Times New Roman"/>
                  <w:sz w:val="12"/>
                  <w:szCs w:val="12"/>
                  <w:color w:val="0000FF"/>
                </w:rPr>
                <w:t>Support Agreement, dated as of March 5, 2021, by and among the Stockholders and Finxera</w:t>
              </w:r>
            </w:hyperlink>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153"/>
        </w:trPr>
        <w:tc>
          <w:tcPr>
            <w:tcW w:w="1100" w:type="dxa"/>
            <w:vAlign w:val="bottom"/>
            <w:shd w:val="clear" w:color="auto" w:fill="CCEEFF"/>
          </w:tcPr>
          <w:p>
            <w:pPr>
              <w:spacing w:after="0"/>
              <w:rPr>
                <w:rFonts w:ascii="Times New Roman" w:cs="Times New Roman" w:eastAsia="Times New Roman" w:hAnsi="Times New Roman"/>
                <w:sz w:val="12"/>
                <w:szCs w:val="12"/>
                <w:color w:val="0000FF"/>
              </w:rPr>
            </w:pPr>
            <w:hyperlink r:id="rId106">
              <w:r>
                <w:rPr>
                  <w:rFonts w:ascii="Times New Roman" w:cs="Times New Roman" w:eastAsia="Times New Roman" w:hAnsi="Times New Roman"/>
                  <w:sz w:val="12"/>
                  <w:szCs w:val="12"/>
                  <w:color w:val="0000FF"/>
                </w:rPr>
                <w:t>10.9</w:t>
              </w:r>
            </w:hyperlink>
          </w:p>
        </w:tc>
        <w:tc>
          <w:tcPr>
            <w:tcW w:w="80" w:type="dxa"/>
            <w:vAlign w:val="bottom"/>
            <w:shd w:val="clear" w:color="auto" w:fill="CCEEFF"/>
          </w:tcPr>
          <w:p>
            <w:pPr>
              <w:spacing w:after="0"/>
              <w:rPr>
                <w:sz w:val="13"/>
                <w:szCs w:val="13"/>
                <w:color w:val="auto"/>
              </w:rPr>
            </w:pPr>
          </w:p>
        </w:tc>
        <w:tc>
          <w:tcPr>
            <w:tcW w:w="6160" w:type="dxa"/>
            <w:vAlign w:val="bottom"/>
            <w:gridSpan w:val="8"/>
            <w:shd w:val="clear" w:color="auto" w:fill="CCEEFF"/>
          </w:tcPr>
          <w:p>
            <w:pPr>
              <w:spacing w:after="0"/>
              <w:rPr>
                <w:rFonts w:ascii="Times New Roman" w:cs="Times New Roman" w:eastAsia="Times New Roman" w:hAnsi="Times New Roman"/>
                <w:sz w:val="12"/>
                <w:szCs w:val="12"/>
                <w:color w:val="0000FF"/>
              </w:rPr>
            </w:pPr>
            <w:hyperlink r:id="rId106">
              <w:r>
                <w:rPr>
                  <w:rFonts w:ascii="Times New Roman" w:cs="Times New Roman" w:eastAsia="Times New Roman" w:hAnsi="Times New Roman"/>
                  <w:sz w:val="12"/>
                  <w:szCs w:val="12"/>
                  <w:color w:val="0000FF"/>
                </w:rPr>
                <w:t>Debt Commitment Letter, dated as of March 5, 2021, between Priority Holdings, LLC and Truist Securities, Inc.</w:t>
              </w:r>
            </w:hyperlink>
          </w:p>
        </w:tc>
        <w:tc>
          <w:tcPr>
            <w:tcW w:w="1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r>
      <w:tr>
        <w:trPr>
          <w:trHeight w:val="810"/>
        </w:trPr>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60" w:type="dxa"/>
            <w:vAlign w:val="bottom"/>
          </w:tcPr>
          <w:p>
            <w:pPr>
              <w:jc w:val="right"/>
              <w:ind w:right="1520"/>
              <w:spacing w:after="0"/>
              <w:rPr>
                <w:sz w:val="20"/>
                <w:szCs w:val="20"/>
                <w:color w:val="auto"/>
              </w:rPr>
            </w:pPr>
            <w:r>
              <w:rPr>
                <w:rFonts w:ascii="Times New Roman" w:cs="Times New Roman" w:eastAsia="Times New Roman" w:hAnsi="Times New Roman"/>
                <w:sz w:val="12"/>
                <w:szCs w:val="12"/>
                <w:color w:val="auto"/>
              </w:rPr>
              <w:t>41</w:t>
            </w:r>
          </w:p>
        </w:tc>
        <w:tc>
          <w:tcPr>
            <w:tcW w:w="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11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96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8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0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025" w:right="299" w:bottom="1440" w:gutter="0" w:footer="0" w:header="0"/>
        </w:sectPr>
      </w:pPr>
    </w:p>
    <w:bookmarkStart w:id="44" w:name="page45"/>
    <w:bookmarkEnd w:id="44"/>
    <w:tbl>
      <w:tblPr>
        <w:tblLayout w:type="fixed"/>
        <w:tblInd w:w="8" w:type="dxa"/>
        <w:tblCellMar>
          <w:top w:w="0" w:type="dxa"/>
          <w:left w:w="0" w:type="dxa"/>
          <w:bottom w:w="0" w:type="dxa"/>
          <w:right w:w="0" w:type="dxa"/>
        </w:tblCellMar>
      </w:tblPr>
      <w:tr>
        <w:trPr>
          <w:trHeight w:val="155"/>
        </w:trPr>
        <w:tc>
          <w:tcPr>
            <w:tcW w:w="860" w:type="dxa"/>
            <w:vAlign w:val="bottom"/>
          </w:tcPr>
          <w:p>
            <w:pPr>
              <w:spacing w:after="0"/>
              <w:rPr>
                <w:rFonts w:ascii="Times New Roman" w:cs="Times New Roman" w:eastAsia="Times New Roman" w:hAnsi="Times New Roman"/>
                <w:sz w:val="12"/>
                <w:szCs w:val="12"/>
                <w:color w:val="0000FF"/>
              </w:rPr>
            </w:pPr>
            <w:hyperlink r:id="rId109">
              <w:r>
                <w:rPr>
                  <w:rFonts w:ascii="Times New Roman" w:cs="Times New Roman" w:eastAsia="Times New Roman" w:hAnsi="Times New Roman"/>
                  <w:sz w:val="12"/>
                  <w:szCs w:val="12"/>
                  <w:color w:val="0000FF"/>
                </w:rPr>
                <w:t>10.10</w:t>
              </w:r>
            </w:hyperlink>
          </w:p>
        </w:tc>
        <w:tc>
          <w:tcPr>
            <w:tcW w:w="10440" w:type="dxa"/>
            <w:vAlign w:val="bottom"/>
          </w:tcPr>
          <w:p>
            <w:pPr>
              <w:ind w:left="320"/>
              <w:spacing w:after="0"/>
              <w:rPr>
                <w:rFonts w:ascii="Times New Roman" w:cs="Times New Roman" w:eastAsia="Times New Roman" w:hAnsi="Times New Roman"/>
                <w:sz w:val="12"/>
                <w:szCs w:val="12"/>
                <w:color w:val="0000FF"/>
              </w:rPr>
            </w:pPr>
            <w:hyperlink r:id="rId109">
              <w:r>
                <w:rPr>
                  <w:rFonts w:ascii="Times New Roman" w:cs="Times New Roman" w:eastAsia="Times New Roman" w:hAnsi="Times New Roman"/>
                  <w:sz w:val="12"/>
                  <w:szCs w:val="12"/>
                  <w:color w:val="0000FF"/>
                </w:rPr>
                <w:t>Preferred Stock Commitment Letter, dated as of March 5, 2021, among the Company and certain affiliates of Ares Capital Management LLC</w:t>
              </w:r>
            </w:hyperlink>
          </w:p>
        </w:tc>
      </w:tr>
      <w:tr>
        <w:trPr>
          <w:trHeight w:val="153"/>
        </w:trPr>
        <w:tc>
          <w:tcPr>
            <w:tcW w:w="860" w:type="dxa"/>
            <w:vAlign w:val="bottom"/>
            <w:shd w:val="clear" w:color="auto" w:fill="CCEEFF"/>
          </w:tcPr>
          <w:p>
            <w:pPr>
              <w:spacing w:after="0"/>
              <w:rPr>
                <w:rFonts w:ascii="Times New Roman" w:cs="Times New Roman" w:eastAsia="Times New Roman" w:hAnsi="Times New Roman"/>
                <w:sz w:val="12"/>
                <w:szCs w:val="12"/>
                <w:color w:val="0000FF"/>
              </w:rPr>
            </w:pPr>
            <w:hyperlink r:id="rId110">
              <w:r>
                <w:rPr>
                  <w:rFonts w:ascii="Times New Roman" w:cs="Times New Roman" w:eastAsia="Times New Roman" w:hAnsi="Times New Roman"/>
                  <w:sz w:val="12"/>
                  <w:szCs w:val="12"/>
                  <w:color w:val="0000FF"/>
                </w:rPr>
                <w:t>10.11</w:t>
              </w:r>
            </w:hyperlink>
          </w:p>
        </w:tc>
        <w:tc>
          <w:tcPr>
            <w:tcW w:w="10440" w:type="dxa"/>
            <w:vAlign w:val="bottom"/>
            <w:shd w:val="clear" w:color="auto" w:fill="CCEEFF"/>
          </w:tcPr>
          <w:p>
            <w:pPr>
              <w:ind w:left="320"/>
              <w:spacing w:after="0"/>
              <w:rPr>
                <w:rFonts w:ascii="Times New Roman" w:cs="Times New Roman" w:eastAsia="Times New Roman" w:hAnsi="Times New Roman"/>
                <w:sz w:val="12"/>
                <w:szCs w:val="12"/>
                <w:color w:val="0000FF"/>
              </w:rPr>
            </w:pPr>
            <w:hyperlink r:id="rId110">
              <w:r>
                <w:rPr>
                  <w:rFonts w:ascii="Times New Roman" w:cs="Times New Roman" w:eastAsia="Times New Roman" w:hAnsi="Times New Roman"/>
                  <w:sz w:val="12"/>
                  <w:szCs w:val="12"/>
                  <w:color w:val="0000FF"/>
                </w:rPr>
                <w:t>Securities Purchase Agreement, dated as of April 27, 2021, among the Company and the Investors named therein</w:t>
              </w:r>
            </w:hyperlink>
          </w:p>
        </w:tc>
      </w:tr>
      <w:tr>
        <w:trPr>
          <w:trHeight w:val="153"/>
        </w:trPr>
        <w:tc>
          <w:tcPr>
            <w:tcW w:w="860" w:type="dxa"/>
            <w:vAlign w:val="bottom"/>
          </w:tcPr>
          <w:p>
            <w:pPr>
              <w:spacing w:after="0"/>
              <w:rPr>
                <w:rFonts w:ascii="Times New Roman" w:cs="Times New Roman" w:eastAsia="Times New Roman" w:hAnsi="Times New Roman"/>
                <w:sz w:val="12"/>
                <w:szCs w:val="12"/>
                <w:color w:val="0000FF"/>
              </w:rPr>
            </w:pPr>
            <w:hyperlink r:id="rId111">
              <w:r>
                <w:rPr>
                  <w:rFonts w:ascii="Times New Roman" w:cs="Times New Roman" w:eastAsia="Times New Roman" w:hAnsi="Times New Roman"/>
                  <w:sz w:val="12"/>
                  <w:szCs w:val="12"/>
                  <w:color w:val="0000FF"/>
                </w:rPr>
                <w:t>10.12</w:t>
              </w:r>
            </w:hyperlink>
          </w:p>
        </w:tc>
        <w:tc>
          <w:tcPr>
            <w:tcW w:w="10440" w:type="dxa"/>
            <w:vAlign w:val="bottom"/>
          </w:tcPr>
          <w:p>
            <w:pPr>
              <w:ind w:left="320"/>
              <w:spacing w:after="0"/>
              <w:rPr>
                <w:rFonts w:ascii="Times New Roman" w:cs="Times New Roman" w:eastAsia="Times New Roman" w:hAnsi="Times New Roman"/>
                <w:sz w:val="12"/>
                <w:szCs w:val="12"/>
                <w:color w:val="0000FF"/>
              </w:rPr>
            </w:pPr>
            <w:hyperlink r:id="rId111">
              <w:r>
                <w:rPr>
                  <w:rFonts w:ascii="Times New Roman" w:cs="Times New Roman" w:eastAsia="Times New Roman" w:hAnsi="Times New Roman"/>
                  <w:sz w:val="12"/>
                  <w:szCs w:val="12"/>
                  <w:color w:val="0000FF"/>
                </w:rPr>
                <w:t>Registration Rights Agreement, dated as of April 27, 2021, among the Company and the Investors name therein</w:t>
              </w:r>
            </w:hyperlink>
          </w:p>
        </w:tc>
      </w:tr>
      <w:tr>
        <w:trPr>
          <w:trHeight w:val="153"/>
        </w:trPr>
        <w:tc>
          <w:tcPr>
            <w:tcW w:w="860" w:type="dxa"/>
            <w:vAlign w:val="bottom"/>
            <w:shd w:val="clear" w:color="auto" w:fill="CCEEFF"/>
          </w:tcPr>
          <w:p>
            <w:pPr>
              <w:spacing w:after="0"/>
              <w:rPr>
                <w:rFonts w:ascii="Times New Roman" w:cs="Times New Roman" w:eastAsia="Times New Roman" w:hAnsi="Times New Roman"/>
                <w:sz w:val="12"/>
                <w:szCs w:val="12"/>
                <w:color w:val="0000FF"/>
              </w:rPr>
            </w:pPr>
            <w:hyperlink r:id="rId112">
              <w:r>
                <w:rPr>
                  <w:rFonts w:ascii="Times New Roman" w:cs="Times New Roman" w:eastAsia="Times New Roman" w:hAnsi="Times New Roman"/>
                  <w:sz w:val="12"/>
                  <w:szCs w:val="12"/>
                  <w:color w:val="0000FF"/>
                </w:rPr>
                <w:t>10.17</w:t>
              </w:r>
            </w:hyperlink>
          </w:p>
        </w:tc>
        <w:tc>
          <w:tcPr>
            <w:tcW w:w="10440" w:type="dxa"/>
            <w:vAlign w:val="bottom"/>
            <w:shd w:val="clear" w:color="auto" w:fill="CCEEFF"/>
          </w:tcPr>
          <w:p>
            <w:pPr>
              <w:ind w:left="320"/>
              <w:spacing w:after="0"/>
              <w:rPr>
                <w:rFonts w:ascii="Times New Roman" w:cs="Times New Roman" w:eastAsia="Times New Roman" w:hAnsi="Times New Roman"/>
                <w:sz w:val="12"/>
                <w:szCs w:val="12"/>
                <w:color w:val="0000FF"/>
              </w:rPr>
            </w:pPr>
            <w:hyperlink r:id="rId112">
              <w:r>
                <w:rPr>
                  <w:rFonts w:ascii="Times New Roman" w:cs="Times New Roman" w:eastAsia="Times New Roman" w:hAnsi="Times New Roman"/>
                  <w:sz w:val="12"/>
                  <w:szCs w:val="12"/>
                  <w:color w:val="0000FF"/>
                </w:rPr>
                <w:t>Form Restricted Stock Unit Award Agreement.</w:t>
              </w:r>
            </w:hyperlink>
          </w:p>
        </w:tc>
      </w:tr>
      <w:tr>
        <w:trPr>
          <w:trHeight w:val="153"/>
        </w:trPr>
        <w:tc>
          <w:tcPr>
            <w:tcW w:w="860" w:type="dxa"/>
            <w:vAlign w:val="bottom"/>
          </w:tcPr>
          <w:p>
            <w:pPr>
              <w:spacing w:after="0"/>
              <w:rPr>
                <w:rFonts w:ascii="Times New Roman" w:cs="Times New Roman" w:eastAsia="Times New Roman" w:hAnsi="Times New Roman"/>
                <w:sz w:val="12"/>
                <w:szCs w:val="12"/>
                <w:color w:val="0000FF"/>
              </w:rPr>
            </w:pPr>
            <w:hyperlink r:id="rId113">
              <w:r>
                <w:rPr>
                  <w:rFonts w:ascii="Times New Roman" w:cs="Times New Roman" w:eastAsia="Times New Roman" w:hAnsi="Times New Roman"/>
                  <w:sz w:val="12"/>
                  <w:szCs w:val="12"/>
                  <w:color w:val="0000FF"/>
                </w:rPr>
                <w:t xml:space="preserve">10.18 </w:t>
              </w:r>
            </w:hyperlink>
            <w:r>
              <w:rPr>
                <w:rFonts w:ascii="Arial" w:cs="Arial" w:eastAsia="Arial" w:hAnsi="Arial"/>
                <w:sz w:val="12"/>
                <w:szCs w:val="12"/>
                <w:color w:val="000000"/>
              </w:rPr>
              <w:t>†</w:t>
            </w:r>
          </w:p>
        </w:tc>
        <w:tc>
          <w:tcPr>
            <w:tcW w:w="10440" w:type="dxa"/>
            <w:vAlign w:val="bottom"/>
          </w:tcPr>
          <w:p>
            <w:pPr>
              <w:ind w:left="320"/>
              <w:spacing w:after="0"/>
              <w:rPr>
                <w:rFonts w:ascii="Times New Roman" w:cs="Times New Roman" w:eastAsia="Times New Roman" w:hAnsi="Times New Roman"/>
                <w:sz w:val="12"/>
                <w:szCs w:val="12"/>
                <w:color w:val="0000FF"/>
              </w:rPr>
            </w:pPr>
            <w:hyperlink r:id="rId113">
              <w:r>
                <w:rPr>
                  <w:rFonts w:ascii="Times New Roman" w:cs="Times New Roman" w:eastAsia="Times New Roman" w:hAnsi="Times New Roman"/>
                  <w:sz w:val="12"/>
                  <w:szCs w:val="12"/>
                  <w:color w:val="0000FF"/>
                </w:rPr>
                <w:t>Executive Employment Agreement between Priority Technology Holdings, Inc. and Tim O'Leary, dated September 19, 2022.</w:t>
              </w:r>
            </w:hyperlink>
          </w:p>
        </w:tc>
      </w:tr>
      <w:tr>
        <w:trPr>
          <w:trHeight w:val="153"/>
        </w:trPr>
        <w:tc>
          <w:tcPr>
            <w:tcW w:w="860" w:type="dxa"/>
            <w:vAlign w:val="bottom"/>
            <w:shd w:val="clear" w:color="auto" w:fill="CCEEFF"/>
          </w:tcPr>
          <w:p>
            <w:pPr>
              <w:spacing w:after="0"/>
              <w:rPr>
                <w:rFonts w:ascii="Times New Roman" w:cs="Times New Roman" w:eastAsia="Times New Roman" w:hAnsi="Times New Roman"/>
                <w:sz w:val="12"/>
                <w:szCs w:val="12"/>
                <w:color w:val="0000FF"/>
              </w:rPr>
            </w:pPr>
            <w:hyperlink r:id="rId114">
              <w:r>
                <w:rPr>
                  <w:rFonts w:ascii="Times New Roman" w:cs="Times New Roman" w:eastAsia="Times New Roman" w:hAnsi="Times New Roman"/>
                  <w:sz w:val="12"/>
                  <w:szCs w:val="12"/>
                  <w:color w:val="0000FF"/>
                </w:rPr>
                <w:t>10.19</w:t>
              </w:r>
            </w:hyperlink>
          </w:p>
        </w:tc>
        <w:tc>
          <w:tcPr>
            <w:tcW w:w="10440" w:type="dxa"/>
            <w:vAlign w:val="bottom"/>
            <w:shd w:val="clear" w:color="auto" w:fill="CCEEFF"/>
          </w:tcPr>
          <w:p>
            <w:pPr>
              <w:ind w:left="320"/>
              <w:spacing w:after="0"/>
              <w:rPr>
                <w:rFonts w:ascii="Times New Roman" w:cs="Times New Roman" w:eastAsia="Times New Roman" w:hAnsi="Times New Roman"/>
                <w:sz w:val="12"/>
                <w:szCs w:val="12"/>
                <w:color w:val="0000FF"/>
              </w:rPr>
            </w:pPr>
            <w:hyperlink r:id="rId114">
              <w:r>
                <w:rPr>
                  <w:rFonts w:ascii="Times New Roman" w:cs="Times New Roman" w:eastAsia="Times New Roman" w:hAnsi="Times New Roman"/>
                  <w:sz w:val="12"/>
                  <w:szCs w:val="12"/>
                  <w:color w:val="0000FF"/>
                </w:rPr>
                <w:t>Priority Technology Holdings, Inc. Recoupment Policy adopted March 1, 2023</w:t>
              </w:r>
            </w:hyperlink>
          </w:p>
        </w:tc>
      </w:tr>
      <w:tr>
        <w:trPr>
          <w:trHeight w:val="153"/>
        </w:trPr>
        <w:tc>
          <w:tcPr>
            <w:tcW w:w="860" w:type="dxa"/>
            <w:vAlign w:val="bottom"/>
          </w:tcPr>
          <w:p>
            <w:pPr>
              <w:spacing w:after="0"/>
              <w:rPr>
                <w:rFonts w:ascii="Times New Roman" w:cs="Times New Roman" w:eastAsia="Times New Roman" w:hAnsi="Times New Roman"/>
                <w:sz w:val="12"/>
                <w:szCs w:val="12"/>
                <w:color w:val="0000FF"/>
              </w:rPr>
            </w:pPr>
            <w:hyperlink r:id="rId115">
              <w:r>
                <w:rPr>
                  <w:rFonts w:ascii="Times New Roman" w:cs="Times New Roman" w:eastAsia="Times New Roman" w:hAnsi="Times New Roman"/>
                  <w:sz w:val="12"/>
                  <w:szCs w:val="12"/>
                  <w:color w:val="0000FF"/>
                </w:rPr>
                <w:t>10.20</w:t>
              </w:r>
            </w:hyperlink>
          </w:p>
        </w:tc>
        <w:tc>
          <w:tcPr>
            <w:tcW w:w="10440" w:type="dxa"/>
            <w:vAlign w:val="bottom"/>
          </w:tcPr>
          <w:p>
            <w:pPr>
              <w:ind w:left="320"/>
              <w:spacing w:after="0"/>
              <w:rPr>
                <w:rFonts w:ascii="Times New Roman" w:cs="Times New Roman" w:eastAsia="Times New Roman" w:hAnsi="Times New Roman"/>
                <w:sz w:val="12"/>
                <w:szCs w:val="12"/>
                <w:color w:val="0000FF"/>
              </w:rPr>
            </w:pPr>
            <w:hyperlink r:id="rId115">
              <w:r>
                <w:rPr>
                  <w:rFonts w:ascii="Times New Roman" w:cs="Times New Roman" w:eastAsia="Times New Roman" w:hAnsi="Times New Roman"/>
                  <w:sz w:val="12"/>
                  <w:szCs w:val="12"/>
                  <w:color w:val="0000FF"/>
                </w:rPr>
                <w:t>Amendment No. 1 to Equity and Asset Purchase Agreement, dated July 31, 2023, by and among Plastiq, Powered by Priority, LLC, Plastiq Inc., PLV Inc. and Nearside Business Corp.</w:t>
              </w:r>
            </w:hyperlink>
          </w:p>
        </w:tc>
      </w:tr>
      <w:tr>
        <w:trPr>
          <w:trHeight w:val="153"/>
        </w:trPr>
        <w:tc>
          <w:tcPr>
            <w:tcW w:w="860" w:type="dxa"/>
            <w:vAlign w:val="bottom"/>
            <w:shd w:val="clear" w:color="auto" w:fill="CCEEFF"/>
          </w:tcPr>
          <w:p>
            <w:pPr>
              <w:spacing w:after="0"/>
              <w:rPr>
                <w:rFonts w:ascii="Times New Roman" w:cs="Times New Roman" w:eastAsia="Times New Roman" w:hAnsi="Times New Roman"/>
                <w:sz w:val="12"/>
                <w:szCs w:val="12"/>
                <w:color w:val="0000FF"/>
              </w:rPr>
            </w:pPr>
            <w:hyperlink r:id="rId116">
              <w:r>
                <w:rPr>
                  <w:rFonts w:ascii="Times New Roman" w:cs="Times New Roman" w:eastAsia="Times New Roman" w:hAnsi="Times New Roman"/>
                  <w:sz w:val="12"/>
                  <w:szCs w:val="12"/>
                  <w:color w:val="0000FF"/>
                </w:rPr>
                <w:t>10.21</w:t>
              </w:r>
            </w:hyperlink>
          </w:p>
        </w:tc>
        <w:tc>
          <w:tcPr>
            <w:tcW w:w="10440" w:type="dxa"/>
            <w:vAlign w:val="bottom"/>
            <w:shd w:val="clear" w:color="auto" w:fill="CCEEFF"/>
          </w:tcPr>
          <w:p>
            <w:pPr>
              <w:ind w:left="320"/>
              <w:spacing w:after="0"/>
              <w:rPr>
                <w:rFonts w:ascii="Times New Roman" w:cs="Times New Roman" w:eastAsia="Times New Roman" w:hAnsi="Times New Roman"/>
                <w:sz w:val="12"/>
                <w:szCs w:val="12"/>
                <w:color w:val="0000FF"/>
              </w:rPr>
            </w:pPr>
            <w:hyperlink r:id="rId116">
              <w:r>
                <w:rPr>
                  <w:rFonts w:ascii="Times New Roman" w:cs="Times New Roman" w:eastAsia="Times New Roman" w:hAnsi="Times New Roman"/>
                  <w:sz w:val="12"/>
                  <w:szCs w:val="12"/>
                  <w:color w:val="0000FF"/>
                </w:rPr>
                <w:t>Side Letter Agreement, dated July 28, 2023, by and between Plastiq, Powered by Priority, LLC and Colonnade Acquisition Corp. II.</w:t>
              </w:r>
            </w:hyperlink>
          </w:p>
        </w:tc>
      </w:tr>
      <w:tr>
        <w:trPr>
          <w:trHeight w:val="153"/>
        </w:trPr>
        <w:tc>
          <w:tcPr>
            <w:tcW w:w="860" w:type="dxa"/>
            <w:vAlign w:val="bottom"/>
          </w:tcPr>
          <w:p>
            <w:pPr>
              <w:spacing w:after="0"/>
              <w:rPr>
                <w:rFonts w:ascii="Times New Roman" w:cs="Times New Roman" w:eastAsia="Times New Roman" w:hAnsi="Times New Roman"/>
                <w:sz w:val="12"/>
                <w:szCs w:val="12"/>
                <w:color w:val="0000FF"/>
              </w:rPr>
            </w:pPr>
            <w:hyperlink r:id="rId117">
              <w:r>
                <w:rPr>
                  <w:rFonts w:ascii="Times New Roman" w:cs="Times New Roman" w:eastAsia="Times New Roman" w:hAnsi="Times New Roman"/>
                  <w:sz w:val="12"/>
                  <w:szCs w:val="12"/>
                  <w:color w:val="0000FF"/>
                </w:rPr>
                <w:t>10.22</w:t>
              </w:r>
            </w:hyperlink>
          </w:p>
        </w:tc>
        <w:tc>
          <w:tcPr>
            <w:tcW w:w="10440" w:type="dxa"/>
            <w:vAlign w:val="bottom"/>
          </w:tcPr>
          <w:p>
            <w:pPr>
              <w:ind w:left="320"/>
              <w:spacing w:after="0"/>
              <w:rPr>
                <w:rFonts w:ascii="Times New Roman" w:cs="Times New Roman" w:eastAsia="Times New Roman" w:hAnsi="Times New Roman"/>
                <w:sz w:val="12"/>
                <w:szCs w:val="12"/>
                <w:color w:val="0000FF"/>
              </w:rPr>
            </w:pPr>
            <w:hyperlink r:id="rId117">
              <w:r>
                <w:rPr>
                  <w:rFonts w:ascii="Times New Roman" w:cs="Times New Roman" w:eastAsia="Times New Roman" w:hAnsi="Times New Roman"/>
                  <w:sz w:val="12"/>
                  <w:szCs w:val="12"/>
                  <w:color w:val="0000FF"/>
                </w:rPr>
                <w:t>Earnout Agreement, dated July 31, 2023, by and among Plastiq, Powered by Priority, LLC, Plastiq Inc., PLV Inc., Nearside Business Corp., Blue Torch Finance, LLC and Priority Holdings, LLC.</w:t>
              </w:r>
            </w:hyperlink>
          </w:p>
        </w:tc>
      </w:tr>
      <w:tr>
        <w:trPr>
          <w:trHeight w:val="117"/>
        </w:trPr>
        <w:tc>
          <w:tcPr>
            <w:tcW w:w="860" w:type="dxa"/>
            <w:vAlign w:val="bottom"/>
            <w:shd w:val="clear" w:color="auto" w:fill="CCEEFF"/>
          </w:tcPr>
          <w:p>
            <w:pPr>
              <w:spacing w:after="0" w:line="117" w:lineRule="exact"/>
              <w:rPr>
                <w:rFonts w:ascii="Times New Roman" w:cs="Times New Roman" w:eastAsia="Times New Roman" w:hAnsi="Times New Roman"/>
                <w:sz w:val="12"/>
                <w:szCs w:val="12"/>
                <w:color w:val="0000FF"/>
              </w:rPr>
            </w:pPr>
            <w:hyperlink r:id="rId118">
              <w:r>
                <w:rPr>
                  <w:rFonts w:ascii="Times New Roman" w:cs="Times New Roman" w:eastAsia="Times New Roman" w:hAnsi="Times New Roman"/>
                  <w:sz w:val="12"/>
                  <w:szCs w:val="12"/>
                  <w:color w:val="0000FF"/>
                </w:rPr>
                <w:t>10.23</w:t>
              </w:r>
            </w:hyperlink>
          </w:p>
        </w:tc>
        <w:tc>
          <w:tcPr>
            <w:tcW w:w="10440" w:type="dxa"/>
            <w:vAlign w:val="bottom"/>
            <w:shd w:val="clear" w:color="auto" w:fill="CCEEFF"/>
          </w:tcPr>
          <w:p>
            <w:pPr>
              <w:ind w:left="320"/>
              <w:spacing w:after="0" w:line="117" w:lineRule="exact"/>
              <w:rPr>
                <w:rFonts w:ascii="Times New Roman" w:cs="Times New Roman" w:eastAsia="Times New Roman" w:hAnsi="Times New Roman"/>
                <w:sz w:val="12"/>
                <w:szCs w:val="12"/>
                <w:color w:val="0000FF"/>
              </w:rPr>
            </w:pPr>
            <w:hyperlink r:id="rId118">
              <w:r>
                <w:rPr>
                  <w:rFonts w:ascii="Times New Roman" w:cs="Times New Roman" w:eastAsia="Times New Roman" w:hAnsi="Times New Roman"/>
                  <w:sz w:val="12"/>
                  <w:szCs w:val="12"/>
                  <w:color w:val="0000FF"/>
                </w:rPr>
                <w:t>Priority Technology Holdings, Inc. Amended and Restated Certificate of Designations of the Powers, Preferences and Relative, Participating, Optional and Other Special Rights, and Qualifications, Limitations</w:t>
              </w:r>
            </w:hyperlink>
          </w:p>
        </w:tc>
      </w:tr>
      <w:tr>
        <w:trPr>
          <w:trHeight w:val="162"/>
        </w:trPr>
        <w:tc>
          <w:tcPr>
            <w:tcW w:w="860" w:type="dxa"/>
            <w:vAlign w:val="bottom"/>
            <w:shd w:val="clear" w:color="auto" w:fill="CCEEFF"/>
          </w:tcPr>
          <w:p>
            <w:pPr>
              <w:spacing w:after="0"/>
              <w:rPr>
                <w:sz w:val="14"/>
                <w:szCs w:val="14"/>
                <w:color w:val="auto"/>
              </w:rPr>
            </w:pPr>
          </w:p>
        </w:tc>
        <w:tc>
          <w:tcPr>
            <w:tcW w:w="10440" w:type="dxa"/>
            <w:vAlign w:val="bottom"/>
            <w:shd w:val="clear" w:color="auto" w:fill="CCEEFF"/>
          </w:tcPr>
          <w:p>
            <w:pPr>
              <w:ind w:left="320"/>
              <w:spacing w:after="0"/>
              <w:rPr>
                <w:rFonts w:ascii="Times New Roman" w:cs="Times New Roman" w:eastAsia="Times New Roman" w:hAnsi="Times New Roman"/>
                <w:sz w:val="12"/>
                <w:szCs w:val="12"/>
                <w:color w:val="0000FF"/>
              </w:rPr>
            </w:pPr>
            <w:hyperlink r:id="rId118">
              <w:r>
                <w:rPr>
                  <w:rFonts w:ascii="Times New Roman" w:cs="Times New Roman" w:eastAsia="Times New Roman" w:hAnsi="Times New Roman"/>
                  <w:sz w:val="12"/>
                  <w:szCs w:val="12"/>
                  <w:color w:val="0000FF"/>
                </w:rPr>
                <w:t>and Restrictions thereof, of Senior Preferred Stock.</w:t>
              </w:r>
            </w:hyperlink>
          </w:p>
        </w:tc>
      </w:tr>
      <w:tr>
        <w:trPr>
          <w:trHeight w:val="153"/>
        </w:trPr>
        <w:tc>
          <w:tcPr>
            <w:tcW w:w="860" w:type="dxa"/>
            <w:vAlign w:val="bottom"/>
          </w:tcPr>
          <w:p>
            <w:pPr>
              <w:spacing w:after="0"/>
              <w:rPr>
                <w:rFonts w:ascii="Times New Roman" w:cs="Times New Roman" w:eastAsia="Times New Roman" w:hAnsi="Times New Roman"/>
                <w:sz w:val="12"/>
                <w:szCs w:val="12"/>
                <w:color w:val="0000FF"/>
              </w:rPr>
            </w:pPr>
            <w:hyperlink r:id="rId119">
              <w:r>
                <w:rPr>
                  <w:rFonts w:ascii="Times New Roman" w:cs="Times New Roman" w:eastAsia="Times New Roman" w:hAnsi="Times New Roman"/>
                  <w:sz w:val="12"/>
                  <w:szCs w:val="12"/>
                  <w:color w:val="0000FF"/>
                </w:rPr>
                <w:t>10.24</w:t>
              </w:r>
            </w:hyperlink>
          </w:p>
        </w:tc>
        <w:tc>
          <w:tcPr>
            <w:tcW w:w="10440" w:type="dxa"/>
            <w:vAlign w:val="bottom"/>
          </w:tcPr>
          <w:p>
            <w:pPr>
              <w:ind w:left="320"/>
              <w:spacing w:after="0"/>
              <w:rPr>
                <w:rFonts w:ascii="Times New Roman" w:cs="Times New Roman" w:eastAsia="Times New Roman" w:hAnsi="Times New Roman"/>
                <w:sz w:val="12"/>
                <w:szCs w:val="12"/>
                <w:color w:val="0000FF"/>
              </w:rPr>
            </w:pPr>
            <w:hyperlink r:id="rId119">
              <w:r>
                <w:rPr>
                  <w:rFonts w:ascii="Times New Roman" w:cs="Times New Roman" w:eastAsia="Times New Roman" w:hAnsi="Times New Roman"/>
                  <w:sz w:val="12"/>
                  <w:szCs w:val="12"/>
                  <w:color w:val="0000FF"/>
                </w:rPr>
                <w:t>Rule 10b5-1 Sales Plan, dated June 16, 2023, by and between Sean Kiewiet and J.P. Morgan Securities LLC.</w:t>
              </w:r>
            </w:hyperlink>
          </w:p>
        </w:tc>
      </w:tr>
      <w:tr>
        <w:trPr>
          <w:trHeight w:val="117"/>
        </w:trPr>
        <w:tc>
          <w:tcPr>
            <w:tcW w:w="860" w:type="dxa"/>
            <w:vAlign w:val="bottom"/>
            <w:shd w:val="clear" w:color="auto" w:fill="CCEEFF"/>
          </w:tcPr>
          <w:p>
            <w:pPr>
              <w:spacing w:after="0" w:line="117" w:lineRule="exact"/>
              <w:rPr>
                <w:rFonts w:ascii="Times New Roman" w:cs="Times New Roman" w:eastAsia="Times New Roman" w:hAnsi="Times New Roman"/>
                <w:sz w:val="12"/>
                <w:szCs w:val="12"/>
                <w:color w:val="0000FF"/>
              </w:rPr>
            </w:pPr>
            <w:hyperlink r:id="rId120">
              <w:r>
                <w:rPr>
                  <w:rFonts w:ascii="Times New Roman" w:cs="Times New Roman" w:eastAsia="Times New Roman" w:hAnsi="Times New Roman"/>
                  <w:sz w:val="12"/>
                  <w:szCs w:val="12"/>
                  <w:color w:val="0000FF"/>
                </w:rPr>
                <w:t>10.25</w:t>
              </w:r>
            </w:hyperlink>
          </w:p>
        </w:tc>
        <w:tc>
          <w:tcPr>
            <w:tcW w:w="10440" w:type="dxa"/>
            <w:vAlign w:val="bottom"/>
            <w:shd w:val="clear" w:color="auto" w:fill="CCEEFF"/>
          </w:tcPr>
          <w:p>
            <w:pPr>
              <w:ind w:left="320"/>
              <w:spacing w:after="0" w:line="117" w:lineRule="exact"/>
              <w:rPr>
                <w:rFonts w:ascii="Times New Roman" w:cs="Times New Roman" w:eastAsia="Times New Roman" w:hAnsi="Times New Roman"/>
                <w:sz w:val="12"/>
                <w:szCs w:val="12"/>
                <w:color w:val="0000FF"/>
              </w:rPr>
            </w:pPr>
            <w:hyperlink r:id="rId120">
              <w:r>
                <w:rPr>
                  <w:rFonts w:ascii="Times New Roman" w:cs="Times New Roman" w:eastAsia="Times New Roman" w:hAnsi="Times New Roman"/>
                  <w:sz w:val="12"/>
                  <w:szCs w:val="12"/>
                  <w:color w:val="0000FF"/>
                </w:rPr>
                <w:t>Credit and Guaranty Agreement, dated as of May 16, 2024, by and among Priority Holdings, LLC, as the Initial Borrower, the Credit Parties party thereto, the Lenders party thereto and Truist Bank, as</w:t>
              </w:r>
            </w:hyperlink>
          </w:p>
        </w:tc>
      </w:tr>
      <w:tr>
        <w:trPr>
          <w:trHeight w:val="162"/>
        </w:trPr>
        <w:tc>
          <w:tcPr>
            <w:tcW w:w="860" w:type="dxa"/>
            <w:vAlign w:val="bottom"/>
            <w:shd w:val="clear" w:color="auto" w:fill="CCEEFF"/>
          </w:tcPr>
          <w:p>
            <w:pPr>
              <w:spacing w:after="0"/>
              <w:rPr>
                <w:sz w:val="14"/>
                <w:szCs w:val="14"/>
                <w:color w:val="auto"/>
              </w:rPr>
            </w:pPr>
          </w:p>
        </w:tc>
        <w:tc>
          <w:tcPr>
            <w:tcW w:w="10440" w:type="dxa"/>
            <w:vAlign w:val="bottom"/>
            <w:shd w:val="clear" w:color="auto" w:fill="CCEEFF"/>
          </w:tcPr>
          <w:p>
            <w:pPr>
              <w:ind w:left="320"/>
              <w:spacing w:after="0"/>
              <w:rPr>
                <w:rFonts w:ascii="Times New Roman" w:cs="Times New Roman" w:eastAsia="Times New Roman" w:hAnsi="Times New Roman"/>
                <w:sz w:val="12"/>
                <w:szCs w:val="12"/>
                <w:color w:val="0000FF"/>
              </w:rPr>
            </w:pPr>
            <w:hyperlink r:id="rId120">
              <w:r>
                <w:rPr>
                  <w:rFonts w:ascii="Times New Roman" w:cs="Times New Roman" w:eastAsia="Times New Roman" w:hAnsi="Times New Roman"/>
                  <w:sz w:val="12"/>
                  <w:szCs w:val="12"/>
                  <w:color w:val="0000FF"/>
                </w:rPr>
                <w:t>Administrative Agent and Collateral Agent.</w:t>
              </w:r>
            </w:hyperlink>
          </w:p>
        </w:tc>
      </w:tr>
      <w:tr>
        <w:trPr>
          <w:trHeight w:val="153"/>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0000FF"/>
              </w:rPr>
              <w:t>21.1</w:t>
            </w:r>
            <w:r>
              <w:rPr>
                <w:rFonts w:ascii="Times New Roman" w:cs="Times New Roman" w:eastAsia="Times New Roman" w:hAnsi="Times New Roman"/>
                <w:sz w:val="12"/>
                <w:szCs w:val="12"/>
                <w:color w:val="000000"/>
              </w:rPr>
              <w:t>*</w:t>
            </w:r>
          </w:p>
        </w:tc>
        <w:tc>
          <w:tcPr>
            <w:tcW w:w="1044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Subsidiaries</w:t>
            </w:r>
          </w:p>
        </w:tc>
      </w:tr>
      <w:tr>
        <w:trPr>
          <w:trHeight w:val="153"/>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0000FF"/>
              </w:rPr>
              <w:t xml:space="preserve">31.1 </w:t>
            </w:r>
            <w:r>
              <w:rPr>
                <w:rFonts w:ascii="Times New Roman" w:cs="Times New Roman" w:eastAsia="Times New Roman" w:hAnsi="Times New Roman"/>
                <w:sz w:val="12"/>
                <w:szCs w:val="12"/>
                <w:color w:val="000000"/>
              </w:rPr>
              <w:t>*</w:t>
            </w:r>
          </w:p>
        </w:tc>
        <w:tc>
          <w:tcPr>
            <w:tcW w:w="10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0000FF"/>
              </w:rPr>
              <w:t>Certification of Chief Executive Officer pursuant to Rule 13a-14 and Rule 15d-14(a), promulgated under the Securities and Exchange Act of 1934, as amended.</w:t>
            </w:r>
          </w:p>
        </w:tc>
      </w:tr>
      <w:tr>
        <w:trPr>
          <w:trHeight w:val="153"/>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0000FF"/>
              </w:rPr>
              <w:t xml:space="preserve">31.2 </w:t>
            </w:r>
            <w:r>
              <w:rPr>
                <w:rFonts w:ascii="Times New Roman" w:cs="Times New Roman" w:eastAsia="Times New Roman" w:hAnsi="Times New Roman"/>
                <w:sz w:val="12"/>
                <w:szCs w:val="12"/>
                <w:color w:val="000000"/>
              </w:rPr>
              <w:t>*</w:t>
            </w:r>
          </w:p>
        </w:tc>
        <w:tc>
          <w:tcPr>
            <w:tcW w:w="1044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Certification of Chief Financial Officer pursuant to Rule 13a-14 and Rule 15d-14(a), promulgated under the Securities and Exchange Act of 1934, as amended.</w:t>
            </w:r>
          </w:p>
        </w:tc>
      </w:tr>
      <w:tr>
        <w:trPr>
          <w:trHeight w:val="153"/>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0000FF"/>
              </w:rPr>
              <w:t xml:space="preserve">32 </w:t>
            </w:r>
            <w:r>
              <w:rPr>
                <w:rFonts w:ascii="Times New Roman" w:cs="Times New Roman" w:eastAsia="Times New Roman" w:hAnsi="Times New Roman"/>
                <w:sz w:val="12"/>
                <w:szCs w:val="12"/>
                <w:color w:val="000000"/>
              </w:rPr>
              <w:t>**</w:t>
            </w:r>
          </w:p>
        </w:tc>
        <w:tc>
          <w:tcPr>
            <w:tcW w:w="10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0000FF"/>
              </w:rPr>
              <w:t>Certification of Chief Executive Officer and Chief Financial Officer pursuant to 18 U.S.C. Section 1350, as adopted pursuant to Section 906 of the Sarbanes-Oxley Act of 2002.</w:t>
            </w:r>
          </w:p>
        </w:tc>
      </w:tr>
      <w:tr>
        <w:trPr>
          <w:trHeight w:val="153"/>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101.INS *</w:t>
            </w:r>
          </w:p>
        </w:tc>
        <w:tc>
          <w:tcPr>
            <w:tcW w:w="104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XBRL Instance Document - the instance document does not appear in the Interactive Data File because its XBRL tags are embedded within the Inline XBRL document.</w:t>
            </w:r>
          </w:p>
        </w:tc>
      </w:tr>
      <w:tr>
        <w:trPr>
          <w:trHeight w:val="153"/>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101.SCH *</w:t>
            </w:r>
          </w:p>
        </w:tc>
        <w:tc>
          <w:tcPr>
            <w:tcW w:w="10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XBRL Taxonomy Extension Schema Document</w:t>
            </w:r>
          </w:p>
        </w:tc>
      </w:tr>
      <w:tr>
        <w:trPr>
          <w:trHeight w:val="153"/>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101.CAL *</w:t>
            </w:r>
          </w:p>
        </w:tc>
        <w:tc>
          <w:tcPr>
            <w:tcW w:w="104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XBRL Taxonomy Extension Calculation Linkbase Document</w:t>
            </w:r>
          </w:p>
        </w:tc>
      </w:tr>
      <w:tr>
        <w:trPr>
          <w:trHeight w:val="153"/>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101.LAB *</w:t>
            </w:r>
          </w:p>
        </w:tc>
        <w:tc>
          <w:tcPr>
            <w:tcW w:w="10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XBRL Taxonomy Extension Label Linkbase Document</w:t>
            </w:r>
          </w:p>
        </w:tc>
      </w:tr>
      <w:tr>
        <w:trPr>
          <w:trHeight w:val="153"/>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101.PRE *</w:t>
            </w:r>
          </w:p>
        </w:tc>
        <w:tc>
          <w:tcPr>
            <w:tcW w:w="104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XBRL Taxonomy Extension Presentation Linkbase Document</w:t>
            </w:r>
          </w:p>
        </w:tc>
      </w:tr>
      <w:tr>
        <w:trPr>
          <w:trHeight w:val="153"/>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101.DEF *</w:t>
            </w:r>
          </w:p>
        </w:tc>
        <w:tc>
          <w:tcPr>
            <w:tcW w:w="10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XBRL Taxonomy Extension Definition Linkbase Document</w:t>
            </w:r>
          </w:p>
        </w:tc>
      </w:tr>
    </w:tbl>
    <w:p>
      <w:pPr>
        <w:spacing w:after="0" w:line="19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Filed herewith.</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Furnished herewith.</w:t>
      </w:r>
    </w:p>
    <w:p>
      <w:pPr>
        <w:spacing w:after="0" w:line="150" w:lineRule="exact"/>
        <w:rPr>
          <w:sz w:val="20"/>
          <w:szCs w:val="20"/>
          <w:color w:val="auto"/>
        </w:rPr>
      </w:pPr>
    </w:p>
    <w:p>
      <w:pPr>
        <w:ind w:left="88" w:hanging="88"/>
        <w:spacing w:after="0"/>
        <w:tabs>
          <w:tab w:leader="none" w:pos="88" w:val="left"/>
        </w:tabs>
        <w:numPr>
          <w:ilvl w:val="0"/>
          <w:numId w:val="23"/>
        </w:numPr>
        <w:rPr>
          <w:rFonts w:ascii="Arial" w:cs="Arial" w:eastAsia="Arial" w:hAnsi="Arial"/>
          <w:sz w:val="12"/>
          <w:szCs w:val="12"/>
          <w:color w:val="auto"/>
        </w:rPr>
      </w:pPr>
      <w:r>
        <w:rPr>
          <w:rFonts w:ascii="Times New Roman" w:cs="Times New Roman" w:eastAsia="Times New Roman" w:hAnsi="Times New Roman"/>
          <w:sz w:val="12"/>
          <w:szCs w:val="12"/>
          <w:color w:val="auto"/>
        </w:rPr>
        <w:t>Indicates exhibits that constitute management contracts or compensation plans or arrangements.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056" w:right="299" w:bottom="1440" w:gutter="0" w:footer="0" w:header="0"/>
        </w:sectPr>
      </w:pPr>
    </w:p>
    <w:bookmarkStart w:id="45" w:name="page46"/>
    <w:bookmarkEnd w:id="45"/>
    <w:p>
      <w:pPr>
        <w:ind w:left="524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780" w:type="dxa"/>
            <w:vAlign w:val="bottom"/>
          </w:tcPr>
          <w:p>
            <w:pPr>
              <w:spacing w:after="0"/>
              <w:rPr>
                <w:sz w:val="13"/>
                <w:szCs w:val="13"/>
                <w:color w:val="auto"/>
              </w:rPr>
            </w:pPr>
          </w:p>
        </w:tc>
        <w:tc>
          <w:tcPr>
            <w:tcW w:w="5460" w:type="dxa"/>
            <w:vAlign w:val="bottom"/>
            <w:gridSpan w:val="4"/>
          </w:tcPr>
          <w:p>
            <w:pPr>
              <w:ind w:left="2060"/>
              <w:spacing w:after="0"/>
              <w:rPr>
                <w:sz w:val="20"/>
                <w:szCs w:val="20"/>
                <w:color w:val="auto"/>
              </w:rPr>
            </w:pPr>
            <w:r>
              <w:rPr>
                <w:rFonts w:ascii="Times New Roman" w:cs="Times New Roman" w:eastAsia="Times New Roman" w:hAnsi="Times New Roman"/>
                <w:sz w:val="12"/>
                <w:szCs w:val="12"/>
                <w:color w:val="auto"/>
              </w:rPr>
              <w:t>PRIORITY TECHNOLOGY HOLDINGS, INC.</w:t>
            </w:r>
          </w:p>
        </w:tc>
      </w:tr>
      <w:tr>
        <w:trPr>
          <w:trHeight w:val="387"/>
        </w:trPr>
        <w:tc>
          <w:tcPr>
            <w:tcW w:w="2780" w:type="dxa"/>
            <w:vAlign w:val="bottom"/>
          </w:tcPr>
          <w:p>
            <w:pPr>
              <w:spacing w:after="0"/>
              <w:rPr>
                <w:sz w:val="20"/>
                <w:szCs w:val="20"/>
                <w:color w:val="auto"/>
              </w:rPr>
            </w:pPr>
            <w:r>
              <w:rPr>
                <w:rFonts w:ascii="Times New Roman" w:cs="Times New Roman" w:eastAsia="Times New Roman" w:hAnsi="Times New Roman"/>
                <w:sz w:val="12"/>
                <w:szCs w:val="12"/>
                <w:color w:val="auto"/>
              </w:rPr>
              <w:t>August 8, 2024</w:t>
            </w:r>
          </w:p>
        </w:tc>
        <w:tc>
          <w:tcPr>
            <w:tcW w:w="3100" w:type="dxa"/>
            <w:vAlign w:val="bottom"/>
          </w:tcPr>
          <w:p>
            <w:pPr>
              <w:spacing w:after="0"/>
              <w:rPr>
                <w:sz w:val="24"/>
                <w:szCs w:val="24"/>
                <w:color w:val="auto"/>
              </w:rPr>
            </w:pPr>
          </w:p>
        </w:tc>
        <w:tc>
          <w:tcPr>
            <w:tcW w:w="23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 Thomas C. Priore</w:t>
            </w:r>
          </w:p>
        </w:tc>
      </w:tr>
      <w:tr>
        <w:trPr>
          <w:trHeight w:val="93"/>
        </w:trPr>
        <w:tc>
          <w:tcPr>
            <w:tcW w:w="27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980" w:type="dxa"/>
            <w:vAlign w:val="bottom"/>
            <w:tcBorders>
              <w:top w:val="single" w:sz="8" w:color="auto"/>
            </w:tcBorders>
          </w:tcPr>
          <w:p>
            <w:pPr>
              <w:spacing w:after="0" w:line="93" w:lineRule="exact"/>
              <w:rPr>
                <w:sz w:val="20"/>
                <w:szCs w:val="20"/>
                <w:color w:val="auto"/>
              </w:rPr>
            </w:pPr>
            <w:r>
              <w:rPr>
                <w:rFonts w:ascii="Times New Roman" w:cs="Times New Roman" w:eastAsia="Times New Roman" w:hAnsi="Times New Roman"/>
                <w:sz w:val="10"/>
                <w:szCs w:val="10"/>
                <w:color w:val="auto"/>
              </w:rPr>
              <w:t>Thomas C. Priore</w:t>
            </w:r>
          </w:p>
        </w:tc>
        <w:tc>
          <w:tcPr>
            <w:tcW w:w="140" w:type="dxa"/>
            <w:vAlign w:val="bottom"/>
          </w:tcPr>
          <w:p>
            <w:pPr>
              <w:spacing w:after="0"/>
              <w:rPr>
                <w:sz w:val="8"/>
                <w:szCs w:val="8"/>
                <w:color w:val="auto"/>
              </w:rPr>
            </w:pPr>
          </w:p>
        </w:tc>
        <w:tc>
          <w:tcPr>
            <w:tcW w:w="1240" w:type="dxa"/>
            <w:vAlign w:val="bottom"/>
          </w:tcPr>
          <w:p>
            <w:pPr>
              <w:spacing w:after="0"/>
              <w:rPr>
                <w:sz w:val="8"/>
                <w:szCs w:val="8"/>
                <w:color w:val="auto"/>
              </w:rPr>
            </w:pPr>
          </w:p>
        </w:tc>
      </w:tr>
      <w:tr>
        <w:trPr>
          <w:trHeight w:val="121"/>
        </w:trPr>
        <w:tc>
          <w:tcPr>
            <w:tcW w:w="278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2360" w:type="dxa"/>
            <w:vAlign w:val="bottom"/>
            <w:gridSpan w:val="3"/>
          </w:tcPr>
          <w:p>
            <w:pPr>
              <w:spacing w:after="0" w:line="121" w:lineRule="exact"/>
              <w:rPr>
                <w:sz w:val="20"/>
                <w:szCs w:val="20"/>
                <w:color w:val="auto"/>
              </w:rPr>
            </w:pPr>
            <w:r>
              <w:rPr>
                <w:rFonts w:ascii="Times New Roman" w:cs="Times New Roman" w:eastAsia="Times New Roman" w:hAnsi="Times New Roman"/>
                <w:sz w:val="12"/>
                <w:szCs w:val="12"/>
                <w:i w:val="1"/>
                <w:iCs w:val="1"/>
                <w:color w:val="auto"/>
                <w:w w:val="98"/>
              </w:rPr>
              <w:t>President, Chief Executive Officer and Chairman</w:t>
            </w:r>
          </w:p>
        </w:tc>
      </w:tr>
      <w:tr>
        <w:trPr>
          <w:trHeight w:val="157"/>
        </w:trPr>
        <w:tc>
          <w:tcPr>
            <w:tcW w:w="278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360" w:type="dxa"/>
            <w:vAlign w:val="bottom"/>
            <w:gridSpan w:val="3"/>
          </w:tcPr>
          <w:p>
            <w:pPr>
              <w:spacing w:after="0"/>
              <w:rPr>
                <w:sz w:val="20"/>
                <w:szCs w:val="20"/>
                <w:color w:val="auto"/>
              </w:rPr>
            </w:pPr>
            <w:r>
              <w:rPr>
                <w:rFonts w:ascii="Times New Roman" w:cs="Times New Roman" w:eastAsia="Times New Roman" w:hAnsi="Times New Roman"/>
                <w:sz w:val="12"/>
                <w:szCs w:val="12"/>
                <w:i w:val="1"/>
                <w:iCs w:val="1"/>
                <w:color w:val="auto"/>
              </w:rPr>
              <w:t>(Principal Executive Officer)</w:t>
            </w:r>
          </w:p>
        </w:tc>
      </w:tr>
      <w:tr>
        <w:trPr>
          <w:trHeight w:val="221"/>
        </w:trPr>
        <w:tc>
          <w:tcPr>
            <w:tcW w:w="2780" w:type="dxa"/>
            <w:vAlign w:val="bottom"/>
          </w:tcPr>
          <w:p>
            <w:pPr>
              <w:spacing w:after="0"/>
              <w:rPr>
                <w:sz w:val="20"/>
                <w:szCs w:val="20"/>
                <w:color w:val="auto"/>
              </w:rPr>
            </w:pPr>
            <w:r>
              <w:rPr>
                <w:rFonts w:ascii="Times New Roman" w:cs="Times New Roman" w:eastAsia="Times New Roman" w:hAnsi="Times New Roman"/>
                <w:sz w:val="12"/>
                <w:szCs w:val="12"/>
                <w:color w:val="auto"/>
              </w:rPr>
              <w:t>August 8, 2024</w:t>
            </w:r>
          </w:p>
        </w:tc>
        <w:tc>
          <w:tcPr>
            <w:tcW w:w="3100" w:type="dxa"/>
            <w:vAlign w:val="bottom"/>
          </w:tcPr>
          <w:p>
            <w:pPr>
              <w:spacing w:after="0"/>
              <w:rPr>
                <w:sz w:val="19"/>
                <w:szCs w:val="19"/>
                <w:color w:val="auto"/>
              </w:rPr>
            </w:pPr>
          </w:p>
        </w:tc>
        <w:tc>
          <w:tcPr>
            <w:tcW w:w="23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 Timothy M. O'Leary</w:t>
            </w:r>
          </w:p>
        </w:tc>
      </w:tr>
      <w:tr>
        <w:trPr>
          <w:trHeight w:val="93"/>
        </w:trPr>
        <w:tc>
          <w:tcPr>
            <w:tcW w:w="27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120" w:type="dxa"/>
            <w:vAlign w:val="bottom"/>
            <w:tcBorders>
              <w:top w:val="single" w:sz="8" w:color="auto"/>
            </w:tcBorders>
            <w:gridSpan w:val="2"/>
          </w:tcPr>
          <w:p>
            <w:pPr>
              <w:spacing w:after="0" w:line="93" w:lineRule="exact"/>
              <w:rPr>
                <w:sz w:val="20"/>
                <w:szCs w:val="20"/>
                <w:color w:val="auto"/>
              </w:rPr>
            </w:pPr>
            <w:r>
              <w:rPr>
                <w:rFonts w:ascii="Times New Roman" w:cs="Times New Roman" w:eastAsia="Times New Roman" w:hAnsi="Times New Roman"/>
                <w:sz w:val="10"/>
                <w:szCs w:val="10"/>
                <w:color w:val="auto"/>
              </w:rPr>
              <w:t>Tim O'Leary</w:t>
            </w:r>
          </w:p>
        </w:tc>
        <w:tc>
          <w:tcPr>
            <w:tcW w:w="1240" w:type="dxa"/>
            <w:vAlign w:val="bottom"/>
          </w:tcPr>
          <w:p>
            <w:pPr>
              <w:spacing w:after="0"/>
              <w:rPr>
                <w:sz w:val="8"/>
                <w:szCs w:val="8"/>
                <w:color w:val="auto"/>
              </w:rPr>
            </w:pPr>
          </w:p>
        </w:tc>
      </w:tr>
      <w:tr>
        <w:trPr>
          <w:trHeight w:val="121"/>
        </w:trPr>
        <w:tc>
          <w:tcPr>
            <w:tcW w:w="278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2360" w:type="dxa"/>
            <w:vAlign w:val="bottom"/>
            <w:gridSpan w:val="3"/>
          </w:tcPr>
          <w:p>
            <w:pPr>
              <w:spacing w:after="0" w:line="121" w:lineRule="exact"/>
              <w:rPr>
                <w:sz w:val="20"/>
                <w:szCs w:val="20"/>
                <w:color w:val="auto"/>
              </w:rPr>
            </w:pPr>
            <w:r>
              <w:rPr>
                <w:rFonts w:ascii="Times New Roman" w:cs="Times New Roman" w:eastAsia="Times New Roman" w:hAnsi="Times New Roman"/>
                <w:sz w:val="12"/>
                <w:szCs w:val="12"/>
                <w:i w:val="1"/>
                <w:iCs w:val="1"/>
                <w:color w:val="auto"/>
              </w:rPr>
              <w:t>Chief Financial Officer</w:t>
            </w:r>
          </w:p>
        </w:tc>
      </w:tr>
      <w:tr>
        <w:trPr>
          <w:trHeight w:val="157"/>
        </w:trPr>
        <w:tc>
          <w:tcPr>
            <w:tcW w:w="278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360" w:type="dxa"/>
            <w:vAlign w:val="bottom"/>
            <w:gridSpan w:val="3"/>
          </w:tcPr>
          <w:p>
            <w:pPr>
              <w:spacing w:after="0"/>
              <w:rPr>
                <w:sz w:val="20"/>
                <w:szCs w:val="20"/>
                <w:color w:val="auto"/>
              </w:rPr>
            </w:pPr>
            <w:r>
              <w:rPr>
                <w:rFonts w:ascii="Times New Roman" w:cs="Times New Roman" w:eastAsia="Times New Roman" w:hAnsi="Times New Roman"/>
                <w:sz w:val="12"/>
                <w:szCs w:val="12"/>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43</w:t>
      </w:r>
    </w:p>
    <w:p>
      <w:pPr>
        <w:sectPr>
          <w:pgSz w:w="11900" w:h="16838" w:orient="portrait"/>
          <w:cols w:equalWidth="0" w:num="1">
            <w:col w:w="10159"/>
          </w:cols>
          <w:pgMar w:left="300" w:top="1331" w:right="1440"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3"/>
          <w:szCs w:val="13"/>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Subsidiaries of Priority Technology Holdings,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Technology Holdings, Inc.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Holdings, LLC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Payment Systems, LLC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Hospitality Technology, LLC</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Ovvi, LLC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Payright Health Solutions, LLC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Commerce Canada, Inc. (Canada)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Real Estate Technology, LLC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Finance, LLC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Commercial Payments, LLC</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Plastiq, Powered by Priority LLC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Plastiq Canada, Inc. (Canada)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Finxera Holdings, Inc.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Finxera Intermediate, LLC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Finxera, Inc.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IDC Private Limited (India)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Enhanced Capital RETC Fund XII, LLC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Account Administration Services, Inc.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Tech Ventures, LLC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Ambient TPA Solutions, LLC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Property Rev, LLC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Wave, LLC</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Build, LLC</w:t>
      </w:r>
    </w:p>
    <w:p>
      <w:pPr>
        <w:sectPr>
          <w:pgSz w:w="11900" w:h="16838" w:orient="portrait"/>
          <w:cols w:equalWidth="0" w:num="1">
            <w:col w:w="11300"/>
          </w:cols>
          <w:pgMar w:left="300" w:top="126" w:right="29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2"/>
          <w:szCs w:val="12"/>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CERTIFICATION OF PRINCIPAL EXECUTIVE OFFICER PURSUANT TO</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EXCHANGE ACT RULE 13a-14(a) AS ADOPTED PURSUANT TO</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SECTION 303 OF THE SARBANES-OXLEY ACT OF 2002</w:t>
      </w:r>
    </w:p>
    <w:p>
      <w:pPr>
        <w:spacing w:after="0" w:line="15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 Thomas C. Priore, certify that:</w:t>
      </w:r>
    </w:p>
    <w:p>
      <w:pPr>
        <w:spacing w:after="0" w:line="168" w:lineRule="exact"/>
        <w:rPr>
          <w:sz w:val="20"/>
          <w:szCs w:val="20"/>
          <w:color w:val="auto"/>
        </w:rPr>
      </w:pPr>
    </w:p>
    <w:p>
      <w:pPr>
        <w:ind w:left="208" w:hanging="208"/>
        <w:spacing w:after="0"/>
        <w:tabs>
          <w:tab w:leader="none" w:pos="208"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Priority Technology Holdings, Inc.;</w:t>
      </w:r>
    </w:p>
    <w:p>
      <w:pPr>
        <w:spacing w:after="0" w:line="168" w:lineRule="exact"/>
        <w:rPr>
          <w:rFonts w:ascii="Times New Roman" w:cs="Times New Roman" w:eastAsia="Times New Roman" w:hAnsi="Times New Roman"/>
          <w:sz w:val="12"/>
          <w:szCs w:val="12"/>
          <w:color w:val="auto"/>
        </w:rPr>
      </w:pPr>
    </w:p>
    <w:p>
      <w:pPr>
        <w:ind w:left="208" w:right="200" w:hanging="208"/>
        <w:spacing w:after="0" w:line="279" w:lineRule="auto"/>
        <w:tabs>
          <w:tab w:leader="none" w:pos="208"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Times New Roman" w:cs="Times New Roman" w:eastAsia="Times New Roman" w:hAnsi="Times New Roman"/>
          <w:sz w:val="12"/>
          <w:szCs w:val="12"/>
          <w:color w:val="auto"/>
        </w:rPr>
      </w:pPr>
    </w:p>
    <w:p>
      <w:pPr>
        <w:ind w:left="208" w:right="100" w:hanging="208"/>
        <w:spacing w:after="0" w:line="279" w:lineRule="auto"/>
        <w:tabs>
          <w:tab w:leader="none" w:pos="208"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Times New Roman" w:cs="Times New Roman" w:eastAsia="Times New Roman" w:hAnsi="Times New Roman"/>
          <w:sz w:val="12"/>
          <w:szCs w:val="12"/>
          <w:color w:val="auto"/>
        </w:rPr>
      </w:pPr>
    </w:p>
    <w:p>
      <w:pPr>
        <w:ind w:left="208" w:right="220" w:hanging="208"/>
        <w:spacing w:after="0" w:line="279" w:lineRule="auto"/>
        <w:tabs>
          <w:tab w:leader="none" w:pos="208"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Times New Roman" w:cs="Times New Roman" w:eastAsia="Times New Roman" w:hAnsi="Times New Roman"/>
          <w:sz w:val="12"/>
          <w:szCs w:val="12"/>
          <w:color w:val="auto"/>
        </w:rPr>
      </w:pPr>
    </w:p>
    <w:p>
      <w:pPr>
        <w:ind w:left="648" w:right="440" w:hanging="216"/>
        <w:spacing w:after="0" w:line="259" w:lineRule="auto"/>
        <w:tabs>
          <w:tab w:leader="none" w:pos="646" w:val="left"/>
        </w:tabs>
        <w:numPr>
          <w:ilvl w:val="1"/>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2"/>
          <w:szCs w:val="12"/>
          <w:color w:val="auto"/>
        </w:rPr>
      </w:pPr>
    </w:p>
    <w:p>
      <w:pPr>
        <w:ind w:left="648" w:right="200" w:hanging="216"/>
        <w:spacing w:after="0" w:line="250" w:lineRule="auto"/>
        <w:tabs>
          <w:tab w:leader="none" w:pos="644" w:val="left"/>
        </w:tabs>
        <w:numPr>
          <w:ilvl w:val="1"/>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48" w:right="240" w:hanging="216"/>
        <w:spacing w:after="0" w:line="250" w:lineRule="auto"/>
        <w:tabs>
          <w:tab w:leader="none" w:pos="646" w:val="left"/>
        </w:tabs>
        <w:numPr>
          <w:ilvl w:val="1"/>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48" w:right="280" w:hanging="216"/>
        <w:spacing w:after="0" w:line="260" w:lineRule="auto"/>
        <w:tabs>
          <w:tab w:leader="none" w:pos="644" w:val="left"/>
        </w:tabs>
        <w:numPr>
          <w:ilvl w:val="1"/>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Times New Roman" w:cs="Times New Roman" w:eastAsia="Times New Roman" w:hAnsi="Times New Roman"/>
          <w:sz w:val="12"/>
          <w:szCs w:val="12"/>
          <w:color w:val="auto"/>
        </w:rPr>
      </w:pPr>
    </w:p>
    <w:p>
      <w:pPr>
        <w:ind w:left="208" w:right="40" w:hanging="208"/>
        <w:spacing w:after="0" w:line="279" w:lineRule="auto"/>
        <w:tabs>
          <w:tab w:leader="none" w:pos="208"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Times New Roman" w:cs="Times New Roman" w:eastAsia="Times New Roman" w:hAnsi="Times New Roman"/>
          <w:sz w:val="12"/>
          <w:szCs w:val="12"/>
          <w:color w:val="auto"/>
        </w:rPr>
      </w:pPr>
    </w:p>
    <w:p>
      <w:pPr>
        <w:ind w:left="648" w:right="40" w:hanging="216"/>
        <w:spacing w:after="0" w:line="259" w:lineRule="auto"/>
        <w:tabs>
          <w:tab w:leader="none" w:pos="646" w:val="left"/>
        </w:tabs>
        <w:numPr>
          <w:ilvl w:val="1"/>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2"/>
          <w:szCs w:val="12"/>
          <w:color w:val="auto"/>
        </w:rPr>
      </w:pPr>
    </w:p>
    <w:p>
      <w:pPr>
        <w:ind w:left="648" w:hanging="216"/>
        <w:spacing w:after="0"/>
        <w:tabs>
          <w:tab w:leader="none" w:pos="648" w:val="left"/>
        </w:tabs>
        <w:numPr>
          <w:ilvl w:val="1"/>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ind w:left="948"/>
        <w:spacing w:after="0"/>
        <w:tabs>
          <w:tab w:leader="none" w:pos="6788" w:val="left"/>
        </w:tabs>
        <w:rPr>
          <w:sz w:val="20"/>
          <w:szCs w:val="20"/>
          <w:color w:val="auto"/>
        </w:rPr>
      </w:pPr>
      <w:r>
        <w:rPr>
          <w:rFonts w:ascii="Times New Roman" w:cs="Times New Roman" w:eastAsia="Times New Roman" w:hAnsi="Times New Roman"/>
          <w:sz w:val="12"/>
          <w:szCs w:val="12"/>
          <w:color w:val="auto"/>
        </w:rPr>
        <w:t>August 8, 2024</w:t>
      </w:r>
      <w:r>
        <w:rPr>
          <w:sz w:val="20"/>
          <w:szCs w:val="20"/>
          <w:color w:val="auto"/>
        </w:rPr>
        <w:tab/>
      </w:r>
      <w:r>
        <w:rPr>
          <w:rFonts w:ascii="Times New Roman" w:cs="Times New Roman" w:eastAsia="Times New Roman" w:hAnsi="Times New Roman"/>
          <w:sz w:val="11"/>
          <w:szCs w:val="11"/>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2840355</wp:posOffset>
            </wp:positionH>
            <wp:positionV relativeFrom="paragraph">
              <wp:posOffset>10795</wp:posOffset>
            </wp:positionV>
            <wp:extent cx="3754755" cy="114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2">
                      <a:extLst>
                        <a:ext uri="{28A0092B-C50C-407E-A947-70E740481C1C}"/>
                      </a:extLst>
                    </a:blip>
                    <a:srcRect/>
                    <a:stretch>
                      <a:fillRect/>
                    </a:stretch>
                  </pic:blipFill>
                  <pic:spPr bwMode="auto">
                    <a:xfrm>
                      <a:off x="0" y="0"/>
                      <a:ext cx="3754755" cy="11430"/>
                    </a:xfrm>
                    <a:prstGeom prst="rect">
                      <a:avLst/>
                    </a:prstGeom>
                    <a:noFill/>
                  </pic:spPr>
                </pic:pic>
              </a:graphicData>
            </a:graphic>
          </wp:anchor>
        </w:drawing>
      </w:r>
    </w:p>
    <w:p>
      <w:pPr>
        <w:spacing w:after="0" w:line="13" w:lineRule="exact"/>
        <w:rPr>
          <w:sz w:val="20"/>
          <w:szCs w:val="20"/>
          <w:color w:val="auto"/>
        </w:rPr>
      </w:pPr>
    </w:p>
    <w:p>
      <w:pPr>
        <w:jc w:val="center"/>
        <w:ind w:left="3540"/>
        <w:spacing w:after="0"/>
        <w:rPr>
          <w:sz w:val="20"/>
          <w:szCs w:val="20"/>
          <w:color w:val="auto"/>
        </w:rPr>
      </w:pPr>
      <w:r>
        <w:rPr>
          <w:rFonts w:ascii="Times New Roman" w:cs="Times New Roman" w:eastAsia="Times New Roman" w:hAnsi="Times New Roman"/>
          <w:sz w:val="12"/>
          <w:szCs w:val="12"/>
          <w:color w:val="auto"/>
        </w:rPr>
        <w:t>Thomas C. Priore</w:t>
      </w:r>
    </w:p>
    <w:p>
      <w:pPr>
        <w:spacing w:after="0" w:line="17" w:lineRule="exact"/>
        <w:rPr>
          <w:sz w:val="20"/>
          <w:szCs w:val="20"/>
          <w:color w:val="auto"/>
        </w:rPr>
      </w:pPr>
    </w:p>
    <w:p>
      <w:pPr>
        <w:jc w:val="center"/>
        <w:ind w:left="3540"/>
        <w:spacing w:after="0"/>
        <w:rPr>
          <w:sz w:val="20"/>
          <w:szCs w:val="20"/>
          <w:color w:val="auto"/>
        </w:rPr>
      </w:pPr>
      <w:r>
        <w:rPr>
          <w:rFonts w:ascii="Times New Roman" w:cs="Times New Roman" w:eastAsia="Times New Roman" w:hAnsi="Times New Roman"/>
          <w:sz w:val="12"/>
          <w:szCs w:val="12"/>
          <w:i w:val="1"/>
          <w:iCs w:val="1"/>
          <w:color w:val="auto"/>
        </w:rPr>
        <w:t>Chief Executive Officer and Chairman</w:t>
      </w:r>
    </w:p>
    <w:p>
      <w:pPr>
        <w:spacing w:after="0" w:line="15" w:lineRule="exact"/>
        <w:rPr>
          <w:sz w:val="20"/>
          <w:szCs w:val="20"/>
          <w:color w:val="auto"/>
        </w:rPr>
      </w:pPr>
    </w:p>
    <w:p>
      <w:pPr>
        <w:jc w:val="center"/>
        <w:ind w:left="3540"/>
        <w:spacing w:after="0"/>
        <w:rPr>
          <w:sz w:val="20"/>
          <w:szCs w:val="20"/>
          <w:color w:val="auto"/>
        </w:rPr>
      </w:pPr>
      <w:r>
        <w:rPr>
          <w:rFonts w:ascii="Times New Roman" w:cs="Times New Roman" w:eastAsia="Times New Roman" w:hAnsi="Times New Roman"/>
          <w:sz w:val="12"/>
          <w:szCs w:val="12"/>
          <w:i w:val="1"/>
          <w:iCs w:val="1"/>
          <w:color w:val="auto"/>
        </w:rPr>
        <w:t>(Principal Executive Officer)</w:t>
      </w:r>
    </w:p>
    <w:p>
      <w:pPr>
        <w:sectPr>
          <w:pgSz w:w="11900" w:h="16838" w:orient="portrait"/>
          <w:cols w:equalWidth="0" w:num="1">
            <w:col w:w="11308"/>
          </w:cols>
          <w:pgMar w:left="292" w:top="129" w:right="29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2"/>
          <w:szCs w:val="12"/>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CERTIFICATION OF PRINCIPAL FINANCIAL OFFICER PURSUANT TO</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EXCHANGE ACT RULE 13a-14(a) AS ADOPTED PURSUANT TO</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SECTION 303 OF THE SARBANES-OXLEY ACT OF 2002</w:t>
      </w:r>
    </w:p>
    <w:p>
      <w:pPr>
        <w:spacing w:after="0" w:line="3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 Timothy M. O’Leary, certify that:</w:t>
      </w:r>
    </w:p>
    <w:p>
      <w:pPr>
        <w:spacing w:after="0" w:line="168" w:lineRule="exact"/>
        <w:rPr>
          <w:sz w:val="20"/>
          <w:szCs w:val="20"/>
          <w:color w:val="auto"/>
        </w:rPr>
      </w:pPr>
    </w:p>
    <w:p>
      <w:pPr>
        <w:ind w:left="208" w:hanging="208"/>
        <w:spacing w:after="0"/>
        <w:tabs>
          <w:tab w:leader="none" w:pos="208"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Priority Technology Holdings, Inc.;</w:t>
      </w:r>
    </w:p>
    <w:p>
      <w:pPr>
        <w:spacing w:after="0" w:line="168" w:lineRule="exact"/>
        <w:rPr>
          <w:rFonts w:ascii="Times New Roman" w:cs="Times New Roman" w:eastAsia="Times New Roman" w:hAnsi="Times New Roman"/>
          <w:sz w:val="12"/>
          <w:szCs w:val="12"/>
          <w:color w:val="auto"/>
        </w:rPr>
      </w:pPr>
    </w:p>
    <w:p>
      <w:pPr>
        <w:ind w:left="208" w:right="200" w:hanging="208"/>
        <w:spacing w:after="0" w:line="279" w:lineRule="auto"/>
        <w:tabs>
          <w:tab w:leader="none" w:pos="208"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Times New Roman" w:cs="Times New Roman" w:eastAsia="Times New Roman" w:hAnsi="Times New Roman"/>
          <w:sz w:val="12"/>
          <w:szCs w:val="12"/>
          <w:color w:val="auto"/>
        </w:rPr>
      </w:pPr>
    </w:p>
    <w:p>
      <w:pPr>
        <w:ind w:left="208" w:right="100" w:hanging="208"/>
        <w:spacing w:after="0" w:line="279" w:lineRule="auto"/>
        <w:tabs>
          <w:tab w:leader="none" w:pos="208"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Times New Roman" w:cs="Times New Roman" w:eastAsia="Times New Roman" w:hAnsi="Times New Roman"/>
          <w:sz w:val="12"/>
          <w:szCs w:val="12"/>
          <w:color w:val="auto"/>
        </w:rPr>
      </w:pPr>
    </w:p>
    <w:p>
      <w:pPr>
        <w:ind w:left="208" w:right="220" w:hanging="208"/>
        <w:spacing w:after="0" w:line="279" w:lineRule="auto"/>
        <w:tabs>
          <w:tab w:leader="none" w:pos="208"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Times New Roman" w:cs="Times New Roman" w:eastAsia="Times New Roman" w:hAnsi="Times New Roman"/>
          <w:sz w:val="12"/>
          <w:szCs w:val="12"/>
          <w:color w:val="auto"/>
        </w:rPr>
      </w:pPr>
    </w:p>
    <w:p>
      <w:pPr>
        <w:ind w:left="648" w:right="440" w:hanging="216"/>
        <w:spacing w:after="0" w:line="259" w:lineRule="auto"/>
        <w:tabs>
          <w:tab w:leader="none" w:pos="646" w:val="left"/>
        </w:tabs>
        <w:numPr>
          <w:ilvl w:val="1"/>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2"/>
          <w:szCs w:val="12"/>
          <w:color w:val="auto"/>
        </w:rPr>
      </w:pPr>
    </w:p>
    <w:p>
      <w:pPr>
        <w:ind w:left="648" w:right="200" w:hanging="216"/>
        <w:spacing w:after="0" w:line="250" w:lineRule="auto"/>
        <w:tabs>
          <w:tab w:leader="none" w:pos="644" w:val="left"/>
        </w:tabs>
        <w:numPr>
          <w:ilvl w:val="1"/>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48" w:right="240" w:hanging="216"/>
        <w:spacing w:after="0" w:line="250" w:lineRule="auto"/>
        <w:tabs>
          <w:tab w:leader="none" w:pos="646" w:val="left"/>
        </w:tabs>
        <w:numPr>
          <w:ilvl w:val="1"/>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48" w:right="280" w:hanging="216"/>
        <w:spacing w:after="0" w:line="260" w:lineRule="auto"/>
        <w:tabs>
          <w:tab w:leader="none" w:pos="644" w:val="left"/>
        </w:tabs>
        <w:numPr>
          <w:ilvl w:val="1"/>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Times New Roman" w:cs="Times New Roman" w:eastAsia="Times New Roman" w:hAnsi="Times New Roman"/>
          <w:sz w:val="12"/>
          <w:szCs w:val="12"/>
          <w:color w:val="auto"/>
        </w:rPr>
      </w:pPr>
    </w:p>
    <w:p>
      <w:pPr>
        <w:ind w:left="208" w:right="40" w:hanging="208"/>
        <w:spacing w:after="0" w:line="279" w:lineRule="auto"/>
        <w:tabs>
          <w:tab w:leader="none" w:pos="208"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Times New Roman" w:cs="Times New Roman" w:eastAsia="Times New Roman" w:hAnsi="Times New Roman"/>
          <w:sz w:val="12"/>
          <w:szCs w:val="12"/>
          <w:color w:val="auto"/>
        </w:rPr>
      </w:pPr>
    </w:p>
    <w:p>
      <w:pPr>
        <w:ind w:left="648" w:right="40" w:hanging="216"/>
        <w:spacing w:after="0" w:line="259" w:lineRule="auto"/>
        <w:tabs>
          <w:tab w:leader="none" w:pos="646" w:val="left"/>
        </w:tabs>
        <w:numPr>
          <w:ilvl w:val="1"/>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2"/>
          <w:szCs w:val="12"/>
          <w:color w:val="auto"/>
        </w:rPr>
      </w:pPr>
    </w:p>
    <w:p>
      <w:pPr>
        <w:ind w:left="648" w:hanging="216"/>
        <w:spacing w:after="0"/>
        <w:tabs>
          <w:tab w:leader="none" w:pos="648" w:val="left"/>
        </w:tabs>
        <w:numPr>
          <w:ilvl w:val="1"/>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256" w:lineRule="exact"/>
        <w:rPr>
          <w:sz w:val="20"/>
          <w:szCs w:val="20"/>
          <w:color w:val="auto"/>
        </w:rPr>
      </w:pPr>
    </w:p>
    <w:p>
      <w:pPr>
        <w:ind w:left="88"/>
        <w:spacing w:after="0"/>
        <w:tabs>
          <w:tab w:leader="none" w:pos="8068" w:val="left"/>
        </w:tabs>
        <w:rPr>
          <w:sz w:val="20"/>
          <w:szCs w:val="20"/>
          <w:color w:val="auto"/>
        </w:rPr>
      </w:pPr>
      <w:r>
        <w:rPr>
          <w:rFonts w:ascii="Times New Roman" w:cs="Times New Roman" w:eastAsia="Times New Roman" w:hAnsi="Times New Roman"/>
          <w:sz w:val="12"/>
          <w:szCs w:val="12"/>
          <w:color w:val="auto"/>
        </w:rPr>
        <w:t>August 8, 2024</w:t>
      </w:r>
      <w:r>
        <w:rPr>
          <w:sz w:val="20"/>
          <w:szCs w:val="20"/>
          <w:color w:val="auto"/>
        </w:rPr>
        <w:tab/>
      </w:r>
      <w:r>
        <w:rPr>
          <w:rFonts w:ascii="Times New Roman" w:cs="Times New Roman" w:eastAsia="Times New Roman" w:hAnsi="Times New Roman"/>
          <w:sz w:val="11"/>
          <w:szCs w:val="11"/>
          <w:color w:val="auto"/>
        </w:rPr>
        <w:t>/s/ TIMOTHY M.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4046220</wp:posOffset>
            </wp:positionH>
            <wp:positionV relativeFrom="paragraph">
              <wp:posOffset>10795</wp:posOffset>
            </wp:positionV>
            <wp:extent cx="3080385" cy="114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3">
                      <a:extLst>
                        <a:ext uri="{28A0092B-C50C-407E-A947-70E740481C1C}"/>
                      </a:extLst>
                    </a:blip>
                    <a:srcRect/>
                    <a:stretch>
                      <a:fillRect/>
                    </a:stretch>
                  </pic:blipFill>
                  <pic:spPr bwMode="auto">
                    <a:xfrm>
                      <a:off x="0" y="0"/>
                      <a:ext cx="3080385" cy="11430"/>
                    </a:xfrm>
                    <a:prstGeom prst="rect">
                      <a:avLst/>
                    </a:prstGeom>
                    <a:noFill/>
                  </pic:spPr>
                </pic:pic>
              </a:graphicData>
            </a:graphic>
          </wp:anchor>
        </w:drawing>
      </w:r>
    </w:p>
    <w:p>
      <w:pPr>
        <w:spacing w:after="0" w:line="13"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2"/>
          <w:szCs w:val="12"/>
          <w:color w:val="auto"/>
        </w:rPr>
        <w:t>Timothy M. O’Leary</w:t>
      </w:r>
    </w:p>
    <w:p>
      <w:pPr>
        <w:spacing w:after="0" w:line="17"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2"/>
          <w:szCs w:val="12"/>
          <w:i w:val="1"/>
          <w:iCs w:val="1"/>
          <w:color w:val="auto"/>
        </w:rPr>
        <w:t>Chief Financial Officer</w:t>
      </w:r>
    </w:p>
    <w:p>
      <w:pPr>
        <w:spacing w:after="0" w:line="15"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2"/>
          <w:szCs w:val="12"/>
          <w:i w:val="1"/>
          <w:iCs w:val="1"/>
          <w:color w:val="auto"/>
        </w:rPr>
        <w:t>(Principal Financial Officer)</w:t>
      </w:r>
    </w:p>
    <w:p>
      <w:pPr>
        <w:sectPr>
          <w:pgSz w:w="11900" w:h="16838" w:orient="portrait"/>
          <w:cols w:equalWidth="0" w:num="1">
            <w:col w:w="11308"/>
          </w:cols>
          <w:pgMar w:left="292" w:top="129" w:right="29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2"/>
          <w:szCs w:val="12"/>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OF PRINCIPAL EXECUTIVE OFFICER AND PRINCIPAL FINANCIAL OFFICER</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18 U.S.C. SECTION 1350, AS ADOPTED PURSUANT TO SECTION 906 OF THE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SARBANES-OXLEY ACT OF 2002</w:t>
      </w:r>
    </w:p>
    <w:p>
      <w:pPr>
        <w:spacing w:after="0" w:line="319"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In connection with the Quarterly Report on Form 10-Q of Priority Technology Holdings, Inc. (the "Company") for the quarter ended June 30, 2024 as filed with the Securities and Exchange Commission (the "Report"), each of the undersigned, on the dates indicated below, hereby certifies pursuant to 18 U.S.C. Section 1350, as adopted pursuant to Section 906 of the Sarbanes-Oxley Act of 2002, that:</w:t>
      </w:r>
    </w:p>
    <w:p>
      <w:pPr>
        <w:spacing w:after="0" w:line="129" w:lineRule="exact"/>
        <w:rPr>
          <w:sz w:val="20"/>
          <w:szCs w:val="20"/>
          <w:color w:val="auto"/>
        </w:rPr>
      </w:pPr>
    </w:p>
    <w:p>
      <w:pPr>
        <w:ind w:left="420" w:hanging="212"/>
        <w:spacing w:after="0"/>
        <w:tabs>
          <w:tab w:leader="none" w:pos="4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 fully complies with the requirements of Section 13(a) or 15(d) of the Securities Act of 1934; and</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 of the Company.</w:t>
      </w:r>
    </w:p>
    <w:p>
      <w:pPr>
        <w:spacing w:after="0" w:line="355" w:lineRule="exact"/>
        <w:rPr>
          <w:sz w:val="20"/>
          <w:szCs w:val="20"/>
          <w:color w:val="auto"/>
        </w:rPr>
      </w:pPr>
    </w:p>
    <w:p>
      <w:pPr>
        <w:ind w:left="40"/>
        <w:spacing w:after="0"/>
        <w:tabs>
          <w:tab w:leader="none" w:pos="4660" w:val="left"/>
        </w:tabs>
        <w:rPr>
          <w:sz w:val="20"/>
          <w:szCs w:val="20"/>
          <w:color w:val="auto"/>
        </w:rPr>
      </w:pPr>
      <w:r>
        <w:rPr>
          <w:rFonts w:ascii="Times New Roman" w:cs="Times New Roman" w:eastAsia="Times New Roman" w:hAnsi="Times New Roman"/>
          <w:sz w:val="12"/>
          <w:szCs w:val="12"/>
          <w:color w:val="auto"/>
        </w:rPr>
        <w:t>August 8, 2024</w:t>
      </w:r>
      <w:r>
        <w:rPr>
          <w:sz w:val="20"/>
          <w:szCs w:val="20"/>
          <w:color w:val="auto"/>
        </w:rPr>
        <w:tab/>
      </w:r>
      <w:r>
        <w:rPr>
          <w:rFonts w:ascii="Times New Roman" w:cs="Times New Roman" w:eastAsia="Times New Roman" w:hAnsi="Times New Roman"/>
          <w:sz w:val="11"/>
          <w:szCs w:val="11"/>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2949575</wp:posOffset>
            </wp:positionH>
            <wp:positionV relativeFrom="paragraph">
              <wp:posOffset>10795</wp:posOffset>
            </wp:positionV>
            <wp:extent cx="4223385" cy="114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4">
                      <a:extLst>
                        <a:ext uri="{28A0092B-C50C-407E-A947-70E740481C1C}"/>
                      </a:extLst>
                    </a:blip>
                    <a:srcRect/>
                    <a:stretch>
                      <a:fillRect/>
                    </a:stretch>
                  </pic:blipFill>
                  <pic:spPr bwMode="auto">
                    <a:xfrm>
                      <a:off x="0" y="0"/>
                      <a:ext cx="4223385" cy="11430"/>
                    </a:xfrm>
                    <a:prstGeom prst="rect">
                      <a:avLst/>
                    </a:prstGeom>
                    <a:noFill/>
                  </pic:spPr>
                </pic:pic>
              </a:graphicData>
            </a:graphic>
          </wp:anchor>
        </w:drawing>
      </w:r>
    </w:p>
    <w:p>
      <w:pPr>
        <w:spacing w:after="0" w:line="1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2"/>
          <w:szCs w:val="12"/>
          <w:color w:val="auto"/>
        </w:rPr>
        <w:t>Thomas C. Priore</w:t>
      </w:r>
    </w:p>
    <w:p>
      <w:pPr>
        <w:spacing w:after="0" w:line="1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2"/>
          <w:szCs w:val="12"/>
          <w:i w:val="1"/>
          <w:iCs w:val="1"/>
          <w:color w:val="auto"/>
        </w:rPr>
        <w:t>Chief Executive Officer and Chairman</w:t>
      </w:r>
    </w:p>
    <w:p>
      <w:pPr>
        <w:spacing w:after="0" w:line="1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2"/>
          <w:szCs w:val="12"/>
          <w:i w:val="1"/>
          <w:iCs w:val="1"/>
          <w:color w:val="auto"/>
        </w:rPr>
        <w:t>(Principal Executive Officer)</w:t>
      </w:r>
    </w:p>
    <w:p>
      <w:pPr>
        <w:spacing w:after="0" w:line="200" w:lineRule="exact"/>
        <w:rPr>
          <w:sz w:val="20"/>
          <w:szCs w:val="20"/>
          <w:color w:val="auto"/>
        </w:rPr>
      </w:pPr>
    </w:p>
    <w:p>
      <w:pPr>
        <w:spacing w:after="0" w:line="389" w:lineRule="exact"/>
        <w:rPr>
          <w:sz w:val="20"/>
          <w:szCs w:val="20"/>
          <w:color w:val="auto"/>
        </w:rPr>
      </w:pPr>
    </w:p>
    <w:p>
      <w:pPr>
        <w:ind w:left="40"/>
        <w:spacing w:after="0"/>
        <w:tabs>
          <w:tab w:leader="none" w:pos="4660" w:val="left"/>
        </w:tabs>
        <w:rPr>
          <w:sz w:val="20"/>
          <w:szCs w:val="20"/>
          <w:color w:val="auto"/>
        </w:rPr>
      </w:pPr>
      <w:r>
        <w:rPr>
          <w:rFonts w:ascii="Times New Roman" w:cs="Times New Roman" w:eastAsia="Times New Roman" w:hAnsi="Times New Roman"/>
          <w:sz w:val="12"/>
          <w:szCs w:val="12"/>
          <w:color w:val="auto"/>
        </w:rPr>
        <w:t>August 8, 2024</w:t>
      </w:r>
      <w:r>
        <w:rPr>
          <w:sz w:val="20"/>
          <w:szCs w:val="20"/>
          <w:color w:val="auto"/>
        </w:rPr>
        <w:tab/>
      </w:r>
      <w:r>
        <w:rPr>
          <w:rFonts w:ascii="Times New Roman" w:cs="Times New Roman" w:eastAsia="Times New Roman" w:hAnsi="Times New Roman"/>
          <w:sz w:val="11"/>
          <w:szCs w:val="11"/>
          <w:color w:val="auto"/>
        </w:rPr>
        <w:t>/s/ TIMOTHY M.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2949575</wp:posOffset>
            </wp:positionH>
            <wp:positionV relativeFrom="paragraph">
              <wp:posOffset>10795</wp:posOffset>
            </wp:positionV>
            <wp:extent cx="4223385" cy="114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5">
                      <a:extLst>
                        <a:ext uri="{28A0092B-C50C-407E-A947-70E740481C1C}"/>
                      </a:extLst>
                    </a:blip>
                    <a:srcRect/>
                    <a:stretch>
                      <a:fillRect/>
                    </a:stretch>
                  </pic:blipFill>
                  <pic:spPr bwMode="auto">
                    <a:xfrm>
                      <a:off x="0" y="0"/>
                      <a:ext cx="4223385" cy="11430"/>
                    </a:xfrm>
                    <a:prstGeom prst="rect">
                      <a:avLst/>
                    </a:prstGeom>
                    <a:noFill/>
                  </pic:spPr>
                </pic:pic>
              </a:graphicData>
            </a:graphic>
          </wp:anchor>
        </w:drawing>
      </w:r>
    </w:p>
    <w:p>
      <w:pPr>
        <w:spacing w:after="0" w:line="1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2"/>
          <w:szCs w:val="12"/>
          <w:color w:val="auto"/>
        </w:rPr>
        <w:t>Timothy M. O’Leary</w:t>
      </w:r>
    </w:p>
    <w:p>
      <w:pPr>
        <w:spacing w:after="0" w:line="1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2"/>
          <w:szCs w:val="12"/>
          <w:i w:val="1"/>
          <w:iCs w:val="1"/>
          <w:color w:val="auto"/>
        </w:rPr>
        <w:t>Chief Financial Officer</w:t>
      </w:r>
    </w:p>
    <w:p>
      <w:pPr>
        <w:spacing w:after="0" w:line="1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2"/>
          <w:szCs w:val="12"/>
          <w:i w:val="1"/>
          <w:iCs w:val="1"/>
          <w:color w:val="auto"/>
        </w:rPr>
        <w:t>(Principal Financial Officer)</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foregoing certifications are being furnished solely pursuant to 18 U.S.C. § 1350 and are not being filed as part of the Report on Form 10-Q or as a separate disclosure document.</w:t>
      </w:r>
    </w:p>
    <w:sectPr>
      <w:pgSz w:w="11900" w:h="16838" w:orient="portrait"/>
      <w:cols w:equalWidth="0" w:num="1">
        <w:col w:w="11300"/>
      </w:cols>
      <w:pgMar w:left="300" w:top="12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2"/>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4"/>
    </w:lvl>
  </w:abstractNum>
  <w:abstractNum w:abstractNumId="8">
    <w:nsid w:val="519B500D"/>
    <w:multiLevelType w:val="hybridMultilevel"/>
    <w:lvl w:ilvl="0">
      <w:lvlJc w:val="left"/>
      <w:lvlText w:val="%1"/>
      <w:numFmt w:val="decimal"/>
      <w:start w:val="1"/>
    </w:lvl>
    <w:lvl w:ilvl="1">
      <w:lvlJc w:val="left"/>
      <w:lvlText w:val="(%2)"/>
      <w:numFmt w:val="decimal"/>
      <w:start w:val="1"/>
    </w:lvl>
  </w:abstractNum>
  <w:abstractNum w:abstractNumId="9">
    <w:nsid w:val="431BD7B7"/>
    <w:multiLevelType w:val="hybridMultilevel"/>
    <w:lvl w:ilvl="0">
      <w:lvlJc w:val="left"/>
      <w:lvlText w:val="%1."/>
      <w:numFmt w:val="decimal"/>
      <w:start w:val="5"/>
    </w:lvl>
    <w:lvl w:ilvl="1">
      <w:lvlJc w:val="left"/>
      <w:lvlText w:val="%2"/>
      <w:numFmt w:val="decimal"/>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1"/>
    </w:lvl>
    <w:lvl w:ilvl="1">
      <w:lvlJc w:val="left"/>
      <w:lvlText w:val="(%2)"/>
      <w:numFmt w:val="decimal"/>
      <w:start w:val="1"/>
    </w:lvl>
  </w:abstractNum>
  <w:abstractNum w:abstractNumId="13">
    <w:nsid w:val="62BBD95A"/>
    <w:multiLevelType w:val="hybridMultilevel"/>
    <w:lvl w:ilvl="0">
      <w:lvlJc w:val="left"/>
      <w:lvlText w:val="%1."/>
      <w:numFmt w:val="decimal"/>
      <w:start w:val="9"/>
    </w:lvl>
    <w:lvl w:ilvl="1">
      <w:lvlJc w:val="left"/>
      <w:lvlText w:val="%2"/>
      <w:numFmt w:val="decimal"/>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1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107" Type="http://schemas.openxmlformats.org/officeDocument/2006/relationships/image" Target="media/image82.png"/><Relationship Id="rId108" Type="http://schemas.openxmlformats.org/officeDocument/2006/relationships/image" Target="media/image83.png"/><Relationship Id="rId121" Type="http://schemas.openxmlformats.org/officeDocument/2006/relationships/image" Target="media/image84.png"/><Relationship Id="rId122" Type="http://schemas.openxmlformats.org/officeDocument/2006/relationships/image" Target="media/image85.png"/><Relationship Id="rId123" Type="http://schemas.openxmlformats.org/officeDocument/2006/relationships/image" Target="media/image86.png"/><Relationship Id="rId124" Type="http://schemas.openxmlformats.org/officeDocument/2006/relationships/image" Target="media/image87.png"/><Relationship Id="rId125" Type="http://schemas.openxmlformats.org/officeDocument/2006/relationships/image" Target="media/image88.png"/><Relationship Id="rId89" Type="http://schemas.openxmlformats.org/officeDocument/2006/relationships/hyperlink" Target="https://www.sec.gov/Archives/edgar/data/1653558/000161577418006226/s111183_defm14a.htm" TargetMode="External"/><Relationship Id="rId90" Type="http://schemas.openxmlformats.org/officeDocument/2006/relationships/hyperlink" Target="https://www.sec.gov/Archives/edgar/data/1653558/000165355821000031/projectwarriorfinxera-merg.htm" TargetMode="External"/><Relationship Id="rId91" Type="http://schemas.openxmlformats.org/officeDocument/2006/relationships/hyperlink" Target="https://www.sec.gov/Archives/edgar/data/1653558/000165355821000060/annex1certificateofamendme.htm" TargetMode="External"/><Relationship Id="rId92" Type="http://schemas.openxmlformats.org/officeDocument/2006/relationships/hyperlink" Target="https://www.sec.gov/Archives/edgar/data/0001653558/000165355821000031/projectwarriorfinxera-merg.htm" TargetMode="External"/><Relationship Id="rId93" Type="http://schemas.openxmlformats.org/officeDocument/2006/relationships/hyperlink" Target="https://www.sec.gov/Archives/edgar/data/1653558/000161577418007231/s111606_ex3-1.htm" TargetMode="External"/><Relationship Id="rId94" Type="http://schemas.openxmlformats.org/officeDocument/2006/relationships/hyperlink" Target="https://www.sec.gov/Archives/edgar/data/1653558/000161577418007231/s111606_ex3-2.htm" TargetMode="External"/><Relationship Id="rId95" Type="http://schemas.openxmlformats.org/officeDocument/2006/relationships/hyperlink" Target="https://www.sec.gov/Archives/edgar/data/1653558/000161577416007233/s104127_ex4-1.htm" TargetMode="External"/><Relationship Id="rId96" Type="http://schemas.openxmlformats.org/officeDocument/2006/relationships/hyperlink" Target="https://www.sec.gov/Archives/edgar/data/1653558/000165355821000065/exhibit31-priorityxcertifi.htm" TargetMode="External"/><Relationship Id="rId97" Type="http://schemas.openxmlformats.org/officeDocument/2006/relationships/hyperlink" Target="https://www.sec.gov/Archives/edgar/data/1653558/000161577418007231/s111606_ex10-1.htm" TargetMode="External"/><Relationship Id="rId98" Type="http://schemas.openxmlformats.org/officeDocument/2006/relationships/hyperlink" Target="https://www.sec.gov/Archives/edgar/data/1653558/000161577418007231/s111606_ex10-2.htm" TargetMode="External"/><Relationship Id="rId99" Type="http://schemas.openxmlformats.org/officeDocument/2006/relationships/hyperlink" Target="https://www.sec.gov/Archives/edgar/data/0001653558/000165355821000101/ex1021prioritytechnologyq2.htm" TargetMode="External"/><Relationship Id="rId100" Type="http://schemas.openxmlformats.org/officeDocument/2006/relationships/hyperlink" Target="https://www.sec.gov/Archives/edgar/data/1653558/000165355822000028/prioritytechnology-ex1031x.htm" TargetMode="External"/><Relationship Id="rId101" Type="http://schemas.openxmlformats.org/officeDocument/2006/relationships/hyperlink" Target="https://www.sec.gov/Archives/edgar/data/1653558/000161577418014981/s114881_ex10-6.htm" TargetMode="External"/><Relationship Id="rId102" Type="http://schemas.openxmlformats.org/officeDocument/2006/relationships/hyperlink" Target="https://www.sec.gov/Archives/edgar/data/1653558/000161577418014981/s114881_ex10-7.htm" TargetMode="External"/><Relationship Id="rId103" Type="http://schemas.openxmlformats.org/officeDocument/2006/relationships/hyperlink" Target="http://www.sec.gov/Archives/edgar/data/1653558/000162828019003666/prioritytechnology-ex1019.htm" TargetMode="External"/><Relationship Id="rId104" Type="http://schemas.openxmlformats.org/officeDocument/2006/relationships/hyperlink" Target="https://www.sec.gov/Archives/edgar/data/1653558/000165355820000148/assetpurchaseagreement.htm" TargetMode="External"/><Relationship Id="rId105" Type="http://schemas.openxmlformats.org/officeDocument/2006/relationships/hyperlink" Target="https://www.sec.gov/Archives/edgar/data/0001653558/000165355821000031/exhibith-supportagreemente.htm" TargetMode="External"/><Relationship Id="rId106" Type="http://schemas.openxmlformats.org/officeDocument/2006/relationships/hyperlink" Target="https://www.sec.gov/Archives/edgar/data/0001653558/000165355821000031/priorityprojectwarrior-tru.htm" TargetMode="External"/><Relationship Id="rId109" Type="http://schemas.openxmlformats.org/officeDocument/2006/relationships/hyperlink" Target="https://www.sec.gov/Archives/edgar/data/0001653558/000165355821000031/priority-arespreferredcomm.htm" TargetMode="External"/><Relationship Id="rId110" Type="http://schemas.openxmlformats.org/officeDocument/2006/relationships/hyperlink" Target="https://www.sec.gov/Archives/edgar/data/0001653558/000165355821000065/exhibit101-priorityxpurcha.htm" TargetMode="External"/><Relationship Id="rId111" Type="http://schemas.openxmlformats.org/officeDocument/2006/relationships/hyperlink" Target="https://www.sec.gov/Archives/edgar/data/0001653558/000165355821000065/exhibit102-priorityxregist.htm" TargetMode="External"/><Relationship Id="rId112" Type="http://schemas.openxmlformats.org/officeDocument/2006/relationships/hyperlink" Target="https://www.sec.gov/Archives/edgar/data/1653558/000165355822000094/ex1023formrestrictedstocku.htm" TargetMode="External"/><Relationship Id="rId113" Type="http://schemas.openxmlformats.org/officeDocument/2006/relationships/hyperlink" Target="https://www.sec.gov/Archives/edgar/data/1653558/000165355823000030/prioritytechnology-ex108.htm" TargetMode="External"/><Relationship Id="rId114" Type="http://schemas.openxmlformats.org/officeDocument/2006/relationships/hyperlink" Target="https://www.sec.gov/Archives/edgar/data/1653558/000165355823000056/ex1025priorityrecoupmentcl.htm" TargetMode="External"/><Relationship Id="rId115" Type="http://schemas.openxmlformats.org/officeDocument/2006/relationships/hyperlink" Target="https://www.sec.gov/Archives/edgar/data/1653558/000165355823000087/ex101projectbellamy-amen.htm" TargetMode="External"/><Relationship Id="rId116" Type="http://schemas.openxmlformats.org/officeDocument/2006/relationships/hyperlink" Target="https://www.sec.gov/Archives/edgar/data/1653558/000165355823000087/ex102priority-sideletter.htm" TargetMode="External"/><Relationship Id="rId117" Type="http://schemas.openxmlformats.org/officeDocument/2006/relationships/hyperlink" Target="https://www.sec.gov/Archives/edgar/data/1653558/000165355823000087/ex103projectbellamy-earnou.htm" TargetMode="External"/><Relationship Id="rId118" Type="http://schemas.openxmlformats.org/officeDocument/2006/relationships/hyperlink" Target="https://www.sec.gov/Archives/edgar/data/1653558/000165355823000100/ex1023priority-amendedandr.htm" TargetMode="External"/><Relationship Id="rId119" Type="http://schemas.openxmlformats.org/officeDocument/2006/relationships/hyperlink" Target="https://www.sec.gov/ix?doc=/Archives/edgar/data/0001653558/000165355824000039/prth-20231231.htm" TargetMode="External"/><Relationship Id="rId120" Type="http://schemas.openxmlformats.org/officeDocument/2006/relationships/hyperlink" Target="https://www.sec.gov/ix?doc=/Archives/edgar/data/1653558/000165355824000073/prth-202405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2024-08-08T07:20:39Z</dcterms:created>
  <dcterms:modified xsi:type="dcterms:W3CDTF">2024-08-08T07:20:39Z</dcterms:modified>
</cp:coreProperties>
</file>