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10-Q</w:t>
      </w:r>
    </w:p>
    <w:p>
      <w:pPr>
        <w:spacing w:after="0" w:line="238" w:lineRule="exact"/>
        <w:rPr>
          <w:sz w:val="24"/>
          <w:szCs w:val="24"/>
          <w:color w:val="auto"/>
        </w:rPr>
      </w:pPr>
    </w:p>
    <w:p>
      <w:pPr>
        <w:jc w:val="center"/>
        <w:ind w:left="4080" w:right="1280" w:hanging="2676"/>
        <w:spacing w:after="0" w:line="292" w:lineRule="auto"/>
        <w:tabs>
          <w:tab w:leader="none" w:pos="161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6"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001-37872</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Priority Technology Holdings, Inc.</w:t>
      </w:r>
    </w:p>
    <w:p>
      <w:pPr>
        <w:spacing w:after="0" w:line="7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right"/>
              <w:ind w:right="1393"/>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17"/>
        </w:trPr>
        <w:tc>
          <w:tcPr>
            <w:tcW w:w="4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80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681"/>
        </w:trPr>
        <w:tc>
          <w:tcPr>
            <w:tcW w:w="8660" w:type="dxa"/>
            <w:vAlign w:val="bottom"/>
            <w:gridSpan w:val="3"/>
          </w:tcPr>
          <w:p>
            <w:pPr>
              <w:jc w:val="right"/>
              <w:ind w:right="3353"/>
              <w:spacing w:after="0"/>
              <w:rPr>
                <w:sz w:val="20"/>
                <w:szCs w:val="20"/>
                <w:color w:val="auto"/>
              </w:rPr>
            </w:pPr>
            <w:r>
              <w:rPr>
                <w:rFonts w:ascii="Arial" w:cs="Arial" w:eastAsia="Arial" w:hAnsi="Arial"/>
                <w:sz w:val="18"/>
                <w:szCs w:val="18"/>
                <w:b w:val="1"/>
                <w:bCs w:val="1"/>
                <w:color w:val="auto"/>
              </w:rPr>
              <w:t>2001 Westside Parkway</w:t>
            </w:r>
          </w:p>
        </w:tc>
      </w:tr>
      <w:tr>
        <w:trPr>
          <w:trHeight w:val="270"/>
        </w:trPr>
        <w:tc>
          <w:tcPr>
            <w:tcW w:w="4860" w:type="dxa"/>
            <w:vAlign w:val="bottom"/>
            <w:gridSpan w:val="2"/>
          </w:tcPr>
          <w:p>
            <w:pPr>
              <w:ind w:left="4040"/>
              <w:spacing w:after="0"/>
              <w:rPr>
                <w:sz w:val="20"/>
                <w:szCs w:val="20"/>
                <w:color w:val="auto"/>
              </w:rPr>
            </w:pPr>
            <w:r>
              <w:rPr>
                <w:rFonts w:ascii="Arial" w:cs="Arial" w:eastAsia="Arial" w:hAnsi="Arial"/>
                <w:sz w:val="18"/>
                <w:szCs w:val="18"/>
                <w:b w:val="1"/>
                <w:bCs w:val="1"/>
                <w:color w:val="auto"/>
              </w:rPr>
              <w:t>Suite 155</w:t>
            </w:r>
          </w:p>
        </w:tc>
        <w:tc>
          <w:tcPr>
            <w:tcW w:w="3800" w:type="dxa"/>
            <w:vAlign w:val="bottom"/>
          </w:tcPr>
          <w:p>
            <w:pPr>
              <w:spacing w:after="0"/>
              <w:rPr>
                <w:sz w:val="23"/>
                <w:szCs w:val="23"/>
                <w:color w:val="auto"/>
              </w:rPr>
            </w:pPr>
          </w:p>
        </w:tc>
      </w:tr>
      <w:tr>
        <w:trPr>
          <w:trHeight w:val="270"/>
        </w:trPr>
        <w:tc>
          <w:tcPr>
            <w:tcW w:w="4860" w:type="dxa"/>
            <w:vAlign w:val="bottom"/>
            <w:gridSpan w:val="2"/>
          </w:tcPr>
          <w:p>
            <w:pPr>
              <w:ind w:left="3060"/>
              <w:spacing w:after="0"/>
              <w:rPr>
                <w:sz w:val="20"/>
                <w:szCs w:val="20"/>
                <w:color w:val="auto"/>
              </w:rPr>
            </w:pPr>
            <w:r>
              <w:rPr>
                <w:rFonts w:ascii="Arial" w:cs="Arial" w:eastAsia="Arial" w:hAnsi="Arial"/>
                <w:sz w:val="18"/>
                <w:szCs w:val="18"/>
                <w:b w:val="1"/>
                <w:bCs w:val="1"/>
                <w:color w:val="auto"/>
              </w:rPr>
              <w:t>Alpharetta, GA</w:t>
            </w:r>
          </w:p>
        </w:tc>
        <w:tc>
          <w:tcPr>
            <w:tcW w:w="3800" w:type="dxa"/>
            <w:vAlign w:val="bottom"/>
          </w:tcPr>
          <w:p>
            <w:pPr>
              <w:jc w:val="right"/>
              <w:ind w:right="3253"/>
              <w:spacing w:after="0"/>
              <w:rPr>
                <w:sz w:val="20"/>
                <w:szCs w:val="20"/>
                <w:color w:val="auto"/>
              </w:rPr>
            </w:pPr>
            <w:r>
              <w:rPr>
                <w:rFonts w:ascii="Arial" w:cs="Arial" w:eastAsia="Arial" w:hAnsi="Arial"/>
                <w:sz w:val="18"/>
                <w:szCs w:val="18"/>
                <w:b w:val="1"/>
                <w:bCs w:val="1"/>
                <w:color w:val="auto"/>
                <w:w w:val="87"/>
              </w:rPr>
              <w:t>30004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17145</wp:posOffset>
            </wp:positionV>
            <wp:extent cx="5503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352" w:lineRule="exact"/>
        <w:rPr>
          <w:sz w:val="24"/>
          <w:szCs w:val="24"/>
          <w:color w:val="auto"/>
        </w:rPr>
      </w:pPr>
    </w:p>
    <w:p>
      <w:pPr>
        <w:ind w:left="6180" w:hanging="1488"/>
        <w:spacing w:after="0"/>
        <w:tabs>
          <w:tab w:leader="none" w:pos="6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935-5964</w:t>
      </w:r>
    </w:p>
    <w:p>
      <w:pPr>
        <w:spacing w:after="0" w:line="81" w:lineRule="exact"/>
        <w:rPr>
          <w:rFonts w:ascii="Arial" w:cs="Arial" w:eastAsia="Arial" w:hAnsi="Arial"/>
          <w:sz w:val="18"/>
          <w:szCs w:val="18"/>
          <w:b w:val="1"/>
          <w:bCs w:val="1"/>
          <w:color w:val="auto"/>
        </w:rPr>
      </w:pPr>
    </w:p>
    <w:p>
      <w:pPr>
        <w:ind w:left="394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(Registrant's 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-133350</wp:posOffset>
            </wp:positionV>
            <wp:extent cx="5503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2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31750</wp:posOffset>
            </wp:positionV>
            <wp:extent cx="55035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890" w:type="dxa"/>
        <w:tblCellMar>
          <w:top w:w="0" w:type="dxa"/>
          <w:left w:w="0" w:type="dxa"/>
          <w:bottom w:w="0" w:type="dxa"/>
          <w:right w:w="0" w:type="dxa"/>
        </w:tblCellMar>
      </w:tblPr>
      <w:tr>
        <w:trPr>
          <w:trHeight w:val="257"/>
        </w:trPr>
        <w:tc>
          <w:tcPr>
            <w:tcW w:w="3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Borders>
              <w:top w:val="single" w:sz="8" w:color="auto"/>
              <w:right w:val="single" w:sz="8" w:color="auto"/>
            </w:tcBorders>
          </w:tcPr>
          <w:p>
            <w:pPr>
              <w:spacing w:after="0"/>
              <w:rPr>
                <w:sz w:val="22"/>
                <w:szCs w:val="22"/>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40" w:type="dxa"/>
            <w:vAlign w:val="bottom"/>
            <w:tcBorders>
              <w:top w:val="single" w:sz="8" w:color="auto"/>
              <w:right w:val="single" w:sz="8" w:color="auto"/>
            </w:tcBorders>
          </w:tcPr>
          <w:p>
            <w:pPr>
              <w:spacing w:after="0"/>
              <w:rPr>
                <w:sz w:val="22"/>
                <w:szCs w:val="22"/>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2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14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60"/>
              <w:spacing w:after="0"/>
              <w:rPr>
                <w:sz w:val="20"/>
                <w:szCs w:val="20"/>
                <w:color w:val="auto"/>
              </w:rPr>
            </w:pPr>
            <w:r>
              <w:rPr>
                <w:rFonts w:ascii="Arial" w:cs="Arial" w:eastAsia="Arial" w:hAnsi="Arial"/>
                <w:sz w:val="18"/>
                <w:szCs w:val="18"/>
                <w:color w:val="auto"/>
                <w:w w:val="98"/>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As of August 7, 2020, a total of 67,618,551 shares of common stock, par value $0.001 per share, were issued and 67,167,327 shares were outstanding.</w:t>
      </w:r>
    </w:p>
    <w:p>
      <w:pPr>
        <w:sectPr>
          <w:pgSz w:w="11900" w:h="16838" w:orient="portrait"/>
          <w:cols w:equalWidth="0" w:num="1">
            <w:col w:w="11120"/>
          </w:cols>
          <w:pgMar w:left="320" w:top="351"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40" w:type="dxa"/>
            <w:vAlign w:val="bottom"/>
            <w:gridSpan w:val="3"/>
          </w:tcPr>
          <w:p>
            <w:pPr>
              <w:ind w:left="780"/>
              <w:spacing w:after="0"/>
              <w:rPr>
                <w:sz w:val="20"/>
                <w:szCs w:val="20"/>
                <w:color w:val="auto"/>
              </w:rPr>
            </w:pPr>
            <w:r>
              <w:rPr>
                <w:rFonts w:ascii="Arial" w:cs="Arial" w:eastAsia="Arial" w:hAnsi="Arial"/>
                <w:sz w:val="18"/>
                <w:szCs w:val="18"/>
                <w:b w:val="1"/>
                <w:bCs w:val="1"/>
                <w:color w:val="auto"/>
              </w:rPr>
              <w:t>Priority Technology Holdings, Inc.</w:t>
            </w:r>
          </w:p>
        </w:tc>
        <w:tc>
          <w:tcPr>
            <w:tcW w:w="3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4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93"/>
              </w:rPr>
              <w:t>Quarterly Report on Form 10-Q</w:t>
            </w:r>
          </w:p>
        </w:tc>
        <w:tc>
          <w:tcPr>
            <w:tcW w:w="3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4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88"/>
              </w:rPr>
              <w:t>June 30, 2020</w:t>
            </w:r>
          </w:p>
        </w:tc>
        <w:tc>
          <w:tcPr>
            <w:tcW w:w="380" w:type="dxa"/>
            <w:vAlign w:val="bottom"/>
          </w:tcPr>
          <w:p>
            <w:pPr>
              <w:spacing w:after="0"/>
              <w:rPr>
                <w:sz w:val="20"/>
                <w:szCs w:val="20"/>
                <w:color w:val="auto"/>
              </w:rPr>
            </w:pPr>
          </w:p>
        </w:tc>
      </w:tr>
      <w:tr>
        <w:trPr>
          <w:trHeight w:val="769"/>
        </w:trPr>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r>
      <w:tr>
        <w:trPr>
          <w:trHeight w:val="561"/>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9780" w:type="dxa"/>
            <w:vAlign w:val="bottom"/>
            <w:gridSpan w:val="6"/>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1</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1</w:t>
              </w:r>
            </w:hyperlink>
          </w:p>
        </w:tc>
      </w:tr>
      <w:tr>
        <w:trPr>
          <w:trHeight w:val="270"/>
        </w:trPr>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76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June 30, 2020 and December 31, 2019</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1</w:t>
              </w:r>
            </w:hyperlink>
          </w:p>
        </w:tc>
      </w:tr>
      <w:tr>
        <w:trPr>
          <w:trHeight w:val="229"/>
        </w:trPr>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760" w:type="dxa"/>
            <w:vAlign w:val="bottom"/>
            <w:gridSpan w:val="5"/>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Condensed Consolidated Statements of Operations for the Three Months and Six Months Ended June 30,</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2</w:t>
              </w:r>
            </w:hyperlink>
          </w:p>
        </w:tc>
      </w:tr>
      <w:tr>
        <w:trPr>
          <w:trHeight w:val="196"/>
        </w:trPr>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2020 and June 30, 2019</w:t>
              </w:r>
            </w:hyperlink>
          </w:p>
        </w:tc>
        <w:tc>
          <w:tcPr>
            <w:tcW w:w="6640" w:type="dxa"/>
            <w:vAlign w:val="bottom"/>
            <w:tcBorders>
              <w:top w:val="single" w:sz="8" w:color="0000EE"/>
            </w:tcBorders>
          </w:tcPr>
          <w:p>
            <w:pPr>
              <w:spacing w:after="0"/>
              <w:rPr>
                <w:sz w:val="17"/>
                <w:szCs w:val="17"/>
                <w:color w:val="auto"/>
              </w:rPr>
            </w:pPr>
          </w:p>
        </w:tc>
        <w:tc>
          <w:tcPr>
            <w:tcW w:w="4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250"/>
        </w:trPr>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760" w:type="dxa"/>
            <w:vAlign w:val="bottom"/>
            <w:gridSpan w:val="5"/>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Consolidated Statements of Cash Flows for the Six Months Ended June 30, 2020 and June 30,</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3</w:t>
              </w:r>
            </w:hyperlink>
          </w:p>
        </w:tc>
      </w:tr>
      <w:tr>
        <w:trPr>
          <w:trHeight w:val="196"/>
        </w:trPr>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1360" w:type="dxa"/>
            <w:vAlign w:val="bottom"/>
            <w:tcBorders>
              <w:top w:val="single" w:sz="8" w:color="0000EE"/>
            </w:tcBorders>
          </w:tcPr>
          <w:p>
            <w:pPr>
              <w:spacing w:after="0"/>
              <w:rPr>
                <w:sz w:val="17"/>
                <w:szCs w:val="17"/>
                <w:color w:val="auto"/>
              </w:rPr>
            </w:pPr>
          </w:p>
        </w:tc>
        <w:tc>
          <w:tcPr>
            <w:tcW w:w="6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90"/>
        </w:trPr>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6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5</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28</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3.</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43</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Controls and Procedures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43</w:t>
              </w:r>
            </w:hyperlink>
          </w:p>
        </w:tc>
      </w:tr>
      <w:tr>
        <w:trPr>
          <w:trHeight w:val="567"/>
        </w:trPr>
        <w:tc>
          <w:tcPr>
            <w:tcW w:w="7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Part II.</w:t>
              </w:r>
            </w:hyperlink>
          </w:p>
        </w:tc>
        <w:tc>
          <w:tcPr>
            <w:tcW w:w="9780" w:type="dxa"/>
            <w:vAlign w:val="bottom"/>
            <w:gridSpan w:val="6"/>
          </w:tcPr>
          <w:p>
            <w:pPr>
              <w:ind w:lef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Other Information</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44</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44</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44</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2.</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44</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3.</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Defaults Upon Senior Securities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45</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4.</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Mine Safety Disclosures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45</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5.</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Other Information</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45</w:t>
              </w:r>
            </w:hyperlink>
          </w:p>
        </w:tc>
      </w:tr>
      <w:tr>
        <w:trPr>
          <w:trHeight w:val="594"/>
        </w:trPr>
        <w:tc>
          <w:tcPr>
            <w:tcW w:w="780" w:type="dxa"/>
            <w:vAlign w:val="bottom"/>
          </w:tcPr>
          <w:p>
            <w:pPr>
              <w:spacing w:after="0"/>
              <w:rPr>
                <w:sz w:val="24"/>
                <w:szCs w:val="24"/>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6.</w:t>
              </w:r>
            </w:hyperlink>
          </w:p>
        </w:tc>
        <w:tc>
          <w:tcPr>
            <w:tcW w:w="8760" w:type="dxa"/>
            <w:vAlign w:val="bottom"/>
            <w:gridSpan w:val="5"/>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46</w:t>
              </w:r>
            </w:hyperlink>
          </w:p>
        </w:tc>
      </w:tr>
      <w:tr>
        <w:trPr>
          <w:trHeight w:val="567"/>
        </w:trPr>
        <w:tc>
          <w:tcPr>
            <w:tcW w:w="780" w:type="dxa"/>
            <w:vAlign w:val="bottom"/>
          </w:tcPr>
          <w:p>
            <w:pPr>
              <w:spacing w:after="0"/>
              <w:rPr>
                <w:rFonts w:ascii="Arial" w:cs="Arial" w:eastAsia="Arial" w:hAnsi="Arial"/>
                <w:sz w:val="18"/>
                <w:szCs w:val="18"/>
                <w:u w:val="single" w:color="auto"/>
                <w:color w:val="0000EE"/>
                <w:w w:val="88"/>
              </w:rPr>
            </w:pPr>
            <w:hyperlink w:anchor="page49">
              <w:r>
                <w:rPr>
                  <w:rFonts w:ascii="Arial" w:cs="Arial" w:eastAsia="Arial" w:hAnsi="Arial"/>
                  <w:sz w:val="18"/>
                  <w:szCs w:val="18"/>
                  <w:u w:val="single" w:color="auto"/>
                  <w:color w:val="0000EE"/>
                  <w:w w:val="88"/>
                </w:rPr>
                <w:t>Signatures</w:t>
              </w:r>
            </w:hyperlink>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47</w:t>
              </w:r>
            </w:hyperlink>
          </w:p>
        </w:tc>
      </w:tr>
    </w:tbl>
    <w:p>
      <w:pPr>
        <w:sectPr>
          <w:pgSz w:w="11900" w:h="16838" w:orient="portrait"/>
          <w:cols w:equalWidth="0" w:num="1">
            <w:col w:w="10940"/>
          </w:cols>
          <w:pgMar w:left="360" w:top="337" w:right="5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share data)</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i w:val="1"/>
                <w:iCs w:val="1"/>
                <w:color w:val="auto"/>
                <w:w w:val="92"/>
              </w:rPr>
              <w:t>Unaudited</w:t>
            </w: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43"/>
        </w:trPr>
        <w:tc>
          <w:tcPr>
            <w:tcW w:w="7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2020</w:t>
            </w:r>
          </w:p>
        </w:tc>
        <w:tc>
          <w:tcPr>
            <w:tcW w:w="16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47,231</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$529 and $803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37,993</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3,897</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Settlement assets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94,214</w:t>
            </w:r>
          </w:p>
        </w:tc>
      </w:tr>
      <w:tr>
        <w:trPr>
          <w:trHeight w:val="175"/>
        </w:trPr>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equipment, and software, net</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24,127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23,518</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168,751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182,826</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8"/>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449,699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464,505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26,965</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Accrued residual commissions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19,315</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4,928</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4,007</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37,789</w:t>
            </w:r>
          </w:p>
        </w:tc>
      </w:tr>
      <w:tr>
        <w:trPr>
          <w:trHeight w:val="237"/>
        </w:trPr>
        <w:tc>
          <w:tcPr>
            <w:tcW w:w="75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96,160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93,004</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7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480,639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485,578</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r>
      <w:tr>
        <w:trPr>
          <w:trHeight w:val="237"/>
        </w:trPr>
        <w:tc>
          <w:tcPr>
            <w:tcW w:w="754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487,037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492,190</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55"/>
        </w:trPr>
        <w:tc>
          <w:tcPr>
            <w:tcW w:w="7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r>
      <w:tr>
        <w:trPr>
          <w:trHeight w:val="243"/>
        </w:trPr>
        <w:tc>
          <w:tcPr>
            <w:tcW w:w="754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583,197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585,194</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7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 $0.001 par value per share;100,000,000 shares authorized; zero issued or</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w w:val="97"/>
              </w:rPr>
              <w:t>Common stock - $0.001 par value per share;1,000,000,000 shares authorized; 67,565,359 and</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w w:val="91"/>
              </w:rPr>
              <w:t>67,512,167 shares issued, respectively; 67,114,135 and 67,060,943 shares outstanding, respectively</w:t>
            </w:r>
          </w:p>
        </w:tc>
        <w:tc>
          <w:tcPr>
            <w:tcW w:w="2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Treasury stock, 451,224 common shares, at cost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(127,674)</w:t>
            </w:r>
          </w:p>
        </w:tc>
      </w:tr>
      <w:tr>
        <w:trPr>
          <w:trHeight w:val="236"/>
        </w:trPr>
        <w:tc>
          <w:tcPr>
            <w:tcW w:w="7540" w:type="dxa"/>
            <w:vAlign w:val="bottom"/>
          </w:tcPr>
          <w:p>
            <w:pPr>
              <w:ind w:left="280"/>
              <w:spacing w:after="0"/>
              <w:rPr>
                <w:sz w:val="20"/>
                <w:szCs w:val="20"/>
                <w:color w:val="auto"/>
              </w:rPr>
            </w:pPr>
            <w:r>
              <w:rPr>
                <w:rFonts w:ascii="Arial" w:cs="Arial" w:eastAsia="Arial" w:hAnsi="Arial"/>
                <w:sz w:val="18"/>
                <w:szCs w:val="18"/>
                <w:color w:val="auto"/>
              </w:rPr>
              <w:t>Total Priority Technology Holdings, Inc. stockholders' deficit</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(126,343)</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a subsidiary</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r>
      <w:tr>
        <w:trPr>
          <w:trHeight w:val="236"/>
        </w:trPr>
        <w:tc>
          <w:tcPr>
            <w:tcW w:w="754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deficit</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(120,689)</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55"/>
        </w:trPr>
        <w:tc>
          <w:tcPr>
            <w:tcW w:w="7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r>
      <w:tr>
        <w:trPr>
          <w:trHeight w:val="264"/>
        </w:trPr>
        <w:tc>
          <w:tcPr>
            <w:tcW w:w="754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deficit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449,699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464,505</w:t>
            </w:r>
          </w:p>
        </w:tc>
      </w:tr>
      <w:tr>
        <w:trPr>
          <w:trHeight w:val="20"/>
        </w:trPr>
        <w:tc>
          <w:tcPr>
            <w:tcW w:w="75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19"/>
        </w:trPr>
        <w:tc>
          <w:tcPr>
            <w:tcW w:w="9340" w:type="dxa"/>
            <w:vAlign w:val="bottom"/>
            <w:gridSpan w:val="4"/>
          </w:tcPr>
          <w:p>
            <w:pPr>
              <w:ind w:left="308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7540" w:type="dxa"/>
            <w:vAlign w:val="bottom"/>
          </w:tcPr>
          <w:p>
            <w:pPr>
              <w:ind w:left="5480"/>
              <w:spacing w:after="0"/>
              <w:rPr>
                <w:sz w:val="20"/>
                <w:szCs w:val="20"/>
                <w:color w:val="auto"/>
              </w:rPr>
            </w:pPr>
            <w:r>
              <w:rPr>
                <w:rFonts w:ascii="Arial" w:cs="Arial" w:eastAsia="Arial" w:hAnsi="Arial"/>
                <w:sz w:val="18"/>
                <w:szCs w:val="18"/>
                <w:color w:val="auto"/>
              </w:rPr>
              <w:t>- 1 -</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220" w:type="dxa"/>
            <w:vAlign w:val="bottom"/>
            <w:shd w:val="clear" w:color="auto" w:fill="CCEEFF"/>
          </w:tcPr>
          <w:p>
            <w:pPr>
              <w:spacing w:after="0"/>
              <w:rPr>
                <w:sz w:val="22"/>
                <w:szCs w:val="22"/>
                <w:color w:val="auto"/>
              </w:rPr>
            </w:pPr>
          </w:p>
        </w:tc>
        <w:tc>
          <w:tcPr>
            <w:tcW w:w="2840" w:type="dxa"/>
            <w:vAlign w:val="bottom"/>
            <w:gridSpan w:val="5"/>
            <w:shd w:val="clear" w:color="auto" w:fill="CCEEFF"/>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shd w:val="clear" w:color="auto" w:fill="CCEEFF"/>
          </w:tcPr>
          <w:p>
            <w:pPr>
              <w:spacing w:after="0"/>
              <w:rPr>
                <w:sz w:val="22"/>
                <w:szCs w:val="22"/>
                <w:color w:val="auto"/>
              </w:rPr>
            </w:pPr>
          </w:p>
        </w:tc>
        <w:tc>
          <w:tcPr>
            <w:tcW w:w="250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43"/>
        </w:trPr>
        <w:tc>
          <w:tcPr>
            <w:tcW w:w="50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92,356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92,142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189,289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179,788</w:t>
            </w: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122,109</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19,685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21,255</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14,336</w:t>
            </w: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176,386</w:t>
            </w:r>
          </w:p>
        </w:tc>
      </w:tr>
      <w:tr>
        <w:trPr>
          <w:trHeight w:val="155"/>
        </w:trPr>
        <w:tc>
          <w:tcPr>
            <w:tcW w:w="5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3,402</w:t>
            </w:r>
          </w:p>
        </w:tc>
      </w:tr>
      <w:tr>
        <w:trPr>
          <w:trHeight w:val="210"/>
        </w:trPr>
        <w:tc>
          <w:tcPr>
            <w:tcW w:w="5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(20,139)</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other expenses, net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(19,774)</w:t>
            </w: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5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(16,372)</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5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4,204</w:t>
            </w: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5"/>
        </w:trPr>
        <w:tc>
          <w:tcPr>
            <w:tcW w:w="5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30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(20,576)</w:t>
            </w:r>
          </w:p>
        </w:tc>
      </w:tr>
      <w:tr>
        <w:trPr>
          <w:trHeight w:val="203"/>
        </w:trPr>
        <w:tc>
          <w:tcPr>
            <w:tcW w:w="5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175"/>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67,094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67,088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67,161</w:t>
            </w:r>
          </w:p>
        </w:tc>
      </w:tr>
    </w:tbl>
    <w:p>
      <w:pPr>
        <w:spacing w:after="0" w:line="200" w:lineRule="exact"/>
        <w:rPr>
          <w:sz w:val="20"/>
          <w:szCs w:val="20"/>
          <w:color w:val="auto"/>
        </w:rPr>
      </w:pPr>
    </w:p>
    <w:p>
      <w:pPr>
        <w:spacing w:after="0" w:line="24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820"/>
          </w:cols>
          <w:pgMar w:left="320" w:top="125" w:right="7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240" w:type="dxa"/>
        <w:tblCellMar>
          <w:top w:w="0" w:type="dxa"/>
          <w:left w:w="0" w:type="dxa"/>
          <w:bottom w:w="0" w:type="dxa"/>
          <w:right w:w="0" w:type="dxa"/>
        </w:tblCellMar>
      </w:tblP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shd w:val="clear" w:color="auto" w:fill="CCEEFF"/>
          </w:tcPr>
          <w:p>
            <w:pPr>
              <w:spacing w:after="0"/>
              <w:rPr>
                <w:sz w:val="22"/>
                <w:szCs w:val="22"/>
                <w:color w:val="auto"/>
              </w:rPr>
            </w:pPr>
          </w:p>
        </w:tc>
        <w:tc>
          <w:tcPr>
            <w:tcW w:w="2960" w:type="dxa"/>
            <w:vAlign w:val="bottom"/>
            <w:tcBorders>
              <w:bottom w:val="single" w:sz="8" w:color="auto"/>
            </w:tcBorders>
            <w:gridSpan w:val="4"/>
            <w:shd w:val="clear" w:color="auto" w:fill="CCEEFF"/>
          </w:tcPr>
          <w:p>
            <w:pPr>
              <w:ind w:left="2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(20,576)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 to reconcile net loss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Depreciation and amortization of assets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18,686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Equity-classified and liability-classified stock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Amortization of debt issuance costs and discounts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income tax benefit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Change in allowance for deferred tax assets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Payment-in-kind interest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Other non-cash items, net</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Settlement assets and obligations,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Notes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Accounts payable and other accrued liabilities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 deposits and advance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Other assets and liabilities,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169"/>
        </w:trPr>
        <w:tc>
          <w:tcPr>
            <w:tcW w:w="74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Additions to property, equipment and software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(81,240)</w:t>
            </w: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Note receivable loan funding</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investing activity</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(89,776)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 net of issue discount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69,650</w:t>
            </w: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modification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Borrowings under revolving credit facility</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under revolving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79,437</w:t>
            </w:r>
          </w:p>
        </w:tc>
        <w:tc>
          <w:tcPr>
            <w:tcW w:w="0" w:type="dxa"/>
            <w:vAlign w:val="bottom"/>
          </w:tcPr>
          <w:p>
            <w:pPr>
              <w:spacing w:after="0"/>
              <w:rPr>
                <w:sz w:val="1"/>
                <w:szCs w:val="1"/>
                <w:color w:val="auto"/>
              </w:rPr>
            </w:pPr>
          </w:p>
        </w:tc>
      </w:tr>
      <w:tr>
        <w:trPr>
          <w:trHeight w:val="155"/>
        </w:trPr>
        <w:tc>
          <w:tcPr>
            <w:tcW w:w="74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Net increase (decrease) in cash and restricted cash</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restricted cash at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33,831</w:t>
            </w:r>
          </w:p>
        </w:tc>
        <w:tc>
          <w:tcPr>
            <w:tcW w:w="0" w:type="dxa"/>
            <w:vAlign w:val="bottom"/>
          </w:tcPr>
          <w:p>
            <w:pPr>
              <w:spacing w:after="0"/>
              <w:rPr>
                <w:sz w:val="1"/>
                <w:szCs w:val="1"/>
                <w:color w:val="auto"/>
              </w:rPr>
            </w:pPr>
          </w:p>
        </w:tc>
      </w:tr>
      <w:tr>
        <w:trPr>
          <w:trHeight w:val="257"/>
        </w:trPr>
        <w:tc>
          <w:tcPr>
            <w:tcW w:w="7440" w:type="dxa"/>
            <w:vAlign w:val="bottom"/>
          </w:tcPr>
          <w:p>
            <w:pPr>
              <w:ind w:left="160"/>
              <w:spacing w:after="0"/>
              <w:rPr>
                <w:sz w:val="20"/>
                <w:szCs w:val="20"/>
                <w:color w:val="auto"/>
              </w:rPr>
            </w:pPr>
            <w:r>
              <w:rPr>
                <w:rFonts w:ascii="Arial" w:cs="Arial" w:eastAsia="Arial" w:hAnsi="Arial"/>
                <w:sz w:val="18"/>
                <w:szCs w:val="18"/>
                <w:color w:val="auto"/>
              </w:rPr>
              <w:t>Cash and restricted cash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27,212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240"/>
              <w:spacing w:after="0"/>
              <w:rPr>
                <w:sz w:val="20"/>
                <w:szCs w:val="20"/>
                <w:color w:val="auto"/>
              </w:rPr>
            </w:pPr>
            <w:r>
              <w:rPr>
                <w:rFonts w:ascii="Arial" w:cs="Arial" w:eastAsia="Arial" w:hAnsi="Arial"/>
                <w:sz w:val="18"/>
                <w:szCs w:val="18"/>
                <w:color w:val="auto"/>
              </w:rPr>
              <w:t>- 3 -</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125" w:right="5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237490</wp:posOffset>
            </wp:positionV>
            <wp:extent cx="684911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Supplemental cash flow information:</w:t>
      </w:r>
    </w:p>
    <w:p>
      <w:pPr>
        <w:spacing w:after="0" w:line="67"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44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17,032</w:t>
            </w:r>
          </w:p>
        </w:tc>
        <w:tc>
          <w:tcPr>
            <w:tcW w:w="12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16,595</w:t>
            </w:r>
          </w:p>
        </w:tc>
      </w:tr>
      <w:tr>
        <w:trPr>
          <w:trHeight w:val="27"/>
        </w:trPr>
        <w:tc>
          <w:tcPr>
            <w:tcW w:w="7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9"/>
        </w:trPr>
        <w:tc>
          <w:tcPr>
            <w:tcW w:w="7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PIK interest added to principal of debt obligations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w w:val="91"/>
              </w:rPr>
              <w:t>Payment of accrued contingent consideration for asset acquisition from offset of account receivable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purchases of property, equipment and software</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Intangible assets acquired by issuing non-controlling interest in a subsidiary</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5,654</w:t>
            </w:r>
          </w:p>
        </w:tc>
      </w:tr>
      <w:tr>
        <w:trPr>
          <w:trHeight w:val="27"/>
        </w:trPr>
        <w:tc>
          <w:tcPr>
            <w:tcW w:w="7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and restricted cash:</w:t>
            </w: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45,146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21,693</w:t>
            </w:r>
          </w:p>
        </w:tc>
      </w:tr>
      <w:tr>
        <w:trPr>
          <w:trHeight w:val="27"/>
        </w:trPr>
        <w:tc>
          <w:tcPr>
            <w:tcW w:w="7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and restricted cash</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51,000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27,212</w:t>
            </w:r>
          </w:p>
        </w:tc>
      </w:tr>
      <w:tr>
        <w:trPr>
          <w:trHeight w:val="20"/>
        </w:trPr>
        <w:tc>
          <w:tcPr>
            <w:tcW w:w="7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320" w:top="125" w:right="5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BASIS OF PRESENTATION AND SIGNIFICANT ACCOUNTING POLICIES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Consolidation, and Presentation</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212529"/>
        </w:rPr>
        <w:t xml:space="preserve">Priority Technology Holdings, Inc. and its consolidated subsidiaries are referred to herein collectively as "Priority," "PRTH," the "Company," "we," "our" or "us," unless the context requires otherwise. </w:t>
      </w:r>
      <w:r>
        <w:rPr>
          <w:rFonts w:ascii="Arial" w:cs="Arial" w:eastAsia="Arial" w:hAnsi="Arial"/>
          <w:sz w:val="16"/>
          <w:szCs w:val="16"/>
          <w:color w:val="000000"/>
        </w:rPr>
        <w:t>Priority is a provider of merchant acquiring, integrated payment software and commercial payment solutions.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unaudited condensed consolidated financial statements include the accounts of the Company including those of its majority-owned subsidiaries, and all material intercompany balances and transactions have been eliminated in consolidation. These unaudited condensed consolidated financial statements have been prepared in accordance with accounting principles generally accepted in the United States ("GAAP") for interim financial information pursuant to the rules and regulations of the Securities and Exchange Commission ("SEC"). The consolidated balance sheet as of December 31, 2019 was derived from the audited financial statements included in the Company's Annual Report on Form 10-K for the year ended December 31, 2019 but does not include all disclosures required by GAAP for annual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the Company's management, all known adjustments necessary for a fair presentation of the results of the interim periods have been made. These adjustments consist of normal recurring accruals and estimates that affect the carrying amount of assets and liabilities. These financial statements should be read in conjunction with the consolidated financial statements and notes thereto included in the Company's Annual Report on Form 10-K for the year ended December 31, 2019.</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preparation of financial statements in conformity with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Actual results could differ materially from those estimates. </w:t>
      </w:r>
      <w:r>
        <w:rPr>
          <w:rFonts w:ascii="Arial" w:cs="Arial" w:eastAsia="Arial" w:hAnsi="Arial"/>
          <w:sz w:val="17"/>
          <w:szCs w:val="17"/>
          <w:color w:val="212529"/>
        </w:rPr>
        <w:t>In particular, the magnitude, duration and</w:t>
      </w:r>
      <w:r>
        <w:rPr>
          <w:rFonts w:ascii="Arial" w:cs="Arial" w:eastAsia="Arial" w:hAnsi="Arial"/>
          <w:sz w:val="17"/>
          <w:szCs w:val="17"/>
          <w:color w:val="auto"/>
        </w:rPr>
        <w:t xml:space="preserve"> </w:t>
      </w:r>
      <w:r>
        <w:rPr>
          <w:rFonts w:ascii="Arial" w:cs="Arial" w:eastAsia="Arial" w:hAnsi="Arial"/>
          <w:sz w:val="17"/>
          <w:szCs w:val="17"/>
          <w:color w:val="212529"/>
        </w:rPr>
        <w:t>effects of the COVID-19 pandemic are difficult to predict at this time, and the ultimate effect could result in future charges related to the recoverability of assets, including financial assets, long-lived assets, goodwill, and other losses.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Status as an 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remains an "emerging growth company" ("EGC"), as defined in the Jumpstart Our Business Startups Act of 2012. The Company may remain an EGC until December 31, 2021. However, if the Company's non-convertible debt issued within a rolling three-year period exceeds $1.0 billion, the Company would cease to be an EGC immediately, or if its revenue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may continue to elect to delay the adoption of any new or revised accounting standards that have different effective dates for public and private companies until those standards apply to private companies. Additionally, as a smaller reporting company ("SRC") as defined by the SEC, the Company has the option to adopt certain new or revised accounting standards on a permitted delayed basis that is not available to other public companies not meeting the definition of a SRC. Therefore, the Company's financial statements may not be comparable to other public companies that are not an EGC and/or SRC.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and six months ended June 30, 2020 and June 30, 2019, the Company had no activities to report as components of other comprehensive income (loss). Therefore, no separate Statement of Comprehensive Income (Loss) was prepared for any reporting period as the Company's net loss from continuing operations comprises all of its comprehensive loss.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Comparability of Reporting Periods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amounts in these unaudited condensed consolidated financial statements have been reclassified to conform to the current period presentation, with no net effect on income from operations, loss before income taxes, net loss, stockholders' deficit, or cash flows from operations, investing, or financing activities for any period presented.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adopted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for the 2019 annual reporting period included in its Annual Report on Form 10-K for the year ended December 31, 2019 using the full retrospective transition method. Accordingly, the unaudited condensed consolidated statement of operations for the three months and six months ended June 30, 2019 presented herein has been recasted to retroactively reflect the provisions of ASC 606. The adoption of ASC 606 had no net effect on the Company's income from operations, loss before income taxes, net loss, consolidated balance sheet, or cash flows from operations, investing, or financing activities.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New Accounting Standards Adopted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to the Company's accounting policies as described in its most recent Annual Report on Form 10-K for the year ended December 31, 2019. The Company did not adopt any new accounting standards during the three months and six months ended June 30, 2020, except for ASU 2018-13, as described below.</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for Fair Value Measurements (ASU 2018-13)</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2020, the Company adopted Accounting Standards Update ("ASU") No. 2018-13, </w:t>
      </w:r>
      <w:r>
        <w:rPr>
          <w:rFonts w:ascii="Arial" w:cs="Arial" w:eastAsia="Arial" w:hAnsi="Arial"/>
          <w:sz w:val="18"/>
          <w:szCs w:val="18"/>
          <w:i w:val="1"/>
          <w:iCs w:val="1"/>
          <w:color w:val="auto"/>
        </w:rPr>
        <w:t>Fair Value Measurement (Topic 820):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 Changes to the Disclosure Requirements for Fair Value Measurement </w:t>
      </w:r>
      <w:r>
        <w:rPr>
          <w:rFonts w:ascii="Arial" w:cs="Arial" w:eastAsia="Arial" w:hAnsi="Arial"/>
          <w:sz w:val="18"/>
          <w:szCs w:val="18"/>
          <w:color w:val="auto"/>
        </w:rPr>
        <w:t>("ASU 2018-13"). ASU 2018-13 eliminated, added, and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certain disclosure requirements for fair value measurements as part of the Financial Accounting Standards Board's ("FASB") disclosure framework project. Certain amendments must be applied prospectively while others are applied on a retrospective basis to all periods presented. As disclosure guidance, the adoption of this ASU had no effect on the Company's financial position, results of operations or cash flows. Note 14, </w:t>
      </w:r>
      <w:r>
        <w:rPr>
          <w:rFonts w:ascii="Arial" w:cs="Arial" w:eastAsia="Arial" w:hAnsi="Arial"/>
          <w:sz w:val="18"/>
          <w:szCs w:val="18"/>
          <w:i w:val="1"/>
          <w:iCs w:val="1"/>
          <w:color w:val="auto"/>
        </w:rPr>
        <w:t>Fair Value</w:t>
      </w:r>
      <w:r>
        <w:rPr>
          <w:rFonts w:ascii="Arial" w:cs="Arial" w:eastAsia="Arial" w:hAnsi="Arial"/>
          <w:sz w:val="18"/>
          <w:szCs w:val="18"/>
          <w:color w:val="auto"/>
        </w:rPr>
        <w:t>, reflects the disclosure provisions of ASU 2018-13.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standards are pending adoption and will likely apply to the Company in future periods based on the Company's current business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2020-04)</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March 12,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This ASU provides temporary optional expedients and exceptions to the GAAP guidance on contract modifications and hedge accounting to</w:t>
      </w:r>
      <w:r>
        <w:rPr>
          <w:rFonts w:ascii="Arial" w:cs="Arial" w:eastAsia="Arial" w:hAnsi="Arial"/>
          <w:sz w:val="17"/>
          <w:szCs w:val="17"/>
          <w:i w:val="1"/>
          <w:iCs w:val="1"/>
          <w:color w:val="auto"/>
        </w:rPr>
        <w:t xml:space="preserve"> </w:t>
      </w:r>
      <w:r>
        <w:rPr>
          <w:rFonts w:ascii="Arial" w:cs="Arial" w:eastAsia="Arial" w:hAnsi="Arial"/>
          <w:sz w:val="17"/>
          <w:szCs w:val="17"/>
          <w:color w:val="auto"/>
        </w:rPr>
        <w:t>ease the financial reporting burdens of the expected market transition from the London Interbank Offered Rate ("LIBOR") and other interbank offered rates to alternative reference rates, such as the Secured Overnight Financial Rate. Entities can elect not to apply certain modification accounting requirements to contracts affected by what the guidance calls reference rate reform, if certain criteria are met. An entity that makes this election would not have to remeasure the contact at the modification date or reassess a previous accounting determination. ASU 2020-04 can be adopted at any time before December 31, 2022. The provisions of ASU 2020-04 may impact the Company if future debt modifications or refinancings utilize one or more of the reference rates covered by the provisions of this ASU.</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Leases (ASC 842)</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529"/>
        </w:rPr>
        <w:t xml:space="preserve">In February 2016, the FASB issued new lease accounting guidance in ASU No. 2016-02, </w:t>
      </w:r>
      <w:r>
        <w:rPr>
          <w:rFonts w:ascii="Arial" w:cs="Arial" w:eastAsia="Arial" w:hAnsi="Arial"/>
          <w:sz w:val="16"/>
          <w:szCs w:val="16"/>
          <w:i w:val="1"/>
          <w:iCs w:val="1"/>
          <w:color w:val="212529"/>
        </w:rPr>
        <w:t>Leases-Topic 842</w:t>
      </w:r>
      <w:r>
        <w:rPr>
          <w:rFonts w:ascii="Arial" w:cs="Arial" w:eastAsia="Arial" w:hAnsi="Arial"/>
          <w:sz w:val="16"/>
          <w:szCs w:val="16"/>
          <w:color w:val="212529"/>
        </w:rPr>
        <w:t xml:space="preserve">, which has been codified in ASC 842, </w:t>
      </w:r>
      <w:r>
        <w:rPr>
          <w:rFonts w:ascii="Arial" w:cs="Arial" w:eastAsia="Arial" w:hAnsi="Arial"/>
          <w:sz w:val="16"/>
          <w:szCs w:val="16"/>
          <w:i w:val="1"/>
          <w:iCs w:val="1"/>
          <w:color w:val="212529"/>
        </w:rPr>
        <w:t>Leases</w:t>
      </w:r>
      <w:r>
        <w:rPr>
          <w:rFonts w:ascii="Arial" w:cs="Arial" w:eastAsia="Arial" w:hAnsi="Arial"/>
          <w:sz w:val="16"/>
          <w:szCs w:val="16"/>
          <w:color w:val="212529"/>
        </w:rPr>
        <w:t>, and supplemented by subsequent ASUs.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Based on the current expectation for the expiration of the Company's EGC status, the Company must adopt this standard no later than the beginning of 2022 for annual and interim reporting periods. The adoption of ASC 842 will require the Company to recognize non-current assets and liabilities for right-of-use assets and operating lease liabilities on its consolidated balance sheet. The Company is still evaluating the potential effects that the adoption of ASC 842 may have on its results of operations. ASC 842 will also require additional footnote disclosures to the Company's consolidated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Credit Losses (ASU 2016-13)</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 xml:space="preserve">In June 2016, the FASB issued ASU No. 2016-13, </w:t>
      </w:r>
      <w:r>
        <w:rPr>
          <w:rFonts w:ascii="Arial" w:cs="Arial" w:eastAsia="Arial" w:hAnsi="Arial"/>
          <w:sz w:val="17"/>
          <w:szCs w:val="17"/>
          <w:i w:val="1"/>
          <w:iCs w:val="1"/>
          <w:color w:val="212529"/>
        </w:rPr>
        <w:t>Financial Instruments-Credit Losses (Topic 326): Measurement of Credit Losses on Financial</w:t>
      </w:r>
      <w:r>
        <w:rPr>
          <w:rFonts w:ascii="Arial" w:cs="Arial" w:eastAsia="Arial" w:hAnsi="Arial"/>
          <w:sz w:val="17"/>
          <w:szCs w:val="17"/>
          <w:color w:val="212529"/>
        </w:rPr>
        <w:t xml:space="preserve"> </w:t>
      </w:r>
      <w:r>
        <w:rPr>
          <w:rFonts w:ascii="Arial" w:cs="Arial" w:eastAsia="Arial" w:hAnsi="Arial"/>
          <w:sz w:val="17"/>
          <w:szCs w:val="17"/>
          <w:i w:val="1"/>
          <w:iCs w:val="1"/>
          <w:color w:val="212529"/>
        </w:rPr>
        <w:t>Instruments</w:t>
      </w:r>
      <w:r>
        <w:rPr>
          <w:rFonts w:ascii="Arial" w:cs="Arial" w:eastAsia="Arial" w:hAnsi="Arial"/>
          <w:sz w:val="17"/>
          <w:szCs w:val="17"/>
          <w:color w:val="212529"/>
        </w:rPr>
        <w:t>. This new guidance will change how entities account for credit impairment for trade and other receivables, as well as for certain financial</w:t>
      </w:r>
      <w:r>
        <w:rPr>
          <w:rFonts w:ascii="Arial" w:cs="Arial" w:eastAsia="Arial" w:hAnsi="Arial"/>
          <w:sz w:val="17"/>
          <w:szCs w:val="17"/>
          <w:i w:val="1"/>
          <w:iCs w:val="1"/>
          <w:color w:val="212529"/>
        </w:rPr>
        <w:t xml:space="preserve"> </w:t>
      </w:r>
      <w:r>
        <w:rPr>
          <w:rFonts w:ascii="Arial" w:cs="Arial" w:eastAsia="Arial" w:hAnsi="Arial"/>
          <w:sz w:val="17"/>
          <w:szCs w:val="17"/>
          <w:color w:val="212529"/>
        </w:rPr>
        <w:t>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Since the Company was a SRC on November 15, 2019, the Company must adopt this new standard no later than the beginning of 2023 for annual and interim reporting periods.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Goodwill Impairment Testing (ASU 2017-04)</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 xml:space="preserve">In January 2017, the FASB issued ASU No. 2017-04, </w:t>
      </w:r>
      <w:r>
        <w:rPr>
          <w:rFonts w:ascii="Arial" w:cs="Arial" w:eastAsia="Arial" w:hAnsi="Arial"/>
          <w:sz w:val="17"/>
          <w:szCs w:val="17"/>
          <w:i w:val="1"/>
          <w:iCs w:val="1"/>
          <w:color w:val="212529"/>
        </w:rPr>
        <w:t>Intangibles-Goodwill and Other (Topic 350): Simplifying the Test for Goodwill Impairment</w:t>
      </w:r>
      <w:r>
        <w:rPr>
          <w:rFonts w:ascii="Arial" w:cs="Arial" w:eastAsia="Arial" w:hAnsi="Arial"/>
          <w:sz w:val="17"/>
          <w:szCs w:val="17"/>
          <w:color w:val="212529"/>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Since the Company was a SRC on November 15, 2019, the Company must adopt this new standard no later than the beginning of 2023 for annual and interim reporting periods. The impact that ASU 2017-04 may have on the Company's financial condition or results of operations will depend on the circumstances of any goodwill impairment event that may occur after adoption.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Share-Based Payments to Non-Employees (ASU 2018-07)</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12529"/>
        </w:rPr>
        <w:t xml:space="preserve">In June 2018, the FASB issued ASU 2018-07, </w:t>
      </w:r>
      <w:r>
        <w:rPr>
          <w:rFonts w:ascii="Arial" w:cs="Arial" w:eastAsia="Arial" w:hAnsi="Arial"/>
          <w:sz w:val="16"/>
          <w:szCs w:val="16"/>
          <w:i w:val="1"/>
          <w:iCs w:val="1"/>
          <w:color w:val="212529"/>
        </w:rPr>
        <w:t>Share-based Payments to Non-Employees</w:t>
      </w:r>
      <w:r>
        <w:rPr>
          <w:rFonts w:ascii="Arial" w:cs="Arial" w:eastAsia="Arial" w:hAnsi="Arial"/>
          <w:sz w:val="16"/>
          <w:szCs w:val="16"/>
          <w:color w:val="212529"/>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The Company is evaluating the impact this ASU will have on its consolidated financial statements, and such impact will be dependent on any share-based payments issued to non-employees.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Share-Based Payments to Customers (ASU 2019-08)</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12529"/>
        </w:rPr>
        <w:t xml:space="preserve">In November 2019, the FASB issued ASU 2019-08, </w:t>
      </w:r>
      <w:r>
        <w:rPr>
          <w:rFonts w:ascii="Arial" w:cs="Arial" w:eastAsia="Arial" w:hAnsi="Arial"/>
          <w:sz w:val="16"/>
          <w:szCs w:val="16"/>
          <w:i w:val="1"/>
          <w:iCs w:val="1"/>
          <w:color w:val="212529"/>
        </w:rPr>
        <w:t>Stock Compensation and Revenue from Contracts with Customers</w:t>
      </w:r>
      <w:r>
        <w:rPr>
          <w:rFonts w:ascii="Arial" w:cs="Arial" w:eastAsia="Arial" w:hAnsi="Arial"/>
          <w:sz w:val="16"/>
          <w:szCs w:val="16"/>
          <w:color w:val="212529"/>
        </w:rPr>
        <w:t xml:space="preserve"> ("ASU 2019-08"). ASU 2019-08 will apply to share-based payments granted in conjunction with the sale of goods and services to a customer that are not in exchange for a distinct good or service. Entities will apply ASC 718 to measure and classify share-based sales incentives, and reflect the measurement of such incentives, as a reduction of the transaction price and also recognize such incentives in accordance with the guidance in ASC 606 on consideration payable to a customer. Entities that receive distinct goods or services from a customer will account for the share-based payment in the same manner as they account for other purchases from suppliers (i.e., by applying the guidance in ASC 718). Any excess of the fair-value-based measure of the share-based payment award over the fair value of the distinct goods or services received will be reflected as a reduction to the transaction price and recognized in accordance with the guidance in ASC 606 on consideration payable to a customer. ASU 2019-08 is effective for the Company at the same time it adopts ASU 2018-07, which is annual reporting periods beginning in 2020 and interim periods within annual periods beginning first quarter 2021. The Company is evaluating the impact this ASU will have on its consolidated financial statements, and such impact will be dependent on any share-based payments issued to customers.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Implementation Costs Incurred in Cloud Computing Arrangements (ASU 2018-15)</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 xml:space="preserve">In August 2018, the FASB issued ASU 2018-15, </w:t>
      </w:r>
      <w:r>
        <w:rPr>
          <w:rFonts w:ascii="Arial" w:cs="Arial" w:eastAsia="Arial" w:hAnsi="Arial"/>
          <w:sz w:val="17"/>
          <w:szCs w:val="17"/>
          <w:i w:val="1"/>
          <w:iCs w:val="1"/>
          <w:color w:val="212529"/>
        </w:rPr>
        <w:t>Implementation Costs Incurred in Cloud Computing Arrangements</w:t>
      </w:r>
      <w:r>
        <w:rPr>
          <w:rFonts w:ascii="Arial" w:cs="Arial" w:eastAsia="Arial" w:hAnsi="Arial"/>
          <w:sz w:val="17"/>
          <w:szCs w:val="17"/>
          <w:color w:val="212529"/>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in 2021, and interim periods within annual periods beginning in 2022. The amendments should be applied either retrospectively or prospectively to all implementation costs incurred after the date of adoption. The Company is evaluating the impact this ASU will have on its consolidated financial statements.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Simplifying the Accounting for Income Taxes (ASU 2019-12)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In December 2019, the FASB issued ASU 2019-12, </w:t>
      </w:r>
      <w:r>
        <w:rPr>
          <w:rFonts w:ascii="Arial" w:cs="Arial" w:eastAsia="Arial" w:hAnsi="Arial"/>
          <w:sz w:val="18"/>
          <w:szCs w:val="18"/>
          <w:i w:val="1"/>
          <w:iCs w:val="1"/>
          <w:color w:val="212529"/>
        </w:rPr>
        <w:t>Simplifying the Accounting for Income Taxes</w:t>
      </w:r>
      <w:r>
        <w:rPr>
          <w:rFonts w:ascii="Arial" w:cs="Arial" w:eastAsia="Arial" w:hAnsi="Arial"/>
          <w:sz w:val="18"/>
          <w:szCs w:val="18"/>
          <w:color w:val="212529"/>
        </w:rPr>
        <w:t xml:space="preserve"> ("ASU 2019-12"). ASU 2019-12 will affect several topics of income tax accounting, including: tax-basis step-up in goodwill obtained in a transaction that is not a business combination; intra-period tax allocation; ownership changes in investments when an equity method investment becomes a subsidiary of an entity; interim-period accounting for enacted changes in tax law; and year-to-date loss limitation in interim-period tax accounting. This ASU is effective for the Company on January 1, 2022. The effects that the adoption of this ASU will have on the Company's results of operations, financial position, and cash flows will depend on specific events occurring for the Company after the adoption of ASU 2019-12.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REVENUES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periods presented, substantially all of the Company’s revenues from services were recognized over time. Revenues and commissions earned from the sales of payment equipment were typically recognized at a point in time.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disaggregation of the Company's consolidated revenues by type, and the relationships to the Company's reportable segments, for the three months and six months ended June 30, 2020 and June 30,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500" w:type="dxa"/>
        <w:tblCellMar>
          <w:top w:w="0" w:type="dxa"/>
          <w:left w:w="0" w:type="dxa"/>
          <w:bottom w:w="0" w:type="dxa"/>
          <w:right w:w="0" w:type="dxa"/>
        </w:tblCellMar>
      </w:tblP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22"/>
                <w:szCs w:val="22"/>
                <w:color w:val="auto"/>
              </w:rPr>
            </w:pPr>
          </w:p>
        </w:tc>
        <w:tc>
          <w:tcPr>
            <w:tcW w:w="2940" w:type="dxa"/>
            <w:vAlign w:val="bottom"/>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shd w:val="clear" w:color="auto" w:fill="CCEEFF"/>
          </w:tcPr>
          <w:p>
            <w:pPr>
              <w:spacing w:after="0"/>
              <w:rPr>
                <w:sz w:val="22"/>
                <w:szCs w:val="22"/>
                <w:color w:val="auto"/>
              </w:rPr>
            </w:pPr>
          </w:p>
        </w:tc>
        <w:tc>
          <w:tcPr>
            <w:tcW w:w="278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43"/>
        </w:trPr>
        <w:tc>
          <w:tcPr>
            <w:tcW w:w="39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3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3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Revenue Type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Merchant card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85,686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83,954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174,772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163,548</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Outsourced services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12,756</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14,607</w:t>
            </w: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705</w:t>
            </w: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1,761</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1,633</w:t>
            </w:r>
          </w:p>
        </w:tc>
      </w:tr>
      <w:tr>
        <w:trPr>
          <w:trHeight w:val="27"/>
        </w:trPr>
        <w:tc>
          <w:tcPr>
            <w:tcW w:w="3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92,356</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189,289</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179,788</w:t>
            </w: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in these disaggregated categories consist of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Merchant card fees - revenues related to discount rates and interchange fees earned from payment services provided by the Company's Consumer Payments, Commercial Payments, and Integrated Partners segments.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Outsourced services and other services - business process outsourcing services provided by our Commercial Payments segment primarily to certain business customers of American Express, auxiliary services provided primarily to customers in the Company's Integrated Partners segment, and revenue from automated clearing house ("ACH") services.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Equipment - revenues from sales of point-of-sale equipment and other payment-processing equipment sold to customers in the Company's Consumer Payments segment.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Transaction Price Allocated to Future Performance Obligations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Contract Costs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12529"/>
        </w:rPr>
        <w:t>For new, renewed, or anticipated contracts with customers, the Company does not incur material amounts of incremental costs to obtain such contracts, as those costs are defined by ASC 340-40.</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212529"/>
        </w:rPr>
        <w:t>Fulfillment costs, as defined by ASC 340-40, typically benefit only the period (typically a month in duration) in which they are incurred and therefore are expensed in the period incurred (i.e., not capitalized) unless they meet criteria to be capitalized under other accounting guidance.</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529"/>
        </w:rPr>
        <w:t>The Company pays commissions to most of its independent sales organizations ("ISOs"), and for certain ISOs the Company also pays (through a higher commission rate) them to provide customer service and other services directly to our merchant customers. The ISO is typically an independent contractor or agent of the Company. Although certain ISOs may have merchant portability rights, the merchant meets the definition of a customer for the Company even if the ISO has merchant portability rights. Since payments to ISOs are dependent substantially on variable merchant payment volumes generated after the merchant enters into a new or renewed contract, these payments to ISOs are not deemed to be a cost to acquire a new contract since the ISO payments are based on factors that will arise subsequent to the event of obtaining a new or renewed contract. Also, payments to ISOs pertain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only to a specific month’s activity. For payments made, or due, to an ISO, the expenses are reported within income from operations on our statements of operations.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The Company from time-to-time may elect to buy out all or a portion of an ISO’s rights to receive future commission payments related to certain merchants. Amounts paid to the ISO for these residual buyouts are capitalized by the Company under the accounting guidance for intangible assets.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contract with a customer creates legal rights and obligations.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 and are classified as current or noncurrent based on the nature of the underlying contractual rights and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contracts from customers as of June 30, 2020 and December 31, 2019 was as follows: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6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9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Consolidated Balance Sheet Location</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June 30, 2020</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December 31, 2019</w:t>
            </w:r>
          </w:p>
        </w:tc>
      </w:tr>
      <w:tr>
        <w:trPr>
          <w:trHeight w:val="243"/>
        </w:trPr>
        <w:tc>
          <w:tcPr>
            <w:tcW w:w="3240" w:type="dxa"/>
            <w:vAlign w:val="bottom"/>
          </w:tcPr>
          <w:p>
            <w:pPr>
              <w:spacing w:after="0"/>
              <w:rPr>
                <w:sz w:val="21"/>
                <w:szCs w:val="21"/>
                <w:color w:val="auto"/>
              </w:rPr>
            </w:pPr>
          </w:p>
        </w:tc>
        <w:tc>
          <w:tcPr>
            <w:tcW w:w="3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Contract liabilities, net (current)</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Customer deposits and advance payments</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$1,912</w:t>
            </w:r>
          </w:p>
        </w:tc>
      </w:tr>
    </w:tbl>
    <w:p>
      <w:pPr>
        <w:spacing w:after="0" w:line="200" w:lineRule="exact"/>
        <w:rPr>
          <w:sz w:val="20"/>
          <w:szCs w:val="20"/>
          <w:color w:val="auto"/>
        </w:rPr>
      </w:pPr>
    </w:p>
    <w:p>
      <w:pPr>
        <w:spacing w:after="0" w:line="3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The balance for the contract liabilities was $1,738,000, $1,738,000, and $1,776,000 at June 30, March 31, and January 1, 2019, respectively. The changes in the balances during the three months and six months ended June 30, 2020 and June 30, 2019 were due to the timing of advance payments received from the customer. Substantially all of these balances are recognized as revenue within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12529"/>
        </w:rPr>
        <w:t>Net contract assets were not material for any period presented.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Impairment losses recognized on receivables or contract assets arising from the Company's contracts with customers were not material for the three months and six months ended June 30, 2020 and June 30, 2019.</w:t>
      </w:r>
    </w:p>
    <w:p>
      <w:pPr>
        <w:spacing w:after="0" w:line="200" w:lineRule="exact"/>
        <w:rPr>
          <w:sz w:val="20"/>
          <w:szCs w:val="20"/>
          <w:color w:val="auto"/>
        </w:rPr>
      </w:pPr>
    </w:p>
    <w:p>
      <w:pPr>
        <w:spacing w:after="0" w:line="3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NON-CONTROLLING INTERESTS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YapStone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In March 2019, the Company, through one of its subsidiaries, Priority Real Estate Technology, LLC ("PRET"), acquired certain assets and assumed certain related liabilities (the "YapStone net assets") from YapStone, Inc. ("YapStone") under an asset purchase and contribution agreement. The purchase price for the YapStone net assets was $65.0 million in cash plus a non-controlling interest ("NCI") in PRET. The fair value of the NCI was estimated to be approximately $5.7 million. The total purchase price was assigned to customer relationships, except for $1.0 million and $1.2 million which were assigned to a software license agreement and a services agreement, respectively. The $65.0 million of cash was funded from a draw down of the Senior Credit Facility on a delayed basis as provided for and pursuant to the third amendment thereto executed in December 2018. During the three months and six months ended June 30, 2020 and June 30, 2019, no earnings of PRET were attributable to the NCI pursuant to the profit-sharing agreement between the Company and the NCI.</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for information about merchant portfolios acquired in 2019 that included contingent purchase prices.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for information about assets contributed to the Company during the first quarter of 2019 that involved a contingent purchase price.</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SETTLEMENT ASSETS AND OBLIGATIONS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Consumer Payments Segment</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529"/>
        </w:rPr>
        <w:t xml:space="preserve">In the Company’s Consumer Payments reportable segment, funds settlement refers to the process of transferring funds for sales and credits between card issuers and merchants. The standards of the card networks restrict non-members, such as the Company, from performing funds settlement or accessing merchant settlement funds. Instead, these funds must be in the possession of a member bank until the merchant is funded. The Company has agreements with member banks which allow the Company to route transactions under the member bank's control to clear transactions through the card networks. Timing differences, interchange fees, merchant reserves and exception items cause differences between the amounts received from the card networks and the amounts funded to the merchants. Since settlement funds are required to be in the possession of a member bank until the merchant is funded, these funds are not assets of the Company and the associated obligations are not liabilities of the Company. Therefore, neither is recognized in the Company’s consolidated balance sheets. Member banks held merchant funds of </w:t>
      </w:r>
      <w:r>
        <w:rPr>
          <w:rFonts w:ascii="Arial" w:cs="Arial" w:eastAsia="Arial" w:hAnsi="Arial"/>
          <w:sz w:val="16"/>
          <w:szCs w:val="16"/>
          <w:color w:val="000000"/>
        </w:rPr>
        <w:t>$85.5 million and $79.8 million at June 30, 2020 and December 31, 2019, respectively.</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Exception items that the Company is attempting to collect from the merchants through the funds settlement process, merchant reserves or from the ISO partners are recognized as settlement assets in the Company’s consolidated balance sheets, with an offsetting reserve for those amounts the Company estimates it will not be able to recover. Provisions for merchant losses are included as a component of costs of services in the Company’s consolidated statements of operations.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Segment</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Company’s Commercial Payments segment, the Company earns revenue from certain of its services by processing ACH transactions for financial institutions and other business customers. Customers transfer funds to the Company, which are held in bank accounts controlled by the Company until such time as the ACH transactions are made. The Company recognizes these cash balances within restricted cash and settlement obligations in its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settlement assets and obligations at June 30, 2020 and December 31, 2019 were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As of</w:t>
            </w:r>
          </w:p>
        </w:tc>
        <w:tc>
          <w:tcPr>
            <w:tcW w:w="1800" w:type="dxa"/>
            <w:vAlign w:val="bottom"/>
            <w:tcBorders>
              <w:bottom w:val="single" w:sz="8" w:color="auto"/>
            </w:tcBorders>
            <w:shd w:val="clear" w:color="auto" w:fill="CCEEFF"/>
          </w:tcPr>
          <w:p>
            <w:pPr>
              <w:spacing w:after="0"/>
              <w:rPr>
                <w:sz w:val="22"/>
                <w:szCs w:val="22"/>
                <w:color w:val="auto"/>
              </w:rPr>
            </w:pPr>
          </w:p>
        </w:tc>
      </w:tr>
      <w:tr>
        <w:trPr>
          <w:trHeight w:val="243"/>
        </w:trPr>
        <w:tc>
          <w:tcPr>
            <w:tcW w:w="6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Pr>
          <w:p>
            <w:pPr>
              <w:spacing w:after="0"/>
              <w:rPr>
                <w:sz w:val="21"/>
                <w:szCs w:val="21"/>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Card settlements due from merchants, net of estimated losses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 settlements due from processors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97"/>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settlement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r>
      <w:tr>
        <w:trPr>
          <w:trHeight w:val="271"/>
        </w:trPr>
        <w:tc>
          <w:tcPr>
            <w:tcW w:w="6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Settlement Obligations:</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 settlements due to merchants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Due to ACH payees (1)</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39,125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37,745</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settlement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37,789</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Amounts due to ACH payees are held by the Company in restricted cash.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records goodwill when an acquisition is made and the purchase price is greater than the fair value assigned to the underlying tangible and intangible assets acquired and the liabilities assumed. The Company's goodwill was allocated to two of the Company's reportable segments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Consumer Payments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106,832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106,832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Partners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r>
      <w:tr>
        <w:trPr>
          <w:trHeight w:val="237"/>
        </w:trPr>
        <w:tc>
          <w:tcPr>
            <w:tcW w:w="70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109,515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109,515</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considered the declining market conditions generated by the COVID-19 pandemic for the three months and six months ended June 30, 2020 and concluded that there were no changes in the carrying amount of goodwill.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may be below its carrying value. The Company will continue to monitor the economic impact of COVID-19 on its ongoing assessment of goodwill. The Company expects to perform its next annual goodwill impairment test as of November 30, 2020 using market data and discounted cash flow analysis. The Company concluded there was no impairment as of June 30, 2020 or December 31, 2019. As such, there was no accumulated impairment loss as of June 30, 2020 and December 31, 2019.</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 xml:space="preserve">The Company's intangible assets include acquired merchant portfolios, customer relationships, ISO relationships, trade names, technology, non-compete agreements, and residual buyouts. </w:t>
      </w:r>
      <w:r>
        <w:rPr>
          <w:rFonts w:ascii="Arial" w:cs="Arial" w:eastAsia="Arial" w:hAnsi="Arial"/>
          <w:sz w:val="18"/>
          <w:szCs w:val="18"/>
          <w:color w:val="000000"/>
        </w:rPr>
        <w:t>As of June 30, 2020 and December 31, 2019, intangible assets consisted of the following:</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Merchant portfolios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114,554</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40,740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40,740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Residual buyouts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112,731</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3,390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15,390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ISO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15,200</w:t>
            </w:r>
          </w:p>
        </w:tc>
      </w:tr>
      <w:tr>
        <w:trPr>
          <w:trHeight w:val="237"/>
        </w:trPr>
        <w:tc>
          <w:tcPr>
            <w:tcW w:w="7080" w:type="dxa"/>
            <w:vAlign w:val="bottom"/>
          </w:tcPr>
          <w:p>
            <w:pPr>
              <w:ind w:left="760"/>
              <w:spacing w:after="0"/>
              <w:rPr>
                <w:sz w:val="20"/>
                <w:szCs w:val="20"/>
                <w:color w:val="auto"/>
              </w:rPr>
            </w:pPr>
            <w:r>
              <w:rPr>
                <w:rFonts w:ascii="Arial" w:cs="Arial" w:eastAsia="Arial" w:hAnsi="Arial"/>
                <w:sz w:val="18"/>
                <w:szCs w:val="18"/>
                <w:color w:val="auto"/>
              </w:rPr>
              <w:t>Total gross carrying value</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307,715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304,875</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Merchant portfolios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(12,655)</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Residual buyouts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(66,946)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(59,796)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(12,758)</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ISO relationships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(6,341)</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accumulated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(122,049)</w:t>
            </w:r>
          </w:p>
        </w:tc>
      </w:tr>
      <w:tr>
        <w:trPr>
          <w:trHeight w:val="156"/>
        </w:trPr>
        <w:tc>
          <w:tcPr>
            <w:tcW w:w="70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r>
      <w:tr>
        <w:trPr>
          <w:trHeight w:val="263"/>
        </w:trPr>
        <w:tc>
          <w:tcPr>
            <w:tcW w:w="70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Net carrying value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168,751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182,826</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Note 10</w:t>
      </w:r>
      <w:r>
        <w:rPr>
          <w:rFonts w:ascii="Arial" w:cs="Arial" w:eastAsia="Arial" w:hAnsi="Arial"/>
          <w:sz w:val="18"/>
          <w:szCs w:val="18"/>
          <w:i w:val="1"/>
          <w:iCs w:val="1"/>
          <w:color w:val="auto"/>
        </w:rPr>
        <w:t>, Commitments and Contingencies,</w:t>
      </w:r>
      <w:r>
        <w:rPr>
          <w:rFonts w:ascii="Arial" w:cs="Arial" w:eastAsia="Arial" w:hAnsi="Arial"/>
          <w:sz w:val="18"/>
          <w:szCs w:val="18"/>
          <w:color w:val="auto"/>
        </w:rPr>
        <w:t xml:space="preserve"> for information about a merchant portfolio with a contingent purchase price.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finite-lived intangible assets was $8.4 million and $16.9 million for the three months and six months ended June 30, 2020, respectively, and $8.2 million and $15.6 million for the three months and six months ended June 30, 2019, respectively. Amortization expense for future periods could differ due to new intangible asset acquisitions, changes in useful lives of existing intangible assets, and other relevant events or circumstances.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tests intangible assets for impairment when events occur or circumstances indicate that the fair value of an intangible asset or group of intangible assets may be impaired. The Company considered the declining market conditions generated by the COVID-19 pandemic and concluded that there was no change at June 30, 2020 from the conclusion at December 31, 2019 that no intangible assets were impaired. As such, there was no accumulated impairment loss as of June 30, 2020 and December 31, 2019. The Company will continue to monitor the economic impact of COVID-19 on its ongoing assessment of intangible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PROPERTY, EQUIPMENT AND SOFTWARE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529"/>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June 30, 2020 and December 31, 2019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c>
          <w:tcPr>
            <w:tcW w:w="100" w:type="dxa"/>
            <w:vAlign w:val="bottom"/>
            <w:shd w:val="clear" w:color="auto" w:fill="CCEEFF"/>
          </w:tcPr>
          <w:p>
            <w:pPr>
              <w:spacing w:after="0"/>
              <w:rPr>
                <w:sz w:val="22"/>
                <w:szCs w:val="2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43"/>
        </w:trPr>
        <w:tc>
          <w:tcPr>
            <w:tcW w:w="49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Equipment</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37,440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5-10 years</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(36,794)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(33,177)</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23,518</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property, equipment, and software totaled $1.9 million and $3.7 million for the three months and six months ended June 30, 2020, respectively, and $1.6 million and $3.0 million for the three months and six months ended June 30, 2019, respectively.</w:t>
      </w:r>
    </w:p>
    <w:p>
      <w:pPr>
        <w:spacing w:after="0" w:line="200" w:lineRule="exact"/>
        <w:rPr>
          <w:sz w:val="20"/>
          <w:szCs w:val="20"/>
          <w:color w:val="auto"/>
        </w:rPr>
      </w:pPr>
    </w:p>
    <w:p>
      <w:pPr>
        <w:spacing w:after="0" w:line="3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accrues for certain expenses that have been incurred and not paid, which are classified within accounts payable and accrued expenses in the accompanying consolidated balance sheets.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accounts payable and accrued expenses that exceeded five percent of total current liabilities at either June 30, 2020 or December 31, 2019 consisted of the following: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30"/>
        </w:trPr>
        <w:tc>
          <w:tcPr>
            <w:tcW w:w="7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Accrued network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6,154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6,950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obligations as of June 30, 2020 and December 31, 2019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175"/>
        </w:trPr>
        <w:tc>
          <w:tcPr>
            <w:tcW w:w="70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29"/>
        </w:trPr>
        <w:tc>
          <w:tcPr>
            <w:tcW w:w="7080" w:type="dxa"/>
            <w:vAlign w:val="bottom"/>
          </w:tcPr>
          <w:p>
            <w:pPr>
              <w:ind w:left="380"/>
              <w:spacing w:after="0"/>
              <w:rPr>
                <w:sz w:val="20"/>
                <w:szCs w:val="20"/>
                <w:color w:val="auto"/>
              </w:rPr>
            </w:pPr>
            <w:r>
              <w:rPr>
                <w:rFonts w:ascii="Arial" w:cs="Arial" w:eastAsia="Arial" w:hAnsi="Arial"/>
                <w:sz w:val="18"/>
                <w:szCs w:val="18"/>
                <w:color w:val="auto"/>
                <w:w w:val="94"/>
              </w:rPr>
              <w:t>Term facility - Matures January 3, 2023 and bears interest at LIBOR (with a LIBOR "floor"</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16"/>
        </w:trPr>
        <w:tc>
          <w:tcPr>
            <w:tcW w:w="7080" w:type="dxa"/>
            <w:vAlign w:val="bottom"/>
          </w:tcPr>
          <w:p>
            <w:pPr>
              <w:ind w:left="380"/>
              <w:spacing w:after="0"/>
              <w:rPr>
                <w:sz w:val="20"/>
                <w:szCs w:val="20"/>
                <w:color w:val="auto"/>
              </w:rPr>
            </w:pPr>
            <w:r>
              <w:rPr>
                <w:rFonts w:ascii="Arial" w:cs="Arial" w:eastAsia="Arial" w:hAnsi="Arial"/>
                <w:sz w:val="18"/>
                <w:szCs w:val="18"/>
                <w:color w:val="auto"/>
                <w:w w:val="93"/>
              </w:rPr>
              <w:t>of 1.0% at June 30, 2020) plus 7.5% and 5.0% at June 30, 2020 and December 31, 2019,</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7080" w:type="dxa"/>
            <w:vAlign w:val="bottom"/>
          </w:tcPr>
          <w:p>
            <w:pPr>
              <w:ind w:left="380"/>
              <w:spacing w:after="0"/>
              <w:rPr>
                <w:sz w:val="20"/>
                <w:szCs w:val="20"/>
                <w:color w:val="auto"/>
              </w:rPr>
            </w:pPr>
            <w:r>
              <w:rPr>
                <w:rFonts w:ascii="Arial" w:cs="Arial" w:eastAsia="Arial" w:hAnsi="Arial"/>
                <w:sz w:val="18"/>
                <w:szCs w:val="18"/>
                <w:color w:val="auto"/>
                <w:w w:val="91"/>
              </w:rPr>
              <w:t>respectively (rate of 8.5% at June 30, 2020 and 6.71% at December 31, 2019, respectively)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386,985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388,837</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9"/>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Revolving credit facility - $25.0 million line, matures January 22, 2022, and bears interest at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6"/>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LIBOR plus 7.5% and 5.0% at June 30, 2020 and December 31, 2019, respectively (rate of</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7.68% at June 30, 2020 and 6.71% at December 31, 2019,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11,500</w:t>
            </w: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3"/>
              </w:rPr>
              <w:t>Term Loan - Subordinated, matures July 3, 2023 and bears interest at 5.0% plus an applicable</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w w:val="98"/>
              </w:rPr>
              <w:t>margin (rate of 13.5% and 10.5% at June 30, 2020 and December 31, 2019, respectively)</w:t>
            </w:r>
          </w:p>
        </w:tc>
        <w:tc>
          <w:tcPr>
            <w:tcW w:w="30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98,401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95,142</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debt obligations</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499,891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495,479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(4,007)</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discounts and deferred financing costs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b w:val="1"/>
                <w:bCs w:val="1"/>
                <w:color w:val="auto"/>
              </w:rPr>
              <w:t>Long-term debt,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480,639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485,578</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Substantially all of the Company's assets are pledged as collateral under the credit agreements. The Company is neither a borrower nor a guarantor of the credit agreements. The Company's subsidiaries that are borrowers or guarantors under the credit agreements are referred to as the "Borrowers."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in First Quarter 2020</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18, 2020, the Borrowers entered into an amendment to the Senior Credit Agreement with an existing syndicate of lenders (the "Senior Credit Agreement") and into a related amendment to the existing credit agreement with Goldman Sachs Specialty Lending, LLC (the "GS Credit Agreement"). Both amendments were accounted for as debt modifications under GAAP. Together, these amendments are referred to as the "Sixth Amendment."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Sixth Amendment, the outstanding balances under the term loan facilities of the Senior Credit Agreement and the GS Credit Agreement term loan were not changed. Additionally, the Senior Credit Agreement continues to provide a $25.0 million revolving credit facility, which includes accommodation for any outstanding letters of credit and a $5.0 million swing line facility. At June 30, 2020 and December 31, 2019, approximately $10.5 million and $13.5 million, respectively, was available under the revolving credit facility. Undrawn commitments for letters of credit under the revolving credit facility were not material at June 30, 2020 and December 31,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Outstanding borrowings under the Senior Credit Agreement accrue interest using either a base rate (as defined) or a LIBOR rate plus an applicable margin, or percentage per annum, as provided in the amended credit agreement. For the term loan portion of the Senior Credit Facility, the Sixth Amendment provides for a LIBOR "floor" of 1.0% per annum. Accrued interest is payable quarterly. The revolving credit facility incurs a commitment fee on any undrawn amount of the $25.0 million credit line, which equates to 0.50% per annum for the unused portion.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GS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Outstanding borrowings under the GS Credit Agreement accrue interest at 5.0%, plus an applicable margin, or percentage per annum, as indicated in the amended credit agreement. Accrued interest is payable quarterly at 5.0% per annum, and the accrued interest attributable to the applicable margin is capitalized as payment-in-kind ("PIK") interest each quarter.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and Potential Future Changes in Applicable Interest Rate Margins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Senior Credit Agreement and the GS Credit Agreement, the future applicable interest rate margins may vary based on the Borrowers' future Total Net Leverage Ratio (as defined) in addition to future changes in the underlying market rates for LIBOR and the rate used for base-rate borrowings.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16, 2020, the interest rate margins for the Senior Credit Agreement and the GS Credit Agreement increased 1.0% because the Borrowers did not make a permitted accelerated principal payment of at least $100 million under the term loan facility of the Senior Credit Agreement on or before that date as described in the Sixth Amendment (the "$100 million principal prepayment"). Additionally, on July 18, 2020 the interest rate margins increased an additional 50 basis points on the Senior Credit Agreement and the GS Credit Agreement from the interest rate margins applicable at June 30, 2020 because the Borrowers did not make the $100 million principal prepayment by that date. After July 18, 2020, additional 50 basis-point increases in the applicable margins will occur every successive 30 days through October 14, 2020 if the $100 million principal prepayment does not occur, up to a total interest rate margin increase of an additional 2.0% subsequent to June 30, 2020. Any increase in the interest rate margin will not be applicable at any time after the Borrowers have made a principal prepayment of at least $100 million, other than with proceeds of indebtedness. When any increases in the applicable interest rate margins occur, all or a portion of such additional interest rates, at the option of the Borrowers, may be payable in kind. For the additional interest expense of $0.2 million incurred during the second quarter of 2020 that resulted from the interest rate margin increases on June 16, 2020 for the Senior Credit Agreement and the GS Credit Agreement, the Borrowers elected to treat this additional interest as PIK interest. The Company is pursuing the ability to make the accelerated principal prepayment by raising cash through various means.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Credit Agreement and the GS Credit Agreement also have incremental margins that would apply to the future applicable interest rates if the Borrowers are deemed to be in violation of the terms of the credit agreement.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terms and conditions existing at June 30, 2020, future minimum principal payments for long-term debt are as follows: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6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gridSpan w:val="4"/>
            <w:shd w:val="clear" w:color="auto" w:fill="CCEEFF"/>
          </w:tcPr>
          <w:p>
            <w:pPr>
              <w:jc w:val="right"/>
              <w:ind w:right="1390"/>
              <w:spacing w:after="0"/>
              <w:rPr>
                <w:sz w:val="20"/>
                <w:szCs w:val="20"/>
                <w:color w:val="auto"/>
              </w:rPr>
            </w:pPr>
            <w:r>
              <w:rPr>
                <w:rFonts w:ascii="Arial" w:cs="Arial" w:eastAsia="Arial" w:hAnsi="Arial"/>
                <w:sz w:val="18"/>
                <w:szCs w:val="18"/>
                <w:color w:val="auto"/>
              </w:rPr>
              <w:t>Principal Due</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60" w:type="dxa"/>
            <w:vAlign w:val="bottom"/>
            <w:gridSpan w:val="4"/>
          </w:tcPr>
          <w:p>
            <w:pPr>
              <w:ind w:left="400"/>
              <w:spacing w:after="0"/>
              <w:rPr>
                <w:sz w:val="20"/>
                <w:szCs w:val="20"/>
                <w:color w:val="auto"/>
              </w:rPr>
            </w:pPr>
            <w:r>
              <w:rPr>
                <w:rFonts w:ascii="Arial" w:cs="Arial" w:eastAsia="Arial" w:hAnsi="Arial"/>
                <w:sz w:val="18"/>
                <w:szCs w:val="18"/>
                <w:color w:val="auto"/>
              </w:rPr>
              <w:t>Senior Credit Agreement</w:t>
            </w:r>
          </w:p>
        </w:tc>
        <w:tc>
          <w:tcPr>
            <w:tcW w:w="220" w:type="dxa"/>
            <w:vAlign w:val="bottom"/>
          </w:tcPr>
          <w:p>
            <w:pPr>
              <w:spacing w:after="0"/>
              <w:rPr>
                <w:sz w:val="21"/>
                <w:szCs w:val="21"/>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w w:val="95"/>
              </w:rPr>
              <w:t>GS Credit Agreement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Twelve-month period ending June 30,</w:t>
            </w:r>
          </w:p>
        </w:tc>
        <w:tc>
          <w:tcPr>
            <w:tcW w:w="380" w:type="dxa"/>
            <w:vAlign w:val="bottom"/>
            <w:shd w:val="clear" w:color="auto" w:fill="CCEEFF"/>
          </w:tcPr>
          <w:p>
            <w:pPr>
              <w:spacing w:after="0"/>
              <w:rPr>
                <w:sz w:val="7"/>
                <w:szCs w:val="7"/>
                <w:color w:val="auto"/>
              </w:rPr>
            </w:pPr>
          </w:p>
        </w:tc>
        <w:tc>
          <w:tcPr>
            <w:tcW w:w="124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color w:val="auto"/>
              </w:rPr>
              <w:t>Term</w:t>
            </w:r>
          </w:p>
        </w:tc>
        <w:tc>
          <w:tcPr>
            <w:tcW w:w="360" w:type="dxa"/>
            <w:vAlign w:val="bottom"/>
            <w:shd w:val="clear" w:color="auto" w:fill="CCEEFF"/>
          </w:tcPr>
          <w:p>
            <w:pPr>
              <w:spacing w:after="0"/>
              <w:rPr>
                <w:sz w:val="7"/>
                <w:szCs w:val="7"/>
                <w:color w:val="auto"/>
              </w:rPr>
            </w:pPr>
          </w:p>
        </w:tc>
        <w:tc>
          <w:tcPr>
            <w:tcW w:w="14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Revolver</w:t>
            </w:r>
          </w:p>
        </w:tc>
        <w:tc>
          <w:tcPr>
            <w:tcW w:w="220" w:type="dxa"/>
            <w:vAlign w:val="bottom"/>
            <w:shd w:val="clear" w:color="auto" w:fill="CCEEFF"/>
          </w:tcPr>
          <w:p>
            <w:pPr>
              <w:spacing w:after="0"/>
              <w:rPr>
                <w:sz w:val="7"/>
                <w:szCs w:val="7"/>
                <w:color w:val="auto"/>
              </w:rPr>
            </w:pPr>
          </w:p>
        </w:tc>
        <w:tc>
          <w:tcPr>
            <w:tcW w:w="200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rPr>
              <w:t>Term</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80" w:type="dxa"/>
            <w:vAlign w:val="bottom"/>
            <w:tcBorders>
              <w:bottom w:val="single" w:sz="8" w:color="CCEEFF"/>
            </w:tcBorders>
            <w:gridSpan w:val="2"/>
            <w:vMerge w:val="continue"/>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vMerge w:val="continue"/>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8"/>
                <w:szCs w:val="18"/>
                <w:i w:val="1"/>
                <w:iCs w:val="1"/>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29,163</w:t>
            </w: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43,668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346,098</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346,098</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98,401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98,401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386,985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98,401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499,891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Additionally, the Company may be obligated to make certain additional mandatory prepayments after the end of each year based on excess cash flow, as defined in the Senior Credit Agreement. No such prepayments were due for the year ended December 31, 2019.</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Under the Senior Credit Agreement, prepayments of outstanding principal may be made in permitted increments with a 1% penalty for certain prepayments. Under the GS Credit Agreement, prepayment of outstanding principal is subject to a 4.0% penalty for certain prepayments occurring prior to March 18, 2021 and 2.0% for certain prepayments occurring between March 18, 2021and March 18, 2022. Such penalties will be based on the principal amount that is prepaid, subject to the terms of the credit agreements.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Interest Expense, Deferred Financing Costs, and Debt Discounts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amount borrowed and still outstanding under the GS Credit Agreement was $80.0 million. Included in the outstanding principal balance at June 30, 2020 and December 31, 2019 was accumulated PIK interest of $18.4 million and $15.1 million, respectively. The principal amount of the GS Credit Agreement increased for PIK interest by $1.9 million and $3.3 million for the three months and six months ended June 30, 2020, respectively. For the three months and six months ended June 30, 2019, PIK interest added $1.3 million and $2.5 million, respectively, to the principal of the GS Credit Agreement.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Interest expense, including fees for undrawn amounts under the revolving credit facility and amortization of deferred financing costs and debt discounts, was $11.7 million and $22.0 million for the three months and six months ended June 30, 2020, respectively, and $10.8 million and $20.1 million for the three months and six months ended June 30, 2019, respectively. </w:t>
      </w:r>
      <w:r>
        <w:rPr>
          <w:rFonts w:ascii="Arial" w:cs="Arial" w:eastAsia="Arial" w:hAnsi="Arial"/>
          <w:sz w:val="18"/>
          <w:szCs w:val="18"/>
          <w:color w:val="212529"/>
        </w:rPr>
        <w:t>Interest expense for the six months ended June 30, 2019 also included a $0.4 million fee</w:t>
      </w:r>
      <w:r>
        <w:rPr>
          <w:rFonts w:ascii="Arial" w:cs="Arial" w:eastAsia="Arial" w:hAnsi="Arial"/>
          <w:sz w:val="18"/>
          <w:szCs w:val="18"/>
          <w:color w:val="auto"/>
        </w:rPr>
        <w:t xml:space="preserve"> </w:t>
      </w:r>
      <w:r>
        <w:rPr>
          <w:rFonts w:ascii="Arial" w:cs="Arial" w:eastAsia="Arial" w:hAnsi="Arial"/>
          <w:sz w:val="18"/>
          <w:szCs w:val="18"/>
          <w:color w:val="212529"/>
        </w:rPr>
        <w:t>for the $70.0 million delayed principal draw under December 2018 amendment to the Senior Credit Agreement, which occurred during the first quarter of 2019.</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Sixth Amendment, $2.7 million of lender fees were capitalized in first quarter of 2020 and, along with existing unamortized loan costs and discount of $5.6 million, continue to be amortized as a component of interest expense on the Company's statements of operations. Interest expense related to amortization of deferred financing costs and debt discounts was $0.7 million and $1.1 million for the three months and six months ended June 30, 2020, respectively, and $0.4 million and $0.8 million for the three months and six months ended June 30, 2019,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interest rates, which includes PIK interest and amortization of deferred financing costs and debt discounts, for the term debt under the Senior Credit Agreement and the GS Credit Agreement were as follows:</w:t>
      </w:r>
    </w:p>
    <w:p>
      <w:pPr>
        <w:spacing w:after="0" w:line="104" w:lineRule="exact"/>
        <w:rPr>
          <w:sz w:val="20"/>
          <w:szCs w:val="20"/>
          <w:color w:val="auto"/>
        </w:rPr>
      </w:pPr>
    </w:p>
    <w:tbl>
      <w:tblPr>
        <w:tblLayout w:type="fixed"/>
        <w:tblInd w:w="1380" w:type="dxa"/>
        <w:tblCellMar>
          <w:top w:w="0" w:type="dxa"/>
          <w:left w:w="0" w:type="dxa"/>
          <w:bottom w:w="0" w:type="dxa"/>
          <w:right w:w="0" w:type="dxa"/>
        </w:tblCellMar>
      </w:tblPr>
      <w:tr>
        <w:trPr>
          <w:trHeight w:val="263"/>
        </w:trPr>
        <w:tc>
          <w:tcPr>
            <w:tcW w:w="8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Three Months Ended June 30,</w:t>
            </w:r>
          </w:p>
        </w:tc>
        <w:tc>
          <w:tcPr>
            <w:tcW w:w="29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Six Months Ended June 30,</w:t>
            </w:r>
          </w:p>
        </w:tc>
      </w:tr>
      <w:tr>
        <w:trPr>
          <w:trHeight w:val="203"/>
        </w:trPr>
        <w:tc>
          <w:tcPr>
            <w:tcW w:w="800" w:type="dxa"/>
            <w:vAlign w:val="bottom"/>
          </w:tcPr>
          <w:p>
            <w:pPr>
              <w:spacing w:after="0"/>
              <w:rPr>
                <w:sz w:val="17"/>
                <w:szCs w:val="17"/>
                <w:color w:val="auto"/>
              </w:rPr>
            </w:pPr>
          </w:p>
        </w:tc>
        <w:tc>
          <w:tcPr>
            <w:tcW w:w="1700" w:type="dxa"/>
            <w:vAlign w:val="bottom"/>
            <w:gridSpan w:val="2"/>
          </w:tcPr>
          <w:p>
            <w:pPr>
              <w:spacing w:after="0" w:line="202" w:lineRule="exact"/>
              <w:rPr>
                <w:sz w:val="20"/>
                <w:szCs w:val="20"/>
                <w:color w:val="auto"/>
              </w:rPr>
            </w:pPr>
            <w:r>
              <w:rPr>
                <w:rFonts w:ascii="Arial" w:cs="Arial" w:eastAsia="Arial" w:hAnsi="Arial"/>
                <w:sz w:val="18"/>
                <w:szCs w:val="18"/>
                <w:color w:val="auto"/>
              </w:rPr>
              <w:t>Term Debt</w:t>
            </w:r>
          </w:p>
        </w:tc>
        <w:tc>
          <w:tcPr>
            <w:tcW w:w="1720" w:type="dxa"/>
            <w:vAlign w:val="bottom"/>
            <w:tcBorders>
              <w:top w:val="single" w:sz="8" w:color="auto"/>
            </w:tcBorders>
          </w:tcPr>
          <w:p>
            <w:pPr>
              <w:jc w:val="right"/>
              <w:ind w:right="710"/>
              <w:spacing w:after="0" w:line="202" w:lineRule="exact"/>
              <w:rPr>
                <w:sz w:val="20"/>
                <w:szCs w:val="20"/>
                <w:color w:val="auto"/>
              </w:rPr>
            </w:pPr>
            <w:r>
              <w:rPr>
                <w:rFonts w:ascii="Arial" w:cs="Arial" w:eastAsia="Arial" w:hAnsi="Arial"/>
                <w:sz w:val="18"/>
                <w:szCs w:val="18"/>
                <w:color w:val="auto"/>
              </w:rPr>
              <w:t>2020</w:t>
            </w:r>
          </w:p>
        </w:tc>
        <w:tc>
          <w:tcPr>
            <w:tcW w:w="1220" w:type="dxa"/>
            <w:vAlign w:val="bottom"/>
            <w:tcBorders>
              <w:top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1720" w:type="dxa"/>
            <w:vAlign w:val="bottom"/>
            <w:tcBorders>
              <w:top w:val="single" w:sz="8" w:color="auto"/>
            </w:tcBorders>
          </w:tcPr>
          <w:p>
            <w:pPr>
              <w:jc w:val="right"/>
              <w:ind w:right="730"/>
              <w:spacing w:after="0" w:line="202" w:lineRule="exact"/>
              <w:rPr>
                <w:sz w:val="20"/>
                <w:szCs w:val="20"/>
                <w:color w:val="auto"/>
              </w:rPr>
            </w:pPr>
            <w:r>
              <w:rPr>
                <w:rFonts w:ascii="Arial" w:cs="Arial" w:eastAsia="Arial" w:hAnsi="Arial"/>
                <w:sz w:val="18"/>
                <w:szCs w:val="18"/>
                <w:color w:val="auto"/>
              </w:rPr>
              <w:t>2020</w:t>
            </w:r>
          </w:p>
        </w:tc>
        <w:tc>
          <w:tcPr>
            <w:tcW w:w="1220" w:type="dxa"/>
            <w:vAlign w:val="bottom"/>
            <w:tcBorders>
              <w:top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2019</w:t>
            </w:r>
          </w:p>
        </w:tc>
      </w:tr>
      <w:tr>
        <w:trPr>
          <w:trHeight w:val="48"/>
        </w:trPr>
        <w:tc>
          <w:tcPr>
            <w:tcW w:w="800" w:type="dxa"/>
            <w:vAlign w:val="bottom"/>
            <w:tcBorders>
              <w:bottom w:val="single" w:sz="8" w:color="CCEEFF"/>
            </w:tcBorders>
          </w:tcPr>
          <w:p>
            <w:pPr>
              <w:spacing w:after="0"/>
              <w:rPr>
                <w:sz w:val="4"/>
                <w:szCs w:val="4"/>
                <w:color w:val="auto"/>
              </w:rPr>
            </w:pPr>
          </w:p>
        </w:tc>
        <w:tc>
          <w:tcPr>
            <w:tcW w:w="780" w:type="dxa"/>
            <w:vAlign w:val="bottom"/>
            <w:tcBorders>
              <w:top w:val="single" w:sz="8" w:color="auto"/>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7"/>
        </w:trPr>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Senior Credit Agreement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8.39%</w:t>
            </w:r>
          </w:p>
        </w:tc>
        <w:tc>
          <w:tcPr>
            <w:tcW w:w="122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7.92%</w:t>
            </w:r>
          </w:p>
        </w:tc>
        <w:tc>
          <w:tcPr>
            <w:tcW w:w="122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
        </w:trPr>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5"/>
        </w:trPr>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43"/>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GS Credit Agreement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13.14%</w:t>
            </w:r>
          </w:p>
        </w:tc>
        <w:tc>
          <w:tcPr>
            <w:tcW w:w="122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12.14%</w:t>
            </w:r>
          </w:p>
        </w:tc>
        <w:tc>
          <w:tcPr>
            <w:tcW w:w="1220" w:type="dxa"/>
            <w:vAlign w:val="bottom"/>
          </w:tcPr>
          <w:p>
            <w:pPr>
              <w:jc w:val="right"/>
              <w:spacing w:after="0"/>
              <w:rPr>
                <w:sz w:val="20"/>
                <w:szCs w:val="20"/>
                <w:color w:val="auto"/>
              </w:rPr>
            </w:pPr>
            <w:r>
              <w:rPr>
                <w:rFonts w:ascii="Arial" w:cs="Arial" w:eastAsia="Arial" w:hAnsi="Arial"/>
                <w:sz w:val="18"/>
                <w:szCs w:val="18"/>
                <w:color w:val="auto"/>
              </w:rPr>
              <w:t>10.74%</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modification costs that are not eligible for deferral and subsequent amortization as interest expense are reported on the Company's consolidated statement of operations as a component of other income (expense), net. Approximately $0.4 million of such costs were expensed in connection with the Sixth Amendment during the first quarter of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Agreement and the GS Credit Agreement, as amended,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Company's subsidiaries to the Company, merge or consolidate, dispose of assets, incur additional indebtedness, make certain investments or acquisitions, enter into certain transactions (including with affiliates), and to enter into certain leases.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also required to comply with certain restrictions on its Total Net Leverage Ratio, which is defined in the credit agreements as the ratio of consolidated total debt of the Borrowers to the Company's consolidated adjusted EBITDA (as defined in the Senior Credit Agreement and GS Credit Agreement). The maximum permitted Total Net Leverage Ratio was 7.75:1.00 at June 30, 2020. As of June 30, 2020, the Company remained in compliance with the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expense (benefit) for federal and state income taxes was as follows:</w:t>
      </w:r>
    </w:p>
    <w:p>
      <w:pPr>
        <w:spacing w:after="0" w:line="374" w:lineRule="exact"/>
        <w:rPr>
          <w:sz w:val="20"/>
          <w:szCs w:val="20"/>
          <w:color w:val="auto"/>
        </w:rPr>
      </w:pPr>
    </w:p>
    <w:tbl>
      <w:tblPr>
        <w:tblLayout w:type="fixed"/>
        <w:tblInd w:w="540" w:type="dxa"/>
        <w:tblCellMar>
          <w:top w:w="0" w:type="dxa"/>
          <w:left w:w="0" w:type="dxa"/>
          <w:bottom w:w="0" w:type="dxa"/>
          <w:right w:w="0" w:type="dxa"/>
        </w:tblCellMar>
      </w:tblPr>
      <w:tr>
        <w:trPr>
          <w:trHeight w:val="263"/>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46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43"/>
        </w:trPr>
        <w:tc>
          <w:tcPr>
            <w:tcW w:w="5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5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Current income tax expense (benefit)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Provision for DTA valuation allowance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5,305</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DTA valuation allowance - discrete item</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r>
      <w:tr>
        <w:trPr>
          <w:trHeight w:val="20"/>
        </w:trPr>
        <w:tc>
          <w:tcPr>
            <w:tcW w:w="5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57"/>
        </w:trPr>
        <w:tc>
          <w:tcPr>
            <w:tcW w:w="5600" w:type="dxa"/>
            <w:vAlign w:val="bottom"/>
            <w:gridSpan w:val="2"/>
          </w:tcPr>
          <w:p>
            <w:pPr>
              <w:jc w:val="right"/>
              <w:ind w:right="30"/>
              <w:spacing w:after="0"/>
              <w:rPr>
                <w:sz w:val="20"/>
                <w:szCs w:val="20"/>
                <w:color w:val="auto"/>
              </w:rPr>
            </w:pPr>
            <w:r>
              <w:rPr>
                <w:rFonts w:ascii="Arial" w:cs="Arial" w:eastAsia="Arial" w:hAnsi="Arial"/>
                <w:sz w:val="18"/>
                <w:szCs w:val="18"/>
                <w:color w:val="auto"/>
              </w:rPr>
              <w:t>Total income tax expense (benefit)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4,204</w:t>
            </w:r>
          </w:p>
        </w:tc>
      </w:tr>
      <w:tr>
        <w:trPr>
          <w:trHeight w:val="20"/>
        </w:trPr>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DTA = Deferred income tax asset</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effective income tax rate (benefit) for the three months and six months ended June 30, 2020 was (5.6)% and 5.6%, respectively, and was (72.3)% and (25.7)% for the three months and six months ended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 for Deferred Income Tax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 is required to provide a valuation allowance against deferred tax assets when it is "more likely than not" that some portion or all of the deferred tax assets will not be realized.</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Among other provisions, the Tax Cuts and Jobs Act of 2017 amended Internal Revenue Code Section 163(j) to create limitations on the deductibility of business interest expense. Section 163(j) limits the business 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 In March 2020, the Coronavirus Aid, Relief, and Economic Security Act ("CARES Act") was enacted, which among other provisions, provides for the increase of the 163(j) ATI limitation from 30% to 50% for tax years 2019 and 2020.</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recording a deferred tax benefit for the carryforward of business interest expense, the Company is required to apply the "more likely than not" threshold for assessing recoverability.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Based on management’s assessment, the Company recorded an increase in the valuation allowance in the three months and six months ended June 30, 2020 of </w:t>
      </w:r>
      <w:r>
        <w:rPr>
          <w:rFonts w:ascii="Arial" w:cs="Arial" w:eastAsia="Arial" w:hAnsi="Arial"/>
          <w:sz w:val="18"/>
          <w:szCs w:val="18"/>
          <w:color w:val="222222"/>
        </w:rPr>
        <w:t>$2.2 million and $2.6 million, respectively,</w:t>
      </w:r>
      <w:r>
        <w:rPr>
          <w:rFonts w:ascii="Arial" w:cs="Arial" w:eastAsia="Arial" w:hAnsi="Arial"/>
          <w:sz w:val="18"/>
          <w:szCs w:val="18"/>
          <w:color w:val="auto"/>
        </w:rPr>
        <w:t xml:space="preserve"> for the business interest expense carryover comprised of (i) a discrete benefit of </w:t>
      </w:r>
      <w:r>
        <w:rPr>
          <w:rFonts w:ascii="Arial" w:cs="Arial" w:eastAsia="Arial" w:hAnsi="Arial"/>
          <w:sz w:val="18"/>
          <w:szCs w:val="18"/>
          <w:color w:val="222222"/>
        </w:rPr>
        <w:t>$1.5 million for the six</w:t>
      </w:r>
      <w:r>
        <w:rPr>
          <w:rFonts w:ascii="Arial" w:cs="Arial" w:eastAsia="Arial" w:hAnsi="Arial"/>
          <w:sz w:val="18"/>
          <w:szCs w:val="18"/>
          <w:color w:val="auto"/>
        </w:rPr>
        <w:t xml:space="preserve"> </w:t>
      </w:r>
      <w:r>
        <w:rPr>
          <w:rFonts w:ascii="Arial" w:cs="Arial" w:eastAsia="Arial" w:hAnsi="Arial"/>
          <w:sz w:val="18"/>
          <w:szCs w:val="18"/>
          <w:color w:val="222222"/>
        </w:rPr>
        <w:t xml:space="preserve">months </w:t>
      </w:r>
      <w:r>
        <w:rPr>
          <w:rFonts w:ascii="Arial" w:cs="Arial" w:eastAsia="Arial" w:hAnsi="Arial"/>
          <w:sz w:val="18"/>
          <w:szCs w:val="18"/>
          <w:color w:val="000000"/>
        </w:rPr>
        <w:t>ended June 30, 2020, which was recognized during the first quarter of 2020, associated with the 2019 business interest deferred tax asset as a result</w:t>
      </w:r>
      <w:r>
        <w:rPr>
          <w:rFonts w:ascii="Arial" w:cs="Arial" w:eastAsia="Arial" w:hAnsi="Arial"/>
          <w:sz w:val="18"/>
          <w:szCs w:val="18"/>
          <w:color w:val="222222"/>
        </w:rPr>
        <w:t xml:space="preserve"> </w:t>
      </w:r>
      <w:r>
        <w:rPr>
          <w:rFonts w:ascii="Arial" w:cs="Arial" w:eastAsia="Arial" w:hAnsi="Arial"/>
          <w:sz w:val="18"/>
          <w:szCs w:val="18"/>
          <w:color w:val="000000"/>
        </w:rPr>
        <w:t xml:space="preserve">of the CARES Act and (ii) a provision of </w:t>
      </w:r>
      <w:r>
        <w:rPr>
          <w:rFonts w:ascii="Arial" w:cs="Arial" w:eastAsia="Arial" w:hAnsi="Arial"/>
          <w:sz w:val="18"/>
          <w:szCs w:val="18"/>
          <w:color w:val="222222"/>
        </w:rPr>
        <w:t>$2.2 million and $4.1 million for the three months and six months</w:t>
      </w:r>
      <w:r>
        <w:rPr>
          <w:rFonts w:ascii="Arial" w:cs="Arial" w:eastAsia="Arial" w:hAnsi="Arial"/>
          <w:sz w:val="18"/>
          <w:szCs w:val="18"/>
          <w:color w:val="000000"/>
        </w:rPr>
        <w:t xml:space="preserve"> ended June 30, 2020, respectively, associated with the 2020 excess business interest.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and six months ended June 30, 2019, the Company recorded a valuation allowance of $7.9 million for the business interest carryover comprised of (i) a discrete provision of $2.7 million associated with the 2018 business interest deferred tax asset and (ii) a provision of $5.2 million associated with the 2019 excess business interest. This $7.9 million provision was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income tax expense in the Company’s unaudited condensed consolidated statements of operations for the three months and six months ended June 30,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provisions for and adjustments to the valuation allowance are a component of income tax expense (benefit) in the Company's unaudited condensed consolidated statements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continue to evaluate the realizability of the deferred tax assets on a quarterly basis and, as a result, the valuation allowance may change in future periods.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As of June 30, 2020, the net amount of our unrecognized tax benefits was not material.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U.S. federal income tax and income tax in multiple state jurisdictions. Tax periods for 2016 and all years thereafter remain open to examination by the federal and state taxing jurisdictions and tax periods for 2015 and all years thereafter remain open for certain state taxing jurisdictions to which the Company is subject.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COMMITMENTS AND CONTINGENCIES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Minimum Annual Commitments with Third-Party Processors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 Company has multi-year agreements with third parties to provide certain payment processing services to the Company. The Company pays processing fees under these agreements that are based on the volume and dollar amounts of processed payments transactions. Some of these agreements have minimum annual requirements for processing volumes. As of June 30, 2020 and December 31, 2019, the Company is committed to pay minimum processing fees under these agreements of $14.0 million through the end of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information on a loan commitment extended by the Company to another entity.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for Asset Acquisitions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GAAP that applies to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During the year ended December 31, 2019, the Company simultaneously entered into two agreements with another entity. These two related agreements 1) transfer to the Company certain perpetual rights to a merchant portfolio and 2) form a 5-year reseller arrangement whereby the Company will offer and sell to its customer base certain on-line services to be fulfilled by the other entity. No cash consideration was paid to, or received from, the other entity at execution of either agreement. Subsequent cash payments from the Company to the other entity for the merchant portfolio rights are determined based on a combination of both: 1) the actual financial performance of the acquired merchant portfolio rights and 2) actual sales and variable wholesale costs for the on-line services sold by the Company under the reseller arrangement. Amounts subsequently paid to the other entity are accounted for as either 1) standard costs of the services sold by the Company under the 5-year reseller agreement or 2) consideration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for the merchant portfolio rights. Amounts paid that are accounted for as consideration for the merchant portfolio rights are capitalized and amortized over the estimated useful life of the merchant portfolio rights. As of June 30, 2020 and December 31, 2019, $2.9 million and $1.1 million, respectively, was capitalized as cost for the merchant portfolio. The capitalized cost, which is in our Consumer Payments reportable segment, is being amortized using an accelerated method. At this time, the Company cannot reasonably estimate the allocation of future cash payments. However, under the two contracts the Company does not anticipate any net losses.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15, 2019, a subsidiary of the Company paid $15.2 million cash to acquire certain residual portfolio rights. This asset acquisition became part of the Company's Consumer Payments reportable segment. Of the $15.2 million, $5.0 million was funded from a delayed draw down of the Senior Credit Facility. Additionally, a $10.0 million draw was made against the revolving credit facility under the Senior Credit Facility and cash on hand was used to fund the remaining amount. The initial purchase price is subject to an increase of up to $6.4 million in accordance with the terms of the agreement between the Company and the sellers. As of June 30, 2020, an additional $2.1 million of the $6.4 million total contingent consideration has been paid to the seller. Additional purchase price is accounted for when payment to the seller becomes probable and is added to the amortizable carrying value of the asset. During the three months ended June 30, 2020, the Company and the seller amended the agreement to provide the Company with additional guaranteed returns from the acquired residual portfolio rights, and the additional consideration from the Company to the seller of $0.8 million was added to the amortizable carrying value of the asset.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for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Fair Value</w:t>
      </w:r>
      <w:r>
        <w:rPr>
          <w:rFonts w:ascii="Arial" w:cs="Arial" w:eastAsia="Arial" w:hAnsi="Arial"/>
          <w:sz w:val="18"/>
          <w:szCs w:val="18"/>
          <w:color w:val="auto"/>
        </w:rPr>
        <w:t>, for information about contingent consideration related to 2018 business acquisitions.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Legal Proceedings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382"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 and Warrant to Acquire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22, 2019, the Company, through one of its wholly-owned subsidiaries, executed an interest-bearing loan and commitment agreement with another entity. The Company has loaned the entity a total of $3.5 million at June 30, 2020 and December 31, 2019, with a commitment to loan up to a total of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debt or other applicable agreements. Amounts loaned to this entity by the Company are secured by substantially all of the assets of the entity and by a personal guarantee. The note receivable has an interest rate of 12.0% per annum and is repayable in full in May 2024. The Company recognized interest income of $56,000 and $110,000 during the three months and six months ended June 30, 2020, respectively. Interest income for the comparable periods in 2019 was not material. The Company also received a warrant to purchase a NCI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or as of any subsequent reporting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 of Assets and Contingent Payment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In February 2019, a subsidiary of the Company, Priority Hospitality Technology, LLC ("PHOT"), received a contribution of substantially all of the operating assets of eTab, LLC ("eTab") and CUMULUS POS, LLC ("Cumulus") under asset contribution agreements. No material liabilities were assumed by PHOT. These contributed assets were composed substantially of technology-related assets. Prior to these transactions, eTab was 80.0% owned by the Company's Chairman and Chief Executive Officer. No cash consideration was paid to the contributors of the eTab or Cumulus assets on the date of the transactions. As consideration for these contributed assets, the contributors were issued redeemable preferred equity interests in PHOT. Under these redeemable preferred equity interests, the contributors are eligible to receive up to $4.5 million of profits earned by PHOT, plus a preferred yield (6.0% per annum) on any of the $4.5 million amount that has not been distributed to them. The Company's Chairman and Chief Executive Officer owns 83.3% of the redeemable preferred equity interests in PHOT. Once a total of $4.5 million plus the preferred yield has been distributed to the holders of the redeemable preferred equity interests, the redeemable preferred equity interests will cease to exist. The Company determined that the contributor's carrying value of the eTab net assets (as a common control transaction under GAAP) was not material. Under the guidance for a common control transaction, the contribution of the eTab net assets did not result in a change of entity or the receipt of a business, therefore the Company's financial statements for prior periods have not been adjusted to reflect the historical results attributable to the eTab net assets. Additionally, no material amount was estimated for the fair value of the contributed Cumulus net assets. PHOT is a part of the Company's Integrated Partners reportable segment.</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Pursuant to the limited liability company agreement of PHOT, any material undistributed earnings generated by the eTab and Cumulus assets that are attributable to the holders of the preferred equity interests are reported by the Company as a form of NCI classified as mezzanine equity on the Company's consolidated balance sheet until $4.5 million and the preferred yield have been distributed to the holders of the preferred equity interests. Subsequent changes in the value of the NCI will be reported as an equity transaction between the Company's consolidated retained earnings (accumulated deficit) and any carrying value of the NCI in mezzanine equity. Such amounts were not material to the Company's results of operations, financial position, or cash flows for the period covering February 1, 2019 (date the assets were contributed to the Company) through June 30, 2020, and therefore no recognition of the NCI has been reflected in the Company's consolidated financial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Equity-Method Investment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2020, the Company wrote off its $0.2 million carrying value in an equity-method investment. This loss is reported as a component of Other (expense) income, net on the Company's unaudited condensed consolidated statement of operations. The Company's share of this entity's income or loss was not material for any reporting period presented.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RECONCILIATION OF STOCKHOLDERS' DEFICIT AND NON-CONTROLLING INTEREST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The Company is authorized to issue 100,000,000 shares of preferred stock with such designations, voting and other rights and preferences as may be determined from time to time by the board of directors. As of June 30, 2020 and December 31, 2019, the Company has not issued any shares of preferred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carrying amounts for the periods presented for the components of the deficit attributable to stockholders of the Company and equity attributable to NCI: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66040</wp:posOffset>
            </wp:positionV>
            <wp:extent cx="6917690"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7690" cy="857250"/>
                    </a:xfrm>
                    <a:prstGeom prst="rect">
                      <a:avLst/>
                    </a:prstGeom>
                    <a:noFill/>
                  </pic:spPr>
                </pic:pic>
              </a:graphicData>
            </a:graphic>
          </wp:anchor>
        </w:drawing>
      </w:r>
    </w:p>
    <w:p>
      <w:pPr>
        <w:spacing w:after="0" w:line="83"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Total Priority</w:t>
      </w:r>
    </w:p>
    <w:tbl>
      <w:tblPr>
        <w:tblLayout w:type="fixed"/>
        <w:tblInd w:w="180" w:type="dxa"/>
        <w:tblCellMar>
          <w:top w:w="0" w:type="dxa"/>
          <w:left w:w="0" w:type="dxa"/>
          <w:bottom w:w="0" w:type="dxa"/>
          <w:right w:w="0" w:type="dxa"/>
        </w:tblCellMar>
      </w:tblPr>
      <w:tr>
        <w:trPr>
          <w:trHeight w:val="238"/>
        </w:trPr>
        <w:tc>
          <w:tcPr>
            <w:tcW w:w="23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Technology</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7"/>
            <w:vMerge w:val="restart"/>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320" w:type="dxa"/>
            <w:vAlign w:val="bottom"/>
            <w:gridSpan w:val="6"/>
            <w:vMerge w:val="restart"/>
          </w:tcPr>
          <w:p>
            <w:pPr>
              <w:jc w:val="right"/>
              <w:ind w:right="50"/>
              <w:spacing w:after="0"/>
              <w:rPr>
                <w:sz w:val="20"/>
                <w:szCs w:val="20"/>
                <w:color w:val="auto"/>
              </w:rPr>
            </w:pPr>
            <w:r>
              <w:rPr>
                <w:rFonts w:ascii="Arial" w:cs="Arial" w:eastAsia="Arial" w:hAnsi="Arial"/>
                <w:sz w:val="18"/>
                <w:szCs w:val="18"/>
                <w:color w:val="auto"/>
                <w:w w:val="94"/>
              </w:rPr>
              <w:t>Common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7"/>
            <w:vMerge w:val="restart"/>
          </w:tcPr>
          <w:p>
            <w:pPr>
              <w:jc w:val="right"/>
              <w:ind w:right="160"/>
              <w:spacing w:after="0"/>
              <w:rPr>
                <w:sz w:val="20"/>
                <w:szCs w:val="20"/>
                <w:color w:val="auto"/>
              </w:rPr>
            </w:pPr>
            <w:r>
              <w:rPr>
                <w:rFonts w:ascii="Arial" w:cs="Arial" w:eastAsia="Arial" w:hAnsi="Arial"/>
                <w:sz w:val="18"/>
                <w:szCs w:val="18"/>
                <w:color w:val="auto"/>
                <w:w w:val="93"/>
              </w:rPr>
              <w:t>Treasury Stock (a)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Holdings,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7"/>
            <w:vMerge w:val="continue"/>
          </w:tcPr>
          <w:p>
            <w:pPr>
              <w:spacing w:after="0"/>
              <w:rPr>
                <w:sz w:val="18"/>
                <w:szCs w:val="18"/>
                <w:color w:val="auto"/>
              </w:rPr>
            </w:pPr>
          </w:p>
        </w:tc>
        <w:tc>
          <w:tcPr>
            <w:tcW w:w="940" w:type="dxa"/>
            <w:vAlign w:val="bottom"/>
            <w:gridSpan w:val="5"/>
          </w:tcPr>
          <w:p>
            <w:pPr>
              <w:ind w:left="20"/>
              <w:spacing w:after="0"/>
              <w:rPr>
                <w:sz w:val="20"/>
                <w:szCs w:val="20"/>
                <w:color w:val="auto"/>
              </w:rPr>
            </w:pPr>
            <w:r>
              <w:rPr>
                <w:rFonts w:ascii="Arial" w:cs="Arial" w:eastAsia="Arial" w:hAnsi="Arial"/>
                <w:sz w:val="18"/>
                <w:szCs w:val="18"/>
                <w:color w:val="auto"/>
              </w:rPr>
              <w:t>Additional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Inc.</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4"/>
          </w:tcPr>
          <w:p>
            <w:pPr>
              <w:ind w:left="40"/>
              <w:spacing w:after="0" w:line="195" w:lineRule="exact"/>
              <w:rPr>
                <w:sz w:val="20"/>
                <w:szCs w:val="20"/>
                <w:color w:val="auto"/>
              </w:rPr>
            </w:pPr>
            <w:r>
              <w:rPr>
                <w:rFonts w:ascii="Arial" w:cs="Arial" w:eastAsia="Arial" w:hAnsi="Arial"/>
                <w:sz w:val="18"/>
                <w:szCs w:val="18"/>
                <w:color w:val="auto"/>
              </w:rPr>
              <w:t>Paid-In</w:t>
            </w:r>
          </w:p>
        </w:tc>
        <w:tc>
          <w:tcPr>
            <w:tcW w:w="1140" w:type="dxa"/>
            <w:vAlign w:val="bottom"/>
            <w:gridSpan w:val="4"/>
          </w:tcPr>
          <w:p>
            <w:pPr>
              <w:ind w:left="20"/>
              <w:spacing w:after="0" w:line="195" w:lineRule="exact"/>
              <w:rPr>
                <w:sz w:val="20"/>
                <w:szCs w:val="20"/>
                <w:color w:val="auto"/>
              </w:rPr>
            </w:pPr>
            <w:r>
              <w:rPr>
                <w:rFonts w:ascii="Arial" w:cs="Arial" w:eastAsia="Arial" w:hAnsi="Arial"/>
                <w:sz w:val="18"/>
                <w:szCs w:val="18"/>
                <w:color w:val="auto"/>
              </w:rPr>
              <w:t>Accumulated</w:t>
            </w:r>
          </w:p>
        </w:tc>
        <w:tc>
          <w:tcPr>
            <w:tcW w:w="1020" w:type="dxa"/>
            <w:vAlign w:val="bottom"/>
            <w:gridSpan w:val="3"/>
          </w:tcPr>
          <w:p>
            <w:pPr>
              <w:ind w:left="20"/>
              <w:spacing w:after="0" w:line="195" w:lineRule="exact"/>
              <w:rPr>
                <w:sz w:val="20"/>
                <w:szCs w:val="20"/>
                <w:color w:val="auto"/>
              </w:rPr>
            </w:pPr>
            <w:r>
              <w:rPr>
                <w:rFonts w:ascii="Arial" w:cs="Arial" w:eastAsia="Arial" w:hAnsi="Arial"/>
                <w:sz w:val="18"/>
                <w:szCs w:val="18"/>
                <w:color w:val="auto"/>
                <w:w w:val="91"/>
              </w:rPr>
              <w:t>Stockholders'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Amount</w:t>
            </w:r>
          </w:p>
        </w:tc>
        <w:tc>
          <w:tcPr>
            <w:tcW w:w="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9"/>
              </w:rPr>
              <w:t>Amount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ind w:left="60"/>
              <w:spacing w:after="0"/>
              <w:rPr>
                <w:sz w:val="20"/>
                <w:szCs w:val="20"/>
                <w:color w:val="auto"/>
              </w:rPr>
            </w:pPr>
            <w:r>
              <w:rPr>
                <w:rFonts w:ascii="Arial" w:cs="Arial" w:eastAsia="Arial" w:hAnsi="Arial"/>
                <w:sz w:val="18"/>
                <w:szCs w:val="18"/>
                <w:color w:val="auto"/>
              </w:rPr>
              <w:t>Capital</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2"/>
                <w:szCs w:val="2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(Deficit)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NCI (c)</w:t>
            </w:r>
          </w:p>
        </w:tc>
        <w:tc>
          <w:tcPr>
            <w:tcW w:w="0" w:type="dxa"/>
            <w:vAlign w:val="bottom"/>
          </w:tcPr>
          <w:p>
            <w:pPr>
              <w:spacing w:after="0"/>
              <w:rPr>
                <w:sz w:val="1"/>
                <w:szCs w:val="1"/>
                <w:color w:val="auto"/>
              </w:rPr>
            </w:pPr>
          </w:p>
        </w:tc>
      </w:tr>
      <w:tr>
        <w:trPr>
          <w:trHeight w:val="318"/>
        </w:trPr>
        <w:tc>
          <w:tcPr>
            <w:tcW w:w="2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4"/>
              </w:rPr>
              <w:t>67,061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7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3,651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(126,343)</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160"/>
              <w:spacing w:after="0"/>
              <w:rPr>
                <w:sz w:val="20"/>
                <w:szCs w:val="20"/>
                <w:color w:val="auto"/>
              </w:rPr>
            </w:pPr>
            <w:r>
              <w:rPr>
                <w:rFonts w:ascii="Arial" w:cs="Arial" w:eastAsia="Arial" w:hAnsi="Arial"/>
                <w:sz w:val="18"/>
                <w:szCs w:val="18"/>
                <w:color w:val="auto"/>
              </w:rPr>
              <w:t>Equity-classified stock</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8"/>
                <w:szCs w:val="18"/>
                <w:color w:val="auto"/>
              </w:rPr>
              <w:t>March 31, 2020</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6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4"/>
              </w:rPr>
              <w:t>67,061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gridSpan w:val="2"/>
          </w:tcPr>
          <w:p>
            <w:pPr>
              <w:spacing w:after="0"/>
              <w:rPr>
                <w:sz w:val="20"/>
                <w:szCs w:val="20"/>
                <w:color w:val="auto"/>
              </w:rPr>
            </w:pPr>
          </w:p>
        </w:tc>
        <w:tc>
          <w:tcPr>
            <w:tcW w:w="6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3,989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(133,543)</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(131,874)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Equity-classified stock</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1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6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4"/>
              </w:rPr>
              <w:t>67,061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6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4,569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(139,152)</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(94,018)</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160"/>
              <w:spacing w:after="0"/>
              <w:rPr>
                <w:sz w:val="20"/>
                <w:szCs w:val="20"/>
                <w:color w:val="auto"/>
              </w:rPr>
            </w:pPr>
            <w:r>
              <w:rPr>
                <w:rFonts w:ascii="Arial" w:cs="Arial" w:eastAsia="Arial" w:hAnsi="Arial"/>
                <w:sz w:val="18"/>
                <w:szCs w:val="18"/>
                <w:color w:val="auto"/>
              </w:rPr>
              <w:t>Equity-classified stock</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20"/>
                <w:szCs w:val="20"/>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Warrant redemptions (b)</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(b)</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(b)</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1"/>
                <w:szCs w:val="21"/>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 of NCI (c)</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March 31, 2019</w:t>
            </w:r>
          </w:p>
        </w:tc>
        <w:tc>
          <w:tcPr>
            <w:tcW w:w="100" w:type="dxa"/>
            <w:vAlign w:val="bottom"/>
          </w:tcPr>
          <w:p>
            <w:pPr>
              <w:spacing w:after="0"/>
              <w:rPr>
                <w:sz w:val="20"/>
                <w:szCs w:val="20"/>
                <w:color w:val="auto"/>
              </w:rPr>
            </w:pPr>
          </w:p>
        </w:tc>
        <w:tc>
          <w:tcPr>
            <w:tcW w:w="54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67,458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(100,531)</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(99,304)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Equity-classified stock</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160"/>
              <w:spacing w:after="0"/>
              <w:rPr>
                <w:sz w:val="20"/>
                <w:szCs w:val="20"/>
                <w:color w:val="auto"/>
              </w:rPr>
            </w:pPr>
            <w:r>
              <w:rPr>
                <w:rFonts w:ascii="Arial" w:cs="Arial" w:eastAsia="Arial" w:hAnsi="Arial"/>
                <w:sz w:val="18"/>
                <w:szCs w:val="18"/>
                <w:color w:val="auto"/>
              </w:rPr>
              <w:t>Repurchases of common</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16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0"/>
                <w:szCs w:val="20"/>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34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67,007</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2"/>
              </w:rPr>
              <w:t>$(2,388)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(114,661)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(114,799)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cost</w:t>
      </w:r>
    </w:p>
    <w:p>
      <w:pPr>
        <w:spacing w:after="0" w:line="182" w:lineRule="exact"/>
        <w:rPr>
          <w:rFonts w:ascii="Arial" w:cs="Arial" w:eastAsia="Arial" w:hAnsi="Arial"/>
          <w:sz w:val="17"/>
          <w:szCs w:val="17"/>
          <w:color w:val="auto"/>
        </w:rPr>
      </w:pPr>
    </w:p>
    <w:p>
      <w:pPr>
        <w:jc w:val="both"/>
        <w:ind w:firstLine="8"/>
        <w:spacing w:after="0" w:line="251" w:lineRule="auto"/>
        <w:tabs>
          <w:tab w:leader="none" w:pos="248"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Par value of the common shares issued in connection with the warrant exchange rounds to less than one thousand dollars. </w:t>
      </w:r>
      <w:r>
        <w:rPr>
          <w:rFonts w:ascii="Arial" w:cs="Arial" w:eastAsia="Arial" w:hAnsi="Arial"/>
          <w:sz w:val="16"/>
          <w:szCs w:val="16"/>
          <w:color w:val="222222"/>
        </w:rPr>
        <w:t>In August 2018, the Company was</w:t>
      </w:r>
      <w:r>
        <w:rPr>
          <w:rFonts w:ascii="Arial" w:cs="Arial" w:eastAsia="Arial" w:hAnsi="Arial"/>
          <w:sz w:val="16"/>
          <w:szCs w:val="16"/>
          <w:color w:val="auto"/>
        </w:rPr>
        <w:t xml:space="preserve"> </w:t>
      </w:r>
      <w:r>
        <w:rPr>
          <w:rFonts w:ascii="Arial" w:cs="Arial" w:eastAsia="Arial" w:hAnsi="Arial"/>
          <w:sz w:val="16"/>
          <w:szCs w:val="16"/>
          <w:color w:val="222222"/>
        </w:rPr>
        <w:t>informed by Nasdaq that it intended to delist the Company's outstanding warrants and units due to an insufficient number of round lot holders for the public warrants. The Company subsequently filed a Registration Statement on Form S-4 with the SEC for the purpose of offering holders of the Company's outstanding 5,310,109 public warrants and 421,107 private warrants the opportunity to exchange each warrant for 0.192 shares of the Company's common stock. The exchange offer expired in February 2019 resulting in a portion of the warrants being tendered in exchange for approximately 420,000 shares of the Company's common stock plus cash in lieu of fractional shares. Nasdaq proceeded to delist the remaining outstanding warrants and units, which were comprised of one share of common stock and one warrant, from The Nasdaq Global Market at the open of business on March 6, 2019. The delisting of the remaining outstanding warrants and units had no impact on the Company's financial statements.</w:t>
      </w:r>
    </w:p>
    <w:p>
      <w:pPr>
        <w:spacing w:after="0" w:line="161" w:lineRule="exact"/>
        <w:rPr>
          <w:rFonts w:ascii="Arial" w:cs="Arial" w:eastAsia="Arial" w:hAnsi="Arial"/>
          <w:sz w:val="16"/>
          <w:szCs w:val="16"/>
          <w:color w:val="auto"/>
        </w:rPr>
      </w:pPr>
    </w:p>
    <w:p>
      <w:pPr>
        <w:jc w:val="both"/>
        <w:ind w:firstLine="8"/>
        <w:spacing w:after="0" w:line="257" w:lineRule="auto"/>
        <w:tabs>
          <w:tab w:leader="none" w:pos="225" w:val="left"/>
        </w:tabs>
        <w:numPr>
          <w:ilvl w:val="0"/>
          <w:numId w:val="6"/>
        </w:numPr>
        <w:rPr>
          <w:rFonts w:ascii="Arial" w:cs="Arial" w:eastAsia="Arial" w:hAnsi="Arial"/>
          <w:sz w:val="16"/>
          <w:szCs w:val="16"/>
          <w:color w:val="222222"/>
        </w:rPr>
      </w:pPr>
      <w:r>
        <w:rPr>
          <w:rFonts w:ascii="Arial" w:cs="Arial" w:eastAsia="Arial" w:hAnsi="Arial"/>
          <w:sz w:val="16"/>
          <w:szCs w:val="16"/>
          <w:color w:val="222222"/>
        </w:rPr>
        <w:t xml:space="preserve">Related to the acquisition of certain assets from YapStone, Inc. by the Company's subsidiary PRET during 2019. As part of the consideration for the assets acquired from YapStone, Inc. by PRET, YapStone, Inc. was issued a NCI in PRET with an initial estimated fair value and carrying value of $5,654,000. See Note 3, </w:t>
      </w:r>
      <w:r>
        <w:rPr>
          <w:rFonts w:ascii="Arial" w:cs="Arial" w:eastAsia="Arial" w:hAnsi="Arial"/>
          <w:sz w:val="16"/>
          <w:szCs w:val="16"/>
          <w:i w:val="1"/>
          <w:iCs w:val="1"/>
          <w:color w:val="222222"/>
        </w:rPr>
        <w:t>Non-Controlling Interests</w:t>
      </w:r>
      <w:r>
        <w:rPr>
          <w:rFonts w:ascii="Arial" w:cs="Arial" w:eastAsia="Arial" w:hAnsi="Arial"/>
          <w:sz w:val="16"/>
          <w:szCs w:val="16"/>
          <w:color w:val="222222"/>
        </w:rPr>
        <w:t>. For all reporting periods since PRET's inception, including</w:t>
      </w:r>
      <w:r>
        <w:rPr>
          <w:rFonts w:ascii="Arial" w:cs="Arial" w:eastAsia="Arial" w:hAnsi="Arial"/>
          <w:sz w:val="16"/>
          <w:szCs w:val="16"/>
          <w:i w:val="1"/>
          <w:iCs w:val="1"/>
          <w:color w:val="222222"/>
        </w:rPr>
        <w:t xml:space="preserve"> </w:t>
      </w:r>
      <w:r>
        <w:rPr>
          <w:rFonts w:ascii="Arial" w:cs="Arial" w:eastAsia="Arial" w:hAnsi="Arial"/>
          <w:sz w:val="16"/>
          <w:szCs w:val="16"/>
          <w:color w:val="000000"/>
        </w:rPr>
        <w:t>the three months and six months ended June 30, 2020 and June 30, 2019, no earnings or</w:t>
      </w:r>
      <w:r>
        <w:rPr>
          <w:rFonts w:ascii="Arial" w:cs="Arial" w:eastAsia="Arial" w:hAnsi="Arial"/>
          <w:sz w:val="16"/>
          <w:szCs w:val="16"/>
          <w:i w:val="1"/>
          <w:iCs w:val="1"/>
          <w:color w:val="222222"/>
        </w:rPr>
        <w:t xml:space="preserve"> </w:t>
      </w:r>
      <w:r>
        <w:rPr>
          <w:rFonts w:ascii="Arial" w:cs="Arial" w:eastAsia="Arial" w:hAnsi="Arial"/>
          <w:sz w:val="16"/>
          <w:szCs w:val="16"/>
          <w:color w:val="000000"/>
        </w:rPr>
        <w:t>losses were attributable to the NCI of PRET based on the terms of the LLC agreement of PRET, as amended.</w:t>
      </w:r>
    </w:p>
    <w:p>
      <w:pPr>
        <w:spacing w:after="0" w:line="200" w:lineRule="exact"/>
        <w:rPr>
          <w:rFonts w:ascii="Arial" w:cs="Arial" w:eastAsia="Arial" w:hAnsi="Arial"/>
          <w:sz w:val="16"/>
          <w:szCs w:val="16"/>
          <w:color w:val="222222"/>
        </w:rPr>
      </w:pPr>
    </w:p>
    <w:p>
      <w:pPr>
        <w:spacing w:after="0" w:line="360" w:lineRule="exact"/>
        <w:rPr>
          <w:rFonts w:ascii="Arial" w:cs="Arial" w:eastAsia="Arial" w:hAnsi="Arial"/>
          <w:sz w:val="16"/>
          <w:szCs w:val="16"/>
          <w:color w:val="222222"/>
        </w:rPr>
      </w:pPr>
    </w:p>
    <w:p>
      <w:pPr>
        <w:ind w:left="5540" w:hanging="111"/>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is included in Salary and employee benefits in the accompanying unaudited condensed consolidated statements of operations. The Company recognizes the effects of forfeitures on compensation expense as the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Expense recognized for equity-classified stock compensation by plan was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shd w:val="clear" w:color="auto" w:fill="CCEEFF"/>
          </w:tcPr>
          <w:p>
            <w:pPr>
              <w:spacing w:after="0"/>
              <w:rPr>
                <w:sz w:val="22"/>
                <w:szCs w:val="22"/>
                <w:color w:val="auto"/>
              </w:rPr>
            </w:pPr>
          </w:p>
        </w:tc>
        <w:tc>
          <w:tcPr>
            <w:tcW w:w="314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shd w:val="clear" w:color="auto" w:fill="CCEEFF"/>
          </w:tcPr>
          <w:p>
            <w:pPr>
              <w:spacing w:after="0"/>
              <w:rPr>
                <w:sz w:val="22"/>
                <w:szCs w:val="22"/>
                <w:color w:val="auto"/>
              </w:rPr>
            </w:pPr>
          </w:p>
        </w:tc>
        <w:tc>
          <w:tcPr>
            <w:tcW w:w="3040" w:type="dxa"/>
            <w:vAlign w:val="bottom"/>
            <w:gridSpan w:val="4"/>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Six Months Ended June 30,</w:t>
            </w:r>
          </w:p>
        </w:tc>
      </w:tr>
      <w:tr>
        <w:trPr>
          <w:trHeight w:val="243"/>
        </w:trPr>
        <w:tc>
          <w:tcPr>
            <w:tcW w:w="35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9"/>
        </w:trPr>
        <w:tc>
          <w:tcPr>
            <w:tcW w:w="3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2018 Equity Incentive Plan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841</w:t>
            </w:r>
          </w:p>
        </w:tc>
        <w:tc>
          <w:tcPr>
            <w:tcW w:w="2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1,765</w:t>
            </w: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Management Incentive Plan</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57"/>
        </w:trPr>
        <w:tc>
          <w:tcPr>
            <w:tcW w:w="350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2,183</w:t>
            </w:r>
          </w:p>
        </w:tc>
      </w:tr>
      <w:tr>
        <w:trPr>
          <w:trHeight w:val="20"/>
        </w:trPr>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the Company recognized compensation expense of $108,000 during the three months and six months ended June 30, 2020 related to liability-classified stock compensation under the 2018 Equity Incentive Plan whereby the service inception date preceded the future grant-date.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Income tax benefit for stock-based compensation was not material for the three months and six months ended June 30, 2020 and June 30,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FAIR VALUE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estimated fair value of remaining contingent consideration related to two business combinations were each based on a weighted payout probability for the contingent consideration at the original measurement date and each subsequent remeasurement date, which fall within Level 3 on the fair value hierarchy since these recurring fair value measurements are based on significant unobservable inputs. The probabilities used to estimate the payout probability of the contingent consideration for the two business combinations ranged between 15% and 35% for one and between 5% and 80% for the other. The estimated weighted-average probability for payment of the contingent consideration was 21% for one and 70% for the other at June 30, 2020 and December 31, 2019, and 26% and 70%, respectively, at June 30, 2019. These weighted average probabilities are based on present value of estimated projections for financial metrics for the remaining earnout periods.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 remaining maximum amounts of contingent consideration for these two business combinations were $500,000 for one and $250,000 for the other, and the measured fair values were $170,000 and $190,000, respectively. These fair value estimates did not change during the three months and six months ended June 30, 2020 and June 30, 2019.</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transfers among the fair value levels during the three months and six months ended June 30, 2020 and June 30, 2019. There were no unrealized gains or losses included in other comprehensive income for any reporting period, therefore there were no changes in unrealized gains and losses for any reporting period included in other comprehensive income for recurring Level 3 fair value measurements.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Notes receivable are carried at amortized cost. Substantially all of the Company's notes receivable are secured, and the Company believes that all of its notes receivable are collectible. The fair value of the Company's notes receivable at June 30, 2020 and December 31, 2019 was approximately $6.6 million and $5.7 million, respectively. On the fair value hierarchy, Level 3 inputs are used to estimate the fair value of these notes receivable.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Borrower's outstanding debt obligations (see Note 8, </w:t>
      </w:r>
      <w:r>
        <w:rPr>
          <w:rFonts w:ascii="Arial" w:cs="Arial" w:eastAsia="Arial" w:hAnsi="Arial"/>
          <w:sz w:val="18"/>
          <w:szCs w:val="18"/>
          <w:i w:val="1"/>
          <w:iCs w:val="1"/>
          <w:color w:val="auto"/>
        </w:rPr>
        <w:t>Debt Obligations</w:t>
      </w:r>
      <w:r>
        <w:rPr>
          <w:rFonts w:ascii="Arial" w:cs="Arial" w:eastAsia="Arial" w:hAnsi="Arial"/>
          <w:sz w:val="18"/>
          <w:szCs w:val="18"/>
          <w:color w:val="auto"/>
        </w:rPr>
        <w:t>) are reflected in the Company's consolidated balance sheets at carrying value since the Company did not elect to remeasure debt obligations to fair value at the end of each reporting period.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The fair value of the term loan facility under the Borrowers' Senior Credit Agreement at June 30, 2020 and December 31, 2019 was estimated to be approximately $341 million and $381 million, respectively. The fair value of these notes with a notional value and carrying value (gross of deferred costs and discounts) of $387.0 million and $388.8 million, respectively, was estimated using binding and non-binding quoted prices in an active secondary market, which considers the Borrowers' credit risk and market related conditions, and is within Level 3 of the fair value hierarchy.</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the Borrowers'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3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the Company has three reportable segments that are reviewed by the Company's chief operating decision maker ("CODM"), who is the Company's Chief Executive Officer and Chairman. The Consumer Payments operating segment and the Integrated Partners operating segments are each reported as separate reportable segments. The Commercial Payments and Institutional Services (sometimes referred to as Managed Services) operating segments are aggregated into one reportable segment, Commercial Payments.</w:t>
      </w:r>
    </w:p>
    <w:p>
      <w:pPr>
        <w:spacing w:after="0" w:line="187" w:lineRule="exact"/>
        <w:rPr>
          <w:sz w:val="20"/>
          <w:szCs w:val="20"/>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consumer-related services and offerings including merchant acquiring and transaction 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2"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Payments – </w:t>
      </w:r>
      <w:r>
        <w:rPr>
          <w:rFonts w:ascii="Arial" w:cs="Arial" w:eastAsia="Arial" w:hAnsi="Arial"/>
          <w:sz w:val="18"/>
          <w:szCs w:val="18"/>
          <w:color w:val="auto"/>
        </w:rPr>
        <w:t>represents services provided to certain enterprise customers, including outsourced sales force to those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automation services to commercial customers.</w:t>
      </w:r>
    </w:p>
    <w:p>
      <w:pPr>
        <w:spacing w:after="0" w:line="170" w:lineRule="exact"/>
        <w:rPr>
          <w:rFonts w:ascii="Arial" w:cs="Arial" w:eastAsia="Arial" w:hAnsi="Arial"/>
          <w:sz w:val="18"/>
          <w:szCs w:val="18"/>
          <w:i w:val="1"/>
          <w:iCs w:val="1"/>
          <w:color w:val="auto"/>
        </w:rPr>
      </w:pPr>
    </w:p>
    <w:p>
      <w:pPr>
        <w:ind w:right="400" w:firstLine="332"/>
        <w:spacing w:after="0" w:line="500"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Integrated Partners – </w:t>
      </w:r>
      <w:r>
        <w:rPr>
          <w:rFonts w:ascii="Arial" w:cs="Arial" w:eastAsia="Arial" w:hAnsi="Arial"/>
          <w:sz w:val="18"/>
          <w:szCs w:val="18"/>
          <w:color w:val="auto"/>
        </w:rPr>
        <w:t>represents payment adjacent services that are provided primarily to the health care and residential real estate industries.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includes costs of corporate functions and shared services not allocated to our reportable segments.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second quarter of 2019, the Integrated Partners operating segment was aggregated with the Commercial Payments and Institutional Services operating segments and reported as one aggregated reportable segment. In the second quarter of 2019, the Integrated Partners operating segment was no longer aggregated with the Commercial Payments and Institutional Services operating segments. All comparative periods have been adjusted to reflect the current three reportable segments.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reportable segments and reconciliations to consolidated revenue, consolidated income from operations, and consolidated depreciation and amortization are as follows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shd w:val="clear" w:color="auto" w:fill="CCEEFF"/>
          </w:tcPr>
          <w:p>
            <w:pPr>
              <w:spacing w:after="0"/>
              <w:rPr>
                <w:sz w:val="22"/>
                <w:szCs w:val="22"/>
                <w:color w:val="auto"/>
              </w:rPr>
            </w:pPr>
          </w:p>
        </w:tc>
        <w:tc>
          <w:tcPr>
            <w:tcW w:w="290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Borders>
              <w:bottom w:val="single" w:sz="8" w:color="auto"/>
            </w:tcBorders>
            <w:shd w:val="clear" w:color="auto" w:fill="CCEEFF"/>
          </w:tcPr>
          <w:p>
            <w:pPr>
              <w:spacing w:after="0"/>
              <w:rPr>
                <w:sz w:val="22"/>
                <w:szCs w:val="22"/>
                <w:color w:val="auto"/>
              </w:rPr>
            </w:pPr>
          </w:p>
        </w:tc>
        <w:tc>
          <w:tcPr>
            <w:tcW w:w="3100" w:type="dxa"/>
            <w:vAlign w:val="bottom"/>
            <w:tcBorders>
              <w:bottom w:val="single" w:sz="8" w:color="auto"/>
            </w:tcBorders>
            <w:gridSpan w:val="4"/>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43"/>
        </w:trPr>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81,707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81,454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167,738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160,463</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Payments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13,154</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Integrated Partners</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6,171</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92,356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189,289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179,788</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71"/>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7,270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7,363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14,422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15,082</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Payments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Integrated Partners</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(11,286)</w:t>
            </w:r>
          </w:p>
        </w:tc>
      </w:tr>
      <w:tr>
        <w:trPr>
          <w:trHeight w:val="297"/>
        </w:trPr>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Consolidated income from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4,031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7,590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3,402</w:t>
            </w:r>
          </w:p>
        </w:tc>
      </w:tr>
      <w:tr>
        <w:trPr>
          <w:trHeight w:val="271"/>
        </w:trPr>
        <w:tc>
          <w:tcPr>
            <w:tcW w:w="4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15,913</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Commercial Payments</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Integrated Partners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807</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depreciation and amortization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9,761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18,686</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income (loss) from operations of reportable segments to the net loss is provided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shd w:val="clear" w:color="auto" w:fill="CCEEFF"/>
          </w:tcPr>
          <w:p>
            <w:pPr>
              <w:spacing w:after="0"/>
              <w:rPr>
                <w:sz w:val="22"/>
                <w:szCs w:val="22"/>
                <w:color w:val="auto"/>
              </w:rPr>
            </w:pPr>
          </w:p>
        </w:tc>
        <w:tc>
          <w:tcPr>
            <w:tcW w:w="286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shd w:val="clear" w:color="auto" w:fill="CCEEFF"/>
          </w:tcPr>
          <w:p>
            <w:pPr>
              <w:spacing w:after="0"/>
              <w:rPr>
                <w:sz w:val="22"/>
                <w:szCs w:val="22"/>
                <w:color w:val="auto"/>
              </w:rPr>
            </w:pPr>
          </w:p>
        </w:tc>
        <w:tc>
          <w:tcPr>
            <w:tcW w:w="2680" w:type="dxa"/>
            <w:vAlign w:val="bottom"/>
            <w:gridSpan w:val="4"/>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43"/>
        </w:trPr>
        <w:tc>
          <w:tcPr>
            <w:tcW w:w="4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4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Total income from operations of reportable segments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16,874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14,688</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(20,139)</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(less) other, net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(4,204)</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(20,576)</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revenue is generated in the United States.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For the three months and six months </w:t>
      </w:r>
      <w:r>
        <w:rPr>
          <w:rFonts w:ascii="Arial" w:cs="Arial" w:eastAsia="Arial" w:hAnsi="Arial"/>
          <w:sz w:val="18"/>
          <w:szCs w:val="18"/>
          <w:color w:val="000000"/>
        </w:rPr>
        <w:t>ended June 30, 2020 and June 30, 2019</w:t>
      </w:r>
      <w:r>
        <w:rPr>
          <w:rFonts w:ascii="Arial" w:cs="Arial" w:eastAsia="Arial" w:hAnsi="Arial"/>
          <w:sz w:val="18"/>
          <w:szCs w:val="18"/>
          <w:color w:val="212529"/>
        </w:rPr>
        <w:t>, no one merchant customer accounted for 10% or more of the Company's consolidated revenues. Most of the Company's merchant customers were referred to the Company by an ISO or other referral partners. If the Company's agreement with an ISO allows the ISO to have merchant portability rights, the ISO can potentially move the underlying merchant relationships to another merchant acquirer upon notice to the Company and completion of a "wind down" period. Merchants referred by one ISO organization with potential merchant portability rights generated revenue within the Company's Consumer Payments reportable segment that represented approximately 21.4% and 20.7%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of the Company's consolidated revenues for the three months and six months ended June 30, 2020, respectively, and 17.6% and 17.6% for the three months and six months ended June 30, 2019, respectively.</w:t>
      </w:r>
    </w:p>
    <w:p>
      <w:pPr>
        <w:spacing w:after="0" w:line="200" w:lineRule="exact"/>
        <w:rPr>
          <w:sz w:val="20"/>
          <w:szCs w:val="20"/>
          <w:color w:val="auto"/>
        </w:rPr>
      </w:pPr>
    </w:p>
    <w:p>
      <w:pPr>
        <w:spacing w:after="0" w:line="39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basic and diluted loss per common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90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shd w:val="clear" w:color="auto" w:fill="CCEEFF"/>
          </w:tcPr>
          <w:p>
            <w:pPr>
              <w:spacing w:after="0"/>
              <w:rPr>
                <w:sz w:val="22"/>
                <w:szCs w:val="22"/>
                <w:color w:val="auto"/>
              </w:rPr>
            </w:pPr>
          </w:p>
        </w:tc>
        <w:tc>
          <w:tcPr>
            <w:tcW w:w="272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Basic and Diluted Loss Per Common Share:</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Earnings attributable to NCI</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04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loss attributable to common stockholders of Priority</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(7,858)</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(14,130)</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(13,727)</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(20,576)</w:t>
            </w:r>
          </w:p>
        </w:tc>
        <w:tc>
          <w:tcPr>
            <w:tcW w:w="0" w:type="dxa"/>
            <w:vAlign w:val="bottom"/>
          </w:tcPr>
          <w:p>
            <w:pPr>
              <w:spacing w:after="0"/>
              <w:rPr>
                <w:sz w:val="1"/>
                <w:szCs w:val="1"/>
                <w:color w:val="auto"/>
              </w:rPr>
            </w:pPr>
          </w:p>
        </w:tc>
      </w:tr>
      <w:tr>
        <w:trPr>
          <w:trHeight w:val="281"/>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Technology Holdings, Inc.</w:t>
            </w:r>
          </w:p>
        </w:tc>
        <w:tc>
          <w:tcPr>
            <w:tcW w:w="24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67,161</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Potentially anti-dilutive securities that were excluded from earnings per share for the three months and six months ended June 30, 2020 and June 30, 2019 that could be dilutive in future periods were as follows:</w:t>
      </w:r>
    </w:p>
    <w:p>
      <w:pPr>
        <w:spacing w:after="0" w:line="104" w:lineRule="exact"/>
        <w:rPr>
          <w:sz w:val="20"/>
          <w:szCs w:val="20"/>
          <w:color w:val="auto"/>
        </w:rPr>
      </w:pPr>
    </w:p>
    <w:tbl>
      <w:tblPr>
        <w:tblLayout w:type="fixed"/>
        <w:tblInd w:w="180" w:type="dxa"/>
        <w:tblCellMar>
          <w:top w:w="0" w:type="dxa"/>
          <w:left w:w="0" w:type="dxa"/>
          <w:bottom w:w="0" w:type="dxa"/>
          <w:right w:w="0" w:type="dxa"/>
        </w:tblCellMar>
      </w:tblPr>
      <w:tr>
        <w:trPr>
          <w:trHeight w:val="26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600" w:type="dxa"/>
            <w:vAlign w:val="bottom"/>
            <w:tcBorders>
              <w:bottom w:val="single" w:sz="8" w:color="auto"/>
            </w:tcBorders>
            <w:gridSpan w:val="3"/>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Common Stock Equivalents at</w:t>
            </w:r>
          </w:p>
        </w:tc>
      </w:tr>
      <w:tr>
        <w:trPr>
          <w:trHeight w:val="243"/>
        </w:trPr>
        <w:tc>
          <w:tcPr>
            <w:tcW w:w="7300" w:type="dxa"/>
            <w:vAlign w:val="bottom"/>
          </w:tcPr>
          <w:p>
            <w:pPr>
              <w:spacing w:after="0"/>
              <w:rPr>
                <w:sz w:val="21"/>
                <w:szCs w:val="21"/>
                <w:color w:val="auto"/>
              </w:rPr>
            </w:pPr>
          </w:p>
        </w:tc>
        <w:tc>
          <w:tcPr>
            <w:tcW w:w="1860" w:type="dxa"/>
            <w:vAlign w:val="bottom"/>
            <w:gridSpan w:val="2"/>
          </w:tcPr>
          <w:p>
            <w:pPr>
              <w:ind w:left="340"/>
              <w:spacing w:after="0"/>
              <w:rPr>
                <w:sz w:val="20"/>
                <w:szCs w:val="20"/>
                <w:color w:val="auto"/>
              </w:rPr>
            </w:pPr>
            <w:r>
              <w:rPr>
                <w:rFonts w:ascii="Arial" w:cs="Arial" w:eastAsia="Arial" w:hAnsi="Arial"/>
                <w:sz w:val="18"/>
                <w:szCs w:val="18"/>
                <w:b w:val="1"/>
                <w:bCs w:val="1"/>
                <w:color w:val="auto"/>
              </w:rPr>
              <w:t>June 30, 2020</w:t>
            </w:r>
          </w:p>
        </w:tc>
        <w:tc>
          <w:tcPr>
            <w:tcW w:w="17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73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0"/>
        </w:trPr>
        <w:tc>
          <w:tcPr>
            <w:tcW w:w="7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Outstanding warrants on common stock</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3,556</w:t>
            </w:r>
          </w:p>
        </w:tc>
      </w:tr>
      <w:tr>
        <w:trPr>
          <w:trHeight w:val="27"/>
        </w:trPr>
        <w:tc>
          <w:tcPr>
            <w:tcW w:w="7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 awards granted under the 2018 Equity Incentive Plan</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Outstanding stock option awards granted under the 2018 Equity Incentive Plan</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2,047</w:t>
            </w:r>
          </w:p>
        </w:tc>
      </w:tr>
      <w:tr>
        <w:trPr>
          <w:trHeight w:val="27"/>
        </w:trPr>
        <w:tc>
          <w:tcPr>
            <w:tcW w:w="7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Liability-based restricted stock units</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Restricted stock units granted under the Earnout Incentive Plan</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95</w:t>
            </w:r>
          </w:p>
        </w:tc>
      </w:tr>
      <w:tr>
        <w:trPr>
          <w:trHeight w:val="27"/>
        </w:trPr>
        <w:tc>
          <w:tcPr>
            <w:tcW w:w="73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5,824</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5,936</w:t>
            </w:r>
          </w:p>
        </w:tc>
      </w:tr>
      <w:tr>
        <w:trPr>
          <w:trHeight w:val="20"/>
        </w:trPr>
        <w:tc>
          <w:tcPr>
            <w:tcW w:w="7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for the years ended December 31, 2019, 2018 and 2017 and the section entitled "Management's Discussion and Analysis of Financial Condition and Results of Operations," included in the Company's Annual Report on Form 10-K filed with the U.S. Securities and Exchange Commission on March 30, 2020 (the "Annual Report").</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set forth in the "Item 1A - Risk Factors" included in this Quarterly Report or our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Used in this Quarterly Report on Form 10-Q</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used in this Quarterly Report on Form 10-Q, unless the context otherwise requires, references to the terms "Company,"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section includes a summary of our results of operations for the periods presented followed by a detailed discussion of our results of operations for the three months ended June 30, 2020 (or second quarter 2020) compared to the three months ended June 30, 2019 (or second quarter 2019), and the six months ended June 30, 2020 (or first half of 2020) compared to the six months ended June 30, 2019 (or first half of 2019). We have derived this data, except key indicators for merchant bankcard processing dollar values and transaction volumes, from our unaudited condensed consolidated financial statements included elsewhere in this Quarterly Report on Form 10-Q and our audited consolidated financial statements included in our latest Annual Report on Form 10-K.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the Three Months Ended June 30, 2019</w:t>
      </w:r>
    </w:p>
    <w:p>
      <w:pPr>
        <w:spacing w:after="0" w:line="374" w:lineRule="exact"/>
        <w:rPr>
          <w:sz w:val="20"/>
          <w:szCs w:val="20"/>
          <w:color w:val="auto"/>
        </w:rPr>
      </w:pPr>
    </w:p>
    <w:tbl>
      <w:tblPr>
        <w:tblLayout w:type="fixed"/>
        <w:tblInd w:w="240" w:type="dxa"/>
        <w:tblCellMar>
          <w:top w:w="0" w:type="dxa"/>
          <w:left w:w="0" w:type="dxa"/>
          <w:bottom w:w="0" w:type="dxa"/>
          <w:right w:w="0" w:type="dxa"/>
        </w:tblCellMar>
      </w:tblPr>
      <w:tr>
        <w:trPr>
          <w:trHeight w:val="26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shd w:val="clear" w:color="auto" w:fill="CCEEFF"/>
          </w:tcPr>
          <w:p>
            <w:pPr>
              <w:spacing w:after="0"/>
              <w:rPr>
                <w:sz w:val="22"/>
                <w:szCs w:val="22"/>
                <w:color w:val="auto"/>
              </w:rPr>
            </w:pPr>
          </w:p>
        </w:tc>
        <w:tc>
          <w:tcPr>
            <w:tcW w:w="3260" w:type="dxa"/>
            <w:vAlign w:val="bottom"/>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43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4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92,356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92,142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Costs of services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63"/>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43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65.5 %</w:t>
            </w:r>
          </w:p>
        </w:tc>
      </w:tr>
      <w:tr>
        <w:trPr>
          <w:trHeight w:val="317"/>
        </w:trPr>
        <w:tc>
          <w:tcPr>
            <w:tcW w:w="4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40.6 %</w:t>
            </w:r>
          </w:p>
        </w:tc>
      </w:tr>
      <w:tr>
        <w:trPr>
          <w:trHeight w:val="237"/>
        </w:trPr>
        <w:tc>
          <w:tcPr>
            <w:tcW w:w="4360" w:type="dxa"/>
            <w:vAlign w:val="bottom"/>
          </w:tcPr>
          <w:p>
            <w:pPr>
              <w:ind w:left="360"/>
              <w:spacing w:after="0"/>
              <w:rPr>
                <w:sz w:val="20"/>
                <w:szCs w:val="20"/>
                <w:color w:val="auto"/>
              </w:rPr>
            </w:pPr>
            <w:r>
              <w:rPr>
                <w:rFonts w:ascii="Arial" w:cs="Arial" w:eastAsia="Arial" w:hAnsi="Arial"/>
                <w:sz w:val="18"/>
                <w:szCs w:val="18"/>
                <w:color w:val="auto"/>
              </w:rPr>
              <w:t>Total other expenses, net</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09"/>
        </w:trPr>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57"/>
        </w:trPr>
        <w:tc>
          <w:tcPr>
            <w:tcW w:w="43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(44.4)%</w:t>
            </w: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the Six Months Ended June 30, 2019</w:t>
      </w:r>
    </w:p>
    <w:p>
      <w:pPr>
        <w:spacing w:after="0" w:line="374" w:lineRule="exact"/>
        <w:rPr>
          <w:sz w:val="20"/>
          <w:szCs w:val="20"/>
          <w:color w:val="auto"/>
        </w:rPr>
      </w:pPr>
    </w:p>
    <w:tbl>
      <w:tblPr>
        <w:tblLayout w:type="fixed"/>
        <w:tblInd w:w="240" w:type="dxa"/>
        <w:tblCellMar>
          <w:top w:w="0" w:type="dxa"/>
          <w:left w:w="0" w:type="dxa"/>
          <w:bottom w:w="0" w:type="dxa"/>
          <w:right w:w="0" w:type="dxa"/>
        </w:tblCellMar>
      </w:tblPr>
      <w:tr>
        <w:trPr>
          <w:trHeight w:val="26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80" w:type="dxa"/>
            <w:vAlign w:val="bottom"/>
            <w:shd w:val="clear" w:color="auto" w:fill="CCEEFF"/>
          </w:tcPr>
          <w:p>
            <w:pPr>
              <w:spacing w:after="0"/>
              <w:rPr>
                <w:sz w:val="22"/>
                <w:szCs w:val="22"/>
                <w:color w:val="auto"/>
              </w:rPr>
            </w:pPr>
          </w:p>
        </w:tc>
        <w:tc>
          <w:tcPr>
            <w:tcW w:w="3240" w:type="dxa"/>
            <w:vAlign w:val="bottom"/>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436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4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189,289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179,788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Costs of services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19,685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63"/>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10"/>
        </w:trPr>
        <w:tc>
          <w:tcPr>
            <w:tcW w:w="4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123.1 %</w:t>
            </w:r>
          </w:p>
        </w:tc>
      </w:tr>
      <w:tr>
        <w:trPr>
          <w:trHeight w:val="317"/>
        </w:trPr>
        <w:tc>
          <w:tcPr>
            <w:tcW w:w="43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37"/>
        </w:trPr>
        <w:tc>
          <w:tcPr>
            <w:tcW w:w="4360" w:type="dxa"/>
            <w:vAlign w:val="bottom"/>
          </w:tcPr>
          <w:p>
            <w:pPr>
              <w:ind w:left="360"/>
              <w:spacing w:after="0"/>
              <w:rPr>
                <w:sz w:val="20"/>
                <w:szCs w:val="20"/>
                <w:color w:val="auto"/>
              </w:rPr>
            </w:pPr>
            <w:r>
              <w:rPr>
                <w:rFonts w:ascii="Arial" w:cs="Arial" w:eastAsia="Arial" w:hAnsi="Arial"/>
                <w:sz w:val="18"/>
                <w:szCs w:val="18"/>
                <w:color w:val="auto"/>
              </w:rPr>
              <w:t>Total other expenses, net</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09"/>
        </w:trPr>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57"/>
        </w:trPr>
        <w:tc>
          <w:tcPr>
            <w:tcW w:w="43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6,849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320" w:top="125" w:right="5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three months ended June 30, 2020 compared to the three months ended June 30,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shd w:val="clear" w:color="auto" w:fill="CCEEFF"/>
          </w:tcPr>
          <w:p>
            <w:pPr>
              <w:spacing w:after="0"/>
              <w:rPr>
                <w:sz w:val="22"/>
                <w:szCs w:val="22"/>
                <w:color w:val="auto"/>
              </w:rPr>
            </w:pPr>
          </w:p>
        </w:tc>
        <w:tc>
          <w:tcPr>
            <w:tcW w:w="3260" w:type="dxa"/>
            <w:vAlign w:val="bottom"/>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44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1"/>
                <w:szCs w:val="21"/>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81,707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74,437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74,091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7,270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70"/>
        </w:trPr>
        <w:tc>
          <w:tcPr>
            <w:tcW w:w="4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9,010,908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10,774,149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(1,763,241)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92,842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130,146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70"/>
        </w:trPr>
        <w:tc>
          <w:tcPr>
            <w:tcW w:w="4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Commercial Payments: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6,496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5,179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97"/>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757</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(268.4)%</w:t>
            </w:r>
          </w:p>
        </w:tc>
      </w:tr>
      <w:tr>
        <w:trPr>
          <w:trHeight w:val="23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4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64,248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4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Integrated Partners: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14.6 %</w:t>
            </w:r>
          </w:p>
        </w:tc>
      </w:tr>
      <w:tr>
        <w:trPr>
          <w:trHeight w:val="27"/>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47.7 %</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16"/>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Key Indicators: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122,089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106,162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15,927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84"/>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Less: Corporate expense</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4,031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65.5 %</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400" w:type="dxa"/>
            <w:vAlign w:val="bottom"/>
          </w:tcPr>
          <w:p>
            <w:pPr>
              <w:ind w:left="40"/>
              <w:spacing w:after="0"/>
              <w:rPr>
                <w:sz w:val="20"/>
                <w:szCs w:val="20"/>
                <w:color w:val="auto"/>
              </w:rPr>
            </w:pPr>
            <w:r>
              <w:rPr>
                <w:rFonts w:ascii="Arial" w:cs="Arial" w:eastAsia="Arial" w:hAnsi="Arial"/>
                <w:sz w:val="18"/>
                <w:szCs w:val="18"/>
                <w:color w:val="auto"/>
              </w:rPr>
              <w:t>Corporate depreciation and amortization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9,197,245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10,954,840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(1,757,595)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93,251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130,538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(37,287)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(28.6)%</w:t>
            </w:r>
          </w:p>
        </w:tc>
      </w:tr>
      <w:tr>
        <w:trPr>
          <w:trHeight w:val="459"/>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920"/>
          </w:cols>
          <w:pgMar w:left="320" w:top="125" w:right="6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six months ended June 30, 2020 compared to the six months ended June 30, 2019:</w:t>
      </w:r>
    </w:p>
    <w:p>
      <w:pPr>
        <w:spacing w:after="0" w:line="104" w:lineRule="exact"/>
        <w:rPr>
          <w:sz w:val="20"/>
          <w:szCs w:val="20"/>
          <w:color w:val="auto"/>
        </w:rPr>
      </w:pPr>
    </w:p>
    <w:tbl>
      <w:tblPr>
        <w:tblLayout w:type="fixed"/>
        <w:tblInd w:w="220" w:type="dxa"/>
        <w:tblCellMar>
          <w:top w:w="0" w:type="dxa"/>
          <w:left w:w="0" w:type="dxa"/>
          <w:bottom w:w="0" w:type="dxa"/>
          <w:right w:w="0" w:type="dxa"/>
        </w:tblCellMar>
      </w:tblP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shd w:val="clear" w:color="auto" w:fill="CCEEFF"/>
          </w:tcPr>
          <w:p>
            <w:pPr>
              <w:spacing w:after="0"/>
              <w:rPr>
                <w:sz w:val="22"/>
                <w:szCs w:val="22"/>
                <w:color w:val="auto"/>
              </w:rPr>
            </w:pPr>
          </w:p>
        </w:tc>
        <w:tc>
          <w:tcPr>
            <w:tcW w:w="3240" w:type="dxa"/>
            <w:vAlign w:val="bottom"/>
            <w:gridSpan w:val="5"/>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44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1"/>
                <w:szCs w:val="21"/>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Consumer Payments: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167,738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160,463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440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153,316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145,381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14,422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15,082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400" w:type="dxa"/>
            <w:vAlign w:val="bottom"/>
          </w:tcPr>
          <w:p>
            <w:pPr>
              <w:ind w:left="1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70"/>
        </w:trPr>
        <w:tc>
          <w:tcPr>
            <w:tcW w:w="4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19,397,656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20,984,904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(1,587,248)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212,273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251,030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4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6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12,022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13,887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97"/>
        </w:trPr>
        <w:tc>
          <w:tcPr>
            <w:tcW w:w="4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(269.0)%</w:t>
            </w:r>
          </w:p>
        </w:tc>
      </w:tr>
      <w:tr>
        <w:trPr>
          <w:trHeight w:val="237"/>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margin</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44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400" w:type="dxa"/>
            <w:vAlign w:val="bottom"/>
          </w:tcPr>
          <w:p>
            <w:pPr>
              <w:ind w:left="16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136,925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400" w:type="dxa"/>
            <w:vAlign w:val="bottom"/>
          </w:tcPr>
          <w:p>
            <w:pPr>
              <w:ind w:left="26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4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54.4 %</w:t>
            </w:r>
          </w:p>
        </w:tc>
      </w:tr>
      <w:tr>
        <w:trPr>
          <w:trHeight w:val="243"/>
        </w:trPr>
        <w:tc>
          <w:tcPr>
            <w:tcW w:w="440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8,316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5,832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42.6 %</w:t>
            </w:r>
          </w:p>
        </w:tc>
      </w:tr>
      <w:tr>
        <w:trPr>
          <w:trHeight w:val="27"/>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257.8 %</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400" w:type="dxa"/>
            <w:vAlign w:val="bottom"/>
          </w:tcPr>
          <w:p>
            <w:pPr>
              <w:ind w:left="1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48.0 %</w:t>
            </w:r>
          </w:p>
        </w:tc>
      </w:tr>
      <w:tr>
        <w:trPr>
          <w:trHeight w:val="216"/>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Key Indicators: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26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246,607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140,147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106,460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76.0 %</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69.9 %</w:t>
            </w:r>
          </w:p>
        </w:tc>
      </w:tr>
      <w:tr>
        <w:trPr>
          <w:trHeight w:val="284"/>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14.9 %</w:t>
            </w:r>
          </w:p>
        </w:tc>
      </w:tr>
      <w:tr>
        <w:trPr>
          <w:trHeight w:val="243"/>
        </w:trPr>
        <w:tc>
          <w:tcPr>
            <w:tcW w:w="4400" w:type="dxa"/>
            <w:vAlign w:val="bottom"/>
          </w:tcPr>
          <w:p>
            <w:pPr>
              <w:ind w:left="160"/>
              <w:spacing w:after="0"/>
              <w:rPr>
                <w:sz w:val="20"/>
                <w:szCs w:val="20"/>
                <w:color w:val="auto"/>
              </w:rPr>
            </w:pPr>
            <w:r>
              <w:rPr>
                <w:rFonts w:ascii="Arial" w:cs="Arial" w:eastAsia="Arial" w:hAnsi="Arial"/>
                <w:sz w:val="18"/>
                <w:szCs w:val="18"/>
                <w:color w:val="auto"/>
              </w:rPr>
              <w:t>Less: Corporate expense</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(9,284)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(11,286)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7,590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123.1 %</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19,781,188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21,269,477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(1,488,289)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4400" w:type="dxa"/>
            <w:vAlign w:val="bottom"/>
          </w:tcPr>
          <w:p>
            <w:pPr>
              <w:ind w:left="16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213,155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251,580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459"/>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180"/>
          </w:cols>
          <w:pgMar w:left="320" w:top="125" w:right="3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Results and Trends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outbreak of COVID-19 in the United States, which was declared a pandemic by the World Health Organization on March 11, 2020, continues to adversely affect commercial activity and has contributed to a significant decline in economic activity. Starting in mid-March 2020, COVID-19 began to significantly affect our results. The deterioration accelerated toward the end of March and continued at that level through most of April due to restrictive shelter in place requirements instituted across the United States. In April, we experienced a significant decline in merchant bankcard volume of 31.8% as compared with the comparable period in 2019, which resulted in a decrease in our April revenues of 11.7% and revenues less costs of services of 9.3%. In May, as shelter in place restrictions began to be lifted and regional economies were reopening, our processing volumes began to return and growth was supplemented by the acceleration of certain specialized product offerings including ecommerce. This resulted in increasingly strong results in May and June. Merchant bankcard volumes in May and June were down from the comparable prior year periods by just 15.8% and 1.9%, respectively, while revenues grew 1.7% and 10.8%, respectively. Revenues less costs of services increased 3.5% and 4.5%in May and June, respectively, as compared to the prior year periods. In the second quarter of 2020:</w:t>
      </w:r>
    </w:p>
    <w:p>
      <w:pPr>
        <w:spacing w:after="0" w:line="18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Merchant bankcard volume processed in April, May and June was $2.4 billion, $3.2 billion, and $3.6 billion, respectively.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revenue in April, May and June was $26.7 million, $31.9 million, and $33.8 million, respectively.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revenue less costs of services in April, May and June was $9.1 million, $10.0 million, and $10.8 million, respectively.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Compared to Three Months Ended June 30, 2019</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consolidated revenue in second quarter 2020 increased by $0.2 million, or 0.2%, to $92.4 million from $92.1 million in second quarter 2019. Revenue growth of $0.3 million in our Consumer Payments segment and $0.8 million in our Integrated Partners segment were partially offset by a revenue decline of $0.8 million in our Commercial Payments segment. Consolidated bankcard processing dollar value and consolidated bankcard transaction volume decreased 16.0% and 28.6%, respectively, in second quarter 2020 while the average consolidated ticket price (calculated by dividing bankcard processing volume by the associated number of transactions processed) grew 17.5% to $98.63 from $83.92 compared to second quarter 2019.</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Consumer Payments segment revenue for the second quarter 2020 increased by $0.3 million, or 0.3%, compared to second quarter 2019. Despite a 16.4% decline in merchant bankcard processing dollar volume in the quarter, the revenue increase was driven by strong ecommerce growth. Ecommerce volume offers more favorable pricing to the Company than other merchant categories. The overall merchant mix also resulted in a higher average ticket.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Commercial Payments segment revenue for second quarter 2020 decreased by $0.8 million, or 13.0%, compared to second quarter 2019. This decrease was due to lower revenue from our curated managed services program, partially offset by increases in our commercial payments exchange ("CPX") accounts payable automated solutions services, which grew by 7.9% from $1.3 million in second quarter 2019 to $1.4 million in second quarter 2020. Revenue from our curated managed services programs declined by 18.2% from $5.2 million in second quarter 2019 to $4.2 million in second quarter 2020, driven by lower program activity and incentive revenue.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our Integrated Partners segment was $5.0 million for second quarter 2020 compared to $4.2 million for second quarter 2019. Priority Real Estate Technology ("PRET") comprised $4.5 million and $3.7 million of this segment's revenue in second quarter 2020 and second quarter 2019, respectively. PRET is comprised primarily of the assets acquired from YapStone, Inc. in March 2019 and the net assets acquired from RadPad Holdings, Inc. Revenue from Priority PayRight Health Solutions and Priority Hospitality Technology, whose assets we acquired in April 2018 and February 2019, respectively, comprise the remainder of this segment's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Compared to Six Months Ended June 30, 2019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revenue in the first half of 2020 increased by $9.5 million, or 5.3%, to $189.3 million from $179.8 million in first half of 2019. Revenue growth of $7.3 million in our Consumer Payments segment and $3.4 million in our Integrated Partners segments were partially offset by a decline of $1.1 million in our Commercial Payments segment. Consolidated bankcard processing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dollar value and consolidated bankcard transaction volume decreased by 7.0% and 15.3%, respectively in the first half of 2020 while the average consolidated ticket price grew 9.8% to $92.80 from $84.54 compared to first half of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Consumer Payments segment revenue in the first half of 2020 increased by $7.3 million, or 4.5%, compared to the first half of 2019. Despite a 7.6% decline in merchant bankcard processing dollar volume in the first half of 2020, the revenue increase was driven by strong ecommerce growth, particularly in the second quarter of 2020. Ecommerce volume offers more favorable pricing to the Company than other merchant categories. The overall merchant mix also resulted in a higher average ticket.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Commercial Payments segment revenue for the first half of 2020 decreased by $1.1 million, or 8.6%, compared to the first half of 2019. This decrease was due to lower revenues from our curated managed services program, partially offset by increases in our CPX accounts payable automated solutions services, which grew by $0.5 million from $2.5 million in the first half of 2019 to $3.0 million in the first half of 2020. Revenue from our curated managed services program declined by $1.6 million from $10.6 million in the first half of 2019 to $9.0 million in the first half of 2020, driven by lower program activity and incentive revenue in 2020.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Integrated Partners segment revenue for the first half of 2020 increased by $3.4 million, or 54.4%, compared to the first half of 2019. PRET comprised $8.5 million and $5.3 million of this segment's revenue in the first half of 2020 and the first half of 2019, respectively. PRET's revenues in the first half of 2019 began to reflect revenue from the YapStone assets which were acquired in March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Compared to Three Months Ended June 30, 2019</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consolidated operating expenses decreased $1.4 million, or 1.5%, from $89.7 million in second quarter 2019 to $88.3 million in second quarter 2020. This overall decrease was driven by a $0.8 million reduction in salary and employee benefit expenses due primarily to reduced headcount. At June 30, 2020 we had 537 full-time equivalent employees compared to 575 at June 30, 2019. Selling, general and administrative ("SG&amp;A") expenses decreased by $1.6 million attributable mainly to decreases in office and travel-related costs due to the COVID-19 pandemic, lower outside professional fees due to in-sourcing of certain services, and an overall focus on cost containment. Partially offsetting these decreases was an increase in depreciation and amortization expense of $0.6 million, or 6.2%, caused by higher amortization expense in 2020 from acquired intangible assets and internally-developed software. Consolidated operating expenses in the second quarter 2020 and the second quarter 2019 included non-recurring expenses of $1.4 million and $1.6 million, respectively.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Compared to Six Months Ended June 30, 2019</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consolidated operating expenses increased by $5.3 million, or 3.0%, from $176.4 million in the first half of 2019 to $181.7 million in the first half of 2020. This overall increase was driven by higher revenues of 5.3%, which was reflected in the corresponding increase of $6.7 million, or 5.4%, for costs of services. Depreciation and amortization expense also increased $1.9 million, or 10.4%, due to higher amortization expense in 2020 from acquired intangible assets and internally-developed software. Partially offsetting these increases in the first half of 2020 were decreases in salary and employee benefits and in SG&amp;A expenses. Salary and employee benefits decreased by $1.6 million, or 7.4%, in the first half of 2020 due to lower headcount. SG&amp;A expenses decreased by $1.7 million attributable mainly to decreases in office and travel-related costs beginning in mid-March 2020 due to the COVID-19 pandemic, lower outside professional fees due to in-sourcing of certain services, and an overall focus on cost containment. Consolidated operating expenses in the first half of 2020 and the first half of 2019 included non-recurring expenses of $2.8 million for both periods.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Compared to Three Months Ended June 30,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income from operations increased by $1.6 million, or 65.5%, from $2.4 million for second quarter 2019 to $4.0 million for second quarter 2020. Our consolidated operating margin for second quarter 2020 was 4.4% compared to 2.6% for second quarter 2019. This margin increase was the result of lower salary and employee benefits of $0.8 million and lower SG&amp;A expense of $1.6 million, partially offset by higher depreciation and amortization expense of $0.6 million and lower revenue less costs of services of $0.2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Consumer Payments segment contributed $7.3 million in income from operations for second quarter 2020, a slight decrease of $0.1 million, or 1.3%, from $7.4 million for second quarter 2019. A $0.6 million increase in depreciation and amortization expense primarily related to residual rights of acquired merchant portfolios and internally-developed software was offset by a $0.7 million decrease in salaries and employee benefits and a $0.6 million decrease in SG&amp;A expenses.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Commercial Payments segment earned income from operations of $0.5 million for second quarter 2020 compared to a loss from operations of $0.3 million for second quarter 2019. This improvement was largely driven by a $0.2 million decrease in salaries and employee benefits and a $0.6 million decrease in SG&amp;A expenses.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Integrated Partners segment contributed $0.8 million in income from operations for second quarter 2020 compared to $0.6 million for second quarter 2019. This improvement was largely attributable to growth in electronic rent payments revenue within PRET. Operating results for second quarter 2020 and second quarter 2019 included depreciation and amortization expense of $1.3 million and $1.1 million, respectively, primarily related to the acquired YapStone assets. Other operating expenses in second quarter 2020 and second quarter 2019 also included expenses for transition services related to the acquired YapStone assets of $0.8 million and $0.7 million, respectively.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expenses were $4.6 million for second quarter 2020, a decrease of $0.7 million, or 12.6%, from expenses of $5.2 million for second quarter 2019. This decline in Corporate expenses was due primarily to a $0.6 million decrease in SG&amp;A expenses. Corporate expenses that we deem to be non-recurring in nature were $0.5 million and $0.8 million for second quarter 2020 and second quarter 2019, respectively.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Compared to Six Months Ended June 30, 2019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income from operations increased by $4.2 million, or 123.1%, from $3.4 million for the first half of 2019 to $7.6 million for the first half of 2020. Our consolidated operating margin for the first half of 2020 was 4.0% compared to 1.9% for the first half of 2019. This margin increase was the result of higher revenues less costs of services of $2.8 million, lower salary and employee benefits of $1.6 million, and lower SG&amp;A expenses of $1.7 million, partially offset by higher depreciation and amortization expense of $1.9 million.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Consumer Payments segment contributed $14.4 million in income from operations for the first half of 2020, a decrease of $0.7 million, or 4.4%, from the $15.1 million for the first half of 2019. This decrease was the result of lower revenue less costs of services of $0.5 million and a $1.3 million increase in depreciation and amortization expenses primarily related to residual rights of acquired merchant portfolios and internally-developed software, which were partially offset by a $1.0 million decrease in salaries and employee benefits expenses and a $0.1 million decrease in SG&amp;A expenses.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Commercial Payments segment earned income from operations of $1.2 million for the first half of 2020 compared to a loss from operations of $0.7 million for the first half of 2019. This improvement was driven by a $0.6 million improvement in revenues less costs of services, a $0.3 million decrease in salaries and employee benefits expenses, and a $1.0 million decrease in SG&amp;A expenses.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Integrated Partners segment contributed $1.2 million in income from operations for the first half of 2020 compared to $0.3 million in the first half of 2019. The growth in 2020 was largely attributable to the YapStone assets acquired in late first quarter of 2019. Operating results for the first half of 2020 and the first half of 2019 included depreciation and amortization expense of $2.6 million and $1.8 million, respectively, primarily related to the acquired YapStone assets. Other operating expenses in the first half of 2020 and the first half of 2019 also included $1.7 million and $0.7 million, respectively, for transition services related to the assets acquired from YapStone, Inc.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expenses were $9.3 million for the first half of 2020, a decrease of $2.0 million, or 17.7%, from expenses of $11.3 million for the first half of 2019. The decline in Corporate expenses was due primarily to a $1.6 million decrease in SG&amp;A expenses. Corporate expenses that we deem to be non-recurring in nature were $1.0 million and $2.0 million in the first half of 2020 and the first half of 2019, respectively.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 second quarter 2020, interest expense increased by $0.9 million, or 8.3%, to $11.7 million from $10.8 million in second quarter 2019. For the first half of 2020, interest expense increased $1.8 million, or 9.2%, to $22.0 million from $20.1 million in the first half of 2019. These increases in 2020 were primarily due to higher outstanding borrowings driven by draws on the revolving credit facility and increases in the applicable margins on the Senior Credit Agreement and the GS Credit Agreement that resulted from the Sixth Amendment in March 2020. The amortization of deferred financing costs and debt discounts increased our reported interest expense and the effective interest rates under our Senior Credit Agreement and GS Credit Agreement, as disclosed in Note 8, </w:t>
      </w:r>
      <w:r>
        <w:rPr>
          <w:rFonts w:ascii="Arial" w:cs="Arial" w:eastAsia="Arial" w:hAnsi="Arial"/>
          <w:sz w:val="18"/>
          <w:szCs w:val="18"/>
          <w:i w:val="1"/>
          <w:iCs w:val="1"/>
          <w:color w:val="auto"/>
        </w:rPr>
        <w:t>Debt Obligations</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22222"/>
        </w:rPr>
        <w:t xml:space="preserve">We assess all available positive and negative evidence to estimate whether sufficient taxable income will be generated in the future to permit use of the existing deferred tax assets. ASC 740, </w:t>
      </w:r>
      <w:r>
        <w:rPr>
          <w:rFonts w:ascii="Arial" w:cs="Arial" w:eastAsia="Arial" w:hAnsi="Arial"/>
          <w:sz w:val="17"/>
          <w:szCs w:val="17"/>
          <w:i w:val="1"/>
          <w:iCs w:val="1"/>
          <w:color w:val="222222"/>
        </w:rPr>
        <w:t>Income Taxes</w:t>
      </w:r>
      <w:r>
        <w:rPr>
          <w:rFonts w:ascii="Arial" w:cs="Arial" w:eastAsia="Arial" w:hAnsi="Arial"/>
          <w:sz w:val="17"/>
          <w:szCs w:val="17"/>
          <w:color w:val="222222"/>
        </w:rPr>
        <w:t xml:space="preserve"> ("ASC 740"), requires that all sources of future taxable income be considered in making this determination. The Tax Cuts and Jobs Act of 2017 amended section 163(j) of the Internal Revenue Code. </w:t>
      </w:r>
      <w:r>
        <w:rPr>
          <w:rFonts w:ascii="Arial" w:cs="Arial" w:eastAsia="Arial" w:hAnsi="Arial"/>
          <w:sz w:val="17"/>
          <w:szCs w:val="17"/>
          <w:color w:val="000000"/>
        </w:rPr>
        <w:t>Section 163(j), as amended, limits the business</w:t>
      </w:r>
      <w:r>
        <w:rPr>
          <w:rFonts w:ascii="Arial" w:cs="Arial" w:eastAsia="Arial" w:hAnsi="Arial"/>
          <w:sz w:val="17"/>
          <w:szCs w:val="17"/>
          <w:color w:val="222222"/>
        </w:rPr>
        <w:t xml:space="preserve"> </w:t>
      </w:r>
      <w:r>
        <w:rPr>
          <w:rFonts w:ascii="Arial" w:cs="Arial" w:eastAsia="Arial" w:hAnsi="Arial"/>
          <w:sz w:val="17"/>
          <w:szCs w:val="17"/>
          <w:color w:val="000000"/>
        </w:rPr>
        <w:t>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 In March 2020, the Coronavirus Aid, Relief, and Economic Security Act ("CARES Act") was enacted, which among other provisions, provides for the increase of the 163(j) ATI limitation from 30% to 50% for tax years 2019 and 2020.</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With respect to recording a deferred tax benefit for the carryforward of business interest expense, GAAP applies a "more likely than not" threshold for assessing recoverability. </w:t>
      </w:r>
      <w:r>
        <w:rPr>
          <w:rFonts w:ascii="Arial" w:cs="Arial" w:eastAsia="Arial" w:hAnsi="Arial"/>
          <w:sz w:val="17"/>
          <w:szCs w:val="17"/>
          <w:color w:val="222222"/>
        </w:rPr>
        <w:t>On the basis of our assessment, during second quarter 2020, second quarter 2019, the first half of 2020, and the first half of 2019,</w:t>
      </w:r>
      <w:r>
        <w:rPr>
          <w:rFonts w:ascii="Arial" w:cs="Arial" w:eastAsia="Arial" w:hAnsi="Arial"/>
          <w:sz w:val="17"/>
          <w:szCs w:val="17"/>
          <w:color w:val="auto"/>
        </w:rPr>
        <w:t xml:space="preserve"> </w:t>
      </w:r>
      <w:r>
        <w:rPr>
          <w:rFonts w:ascii="Arial" w:cs="Arial" w:eastAsia="Arial" w:hAnsi="Arial"/>
          <w:sz w:val="17"/>
          <w:szCs w:val="17"/>
          <w:color w:val="222222"/>
        </w:rPr>
        <w:t xml:space="preserve">we recorded increases in the deferred income tax valuation allowance of $2.2 million, $5.3 million, $4.2 million, and $5.3 million, respectively, associated with excess business interest for the then-current reporting periods. During second quarter 2019 and in the first half of 2019, we recorded discrete increases to the valuation allowance of $2.6 million for excess business interest related to a prior year(s). In the first half of 2020 we recorded a decrease to the valuation allowance of $1.5 million for business interest related to 2019 as a result of the CARES Act. </w:t>
      </w:r>
      <w:r>
        <w:rPr>
          <w:rFonts w:ascii="Arial" w:cs="Arial" w:eastAsia="Arial" w:hAnsi="Arial"/>
          <w:sz w:val="17"/>
          <w:szCs w:val="17"/>
          <w:color w:val="000000"/>
        </w:rPr>
        <w:t>These provisions and adjustments are a component</w:t>
      </w:r>
      <w:r>
        <w:rPr>
          <w:rFonts w:ascii="Arial" w:cs="Arial" w:eastAsia="Arial" w:hAnsi="Arial"/>
          <w:sz w:val="17"/>
          <w:szCs w:val="17"/>
          <w:color w:val="222222"/>
        </w:rPr>
        <w:t xml:space="preserve"> </w:t>
      </w:r>
      <w:r>
        <w:rPr>
          <w:rFonts w:ascii="Arial" w:cs="Arial" w:eastAsia="Arial" w:hAnsi="Arial"/>
          <w:sz w:val="17"/>
          <w:szCs w:val="17"/>
          <w:color w:val="000000"/>
        </w:rPr>
        <w:t>of our income tax benefit reported on our consolidated statements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We will continue to evaluate the realizability of the net deferred tax asset on a quarterly basis and, as a result, the valuation allowance may change in future periods.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compute our interim period income tax expense or benefit by using a forecasted estimated annual effective tax rate ("EAETR") and adjust for any discrete items arising during the interim period and any changes in our projected full-year business interest expense and taxable income. The EAETR for 2020 is a tax benefit of 5.0% and includes the income tax benefit on pre-tax losses, offset by a tax provision related to establishment of a valuation allowance for deferred income tax on the 2020 portion of the Section 163(j) limitation, and a tax provision adjustment related to the release of a portion of our valuation allowance on our 2019 Section 163(j) limitation as a result of the CARES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Certain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We periodically review the following key non-GAAP measures to evaluate our business and trends, measure our performance, prepare financial projections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212529"/>
        </w:rPr>
        <w:t>EBITDA, which represents net loss before interest, income tax, and depreciation and amortization, is reconciled to net loss calculated under GAAP.</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Adjusted EBITDA starts with EBITDA and further adjusts for certain non-cash, non-recurring or non-core expenses including: 1) stock-based compensation; 2) debt modification expenses; 2) write-off of an equity-method investment; 3) certain legal expenses; 4) certain professional, accounting and consulting fees; and 5) temporary transition services related to the YapStone asset acquisition.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In addition, the financial covenants under the debt agreements of the Company's subsidiaries (the "Borrowers") are based on a non-GAAP measure referred to as Consolidated Adjusted EBITDA. The calculation of Consolidated Adjusted EBITDA starts with Adjusted EBITDA and further adjusts for the pro-forma impact of acquisitions and residual streams and run rate adjustments for certain contracted savings on an annualized basis, other consulting and professional fees, and other tax expenses and other adjustments, which are not included as adjustments to Adjusted EBITDA.</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and Consolidated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may differ from the methods used by other companies to calculate their non-GAAP measures.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from operations for all reporting periods presented herein included certain SG&amp;A expenses that we consider to be non-recurring in nature, including transition services from YapStone, Inc. related to integration of the March 2019 asset acquisition and certain legal and professional expenses related to non-recurring matters. These expenses totaled $1.4 million and $2.8 million for the three months and six months ended June 30, 2020, respectively, and $1.6 million $2.8 million for the three months and six months ended June 30, 2019, respectively, as disclosed in the reconciliation table presented below.</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non-GAAP reconciliations of EBITDA, Adjusted EBITDA, and Consolidated Adjusted EBITDA to consolidated net loss, the most directly comparable financial measure calculated and presented in accordance with GAAP, include adjustments for these and certain other items, are shown in the table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shd w:val="clear" w:color="auto" w:fill="CCEEFF"/>
          </w:tcPr>
          <w:p>
            <w:pPr>
              <w:spacing w:after="0"/>
              <w:rPr>
                <w:sz w:val="22"/>
                <w:szCs w:val="22"/>
                <w:color w:val="auto"/>
              </w:rPr>
            </w:pPr>
          </w:p>
        </w:tc>
        <w:tc>
          <w:tcPr>
            <w:tcW w:w="290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shd w:val="clear" w:color="auto" w:fill="CCEEFF"/>
          </w:tcPr>
          <w:p>
            <w:pPr>
              <w:spacing w:after="0"/>
              <w:rPr>
                <w:sz w:val="22"/>
                <w:szCs w:val="22"/>
                <w:color w:val="auto"/>
              </w:rPr>
            </w:pPr>
          </w:p>
        </w:tc>
        <w:tc>
          <w:tcPr>
            <w:tcW w:w="272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43"/>
        </w:trPr>
        <w:tc>
          <w:tcPr>
            <w:tcW w:w="50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5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(7,858)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(14,130)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(13,727)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(20,576)</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20,139</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18,686</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4,204</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EBITDA (non-GAAP)</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14,588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28,073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22,453</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Add: Non-cash stock-based compensation</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2,183</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Non-recurring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Debt modification expenses</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Write-off of an equity-method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Certain legal services (2)</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885</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Professional, accounting and consulting fees (3)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YapStone transition services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747</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27,398</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Further adjusted by: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Pro-forma impact of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3,175</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752</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Other adjustments and tax expenses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Consolidated Adjusted EBITDA (non-GAAP) (4)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15,342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31,161</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expense includes amortization of debt issuance costs and discount.</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Legal expenses related to business and asset acquisition activity, settlement negotiation and other litigation expenses.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transaction-related, capital markets and accounting advisory services.</w:t>
      </w:r>
    </w:p>
    <w:p>
      <w:pPr>
        <w:spacing w:after="0" w:line="194" w:lineRule="exact"/>
        <w:rPr>
          <w:rFonts w:ascii="Arial" w:cs="Arial" w:eastAsia="Arial" w:hAnsi="Arial"/>
          <w:sz w:val="16"/>
          <w:szCs w:val="16"/>
          <w:color w:val="auto"/>
        </w:rPr>
      </w:pPr>
    </w:p>
    <w:p>
      <w:pPr>
        <w:jc w:val="both"/>
        <w:ind w:firstLine="8"/>
        <w:spacing w:after="0" w:line="272" w:lineRule="auto"/>
        <w:tabs>
          <w:tab w:leader="none" w:pos="245"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Presented to reflect the definition in the Company's credit agreements, as amended. Until December 31, 2019, the Consolidated Adjusted EBITDA of the borrowers under the credit agreements excluded expenses of Priority Technology Holdings, Inc., which is neither a borrower nor a guarantor under the credit agreements, subsequent to its acquisition of Priority Holdings, LLC on July 25, 2018. Effective December 31, 2019, in accordance with the Sixth Amendment, the Consolidated Adjusted EBITDA of the borrowers under the credit agreements includes expenses of Priority Technology Holdings, Inc. Consolidated Adjusted EBITDA of the borrowers was approximately $18.9 million and $38.4 million for the three months and six months ended June 30, 2019, respectively. The amounts for the three months and six months ended June 30, 2019 excluded $3.6 million and $7.2 million, respectively, of expenses of Priority Technology Holdings, Inc.</w:t>
      </w:r>
    </w:p>
    <w:p>
      <w:pPr>
        <w:spacing w:after="0" w:line="172" w:lineRule="exact"/>
        <w:rPr>
          <w:rFonts w:ascii="Arial" w:cs="Arial" w:eastAsia="Arial" w:hAnsi="Arial"/>
          <w:sz w:val="15"/>
          <w:szCs w:val="15"/>
          <w:color w:val="auto"/>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Compared to our consolidated balance sheet as of December 31, 2019, the following key changes have occurred at June 30,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Cash increased by $0.5 million during the first half of 2020. Excluding restricted cash, the increase was $2.6 million. For an explanation of the key drivers of this change, see the subsequent section,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net of accumulated amortization, decreased during the first half of 2020 by $14.1 million due to amortization expense of $16.9 million, partially offset by $3.3 million payment for additions to intangible assets during the first half of 2020.</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Outstanding amounts for our debt obligations under our Senior Credit Agreement and our GS Credit Agreement increased by a net of $4.4 million during the first half of 2020. This increase was driven by additional net borrowings of $3.0 million on the revolving facility under our Senior Credit Agreement and PIK interest of $3.3 million and $0.2 million added to the amount outstanding under our GS Credit Agreement and Senior Credit Agreement, respectively. This overall increase was partially offset by $2.0 million of principal repayment on the term facility of our Senior Credit Agreement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Deficit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Stockholders' deficit attributable to the stockholders of the Company changed by $12.8 million, from a deficit of $126.3 million at December 31, 2019 to a deficit of $139.2 million at June 30, 2020. The primary driver of this change was the net loss of $13.7 million for the first half of 2020 million, partially offset by a $0.9 million increase to additional paid-in capital for equity-based stock compensation.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facility are sufficient to meet our working capital requirements for at least the next twelve months. This is based upon </w:t>
      </w:r>
      <w:r>
        <w:rPr>
          <w:rFonts w:ascii="Arial" w:cs="Arial" w:eastAsia="Arial" w:hAnsi="Arial"/>
          <w:sz w:val="17"/>
          <w:szCs w:val="17"/>
          <w:color w:val="212529"/>
        </w:rPr>
        <w:t>management’s estimates and assumptions utilizing the most currently</w:t>
      </w:r>
      <w:r>
        <w:rPr>
          <w:rFonts w:ascii="Arial" w:cs="Arial" w:eastAsia="Arial" w:hAnsi="Arial"/>
          <w:sz w:val="17"/>
          <w:szCs w:val="17"/>
          <w:color w:val="auto"/>
        </w:rPr>
        <w:t xml:space="preserve"> </w:t>
      </w:r>
      <w:r>
        <w:rPr>
          <w:rFonts w:ascii="Arial" w:cs="Arial" w:eastAsia="Arial" w:hAnsi="Arial"/>
          <w:sz w:val="17"/>
          <w:szCs w:val="17"/>
          <w:color w:val="212529"/>
        </w:rPr>
        <w:t xml:space="preserve">available information </w:t>
      </w:r>
      <w:r>
        <w:rPr>
          <w:rFonts w:ascii="Arial" w:cs="Arial" w:eastAsia="Arial" w:hAnsi="Arial"/>
          <w:sz w:val="17"/>
          <w:szCs w:val="17"/>
          <w:color w:val="000000"/>
        </w:rPr>
        <w:t>regarding the</w:t>
      </w:r>
      <w:r>
        <w:rPr>
          <w:rFonts w:ascii="Arial" w:cs="Arial" w:eastAsia="Arial" w:hAnsi="Arial"/>
          <w:sz w:val="17"/>
          <w:szCs w:val="17"/>
          <w:color w:val="212529"/>
        </w:rPr>
        <w:t xml:space="preserve"> effects of the COVID-19 pandemic on our financial results. </w:t>
      </w:r>
      <w:r>
        <w:rPr>
          <w:rFonts w:ascii="Arial" w:cs="Arial" w:eastAsia="Arial" w:hAnsi="Arial"/>
          <w:sz w:val="17"/>
          <w:szCs w:val="17"/>
          <w:color w:val="000000"/>
        </w:rPr>
        <w:t>Actual future results could differ materially, as</w:t>
      </w:r>
      <w:r>
        <w:rPr>
          <w:rFonts w:ascii="Arial" w:cs="Arial" w:eastAsia="Arial" w:hAnsi="Arial"/>
          <w:sz w:val="17"/>
          <w:szCs w:val="17"/>
          <w:color w:val="212529"/>
        </w:rPr>
        <w:t xml:space="preserve"> the magnitude, duration and effects of the COVID-19 pandemic are difficult to predict, and ultimately could negatively impact our liquidity, capital resources, and debt covenant compliance.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administrative costs, and debt service.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working capital, defined as current assets less current liabilities, was $(4.8) million and $1.2 million at June 30, 2020 and December 31, 2019, respectively. As of June 30, 2020, we had cash totaling $5.9 million compared to $3.2 million at December 31, 2019. These balances do not include restricted cash, which reflects cash accounts holding customer settlement funds of $45.1 million at June 30, 2020 and $47.2 million at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approximately $10.5 million was available under the revolving credit facility of our Senior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narrative reflect our changes in cash flows for the comparative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(dollars in thousands)</w:t>
            </w:r>
          </w:p>
        </w:tc>
        <w:tc>
          <w:tcPr>
            <w:tcW w:w="220" w:type="dxa"/>
            <w:vAlign w:val="bottom"/>
          </w:tcPr>
          <w:p>
            <w:pPr>
              <w:spacing w:after="0"/>
              <w:rPr>
                <w:sz w:val="20"/>
                <w:szCs w:val="20"/>
                <w:color w:val="auto"/>
              </w:rPr>
            </w:pPr>
          </w:p>
        </w:tc>
        <w:tc>
          <w:tcPr>
            <w:tcW w:w="25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4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63"/>
        </w:trPr>
        <w:tc>
          <w:tcPr>
            <w:tcW w:w="47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3,720</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(89,776)</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79,437</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(6,619)</w:t>
            </w: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which includes changes in restricted cash, in the first half of 2020 was $9.8 million compared to net cash provided by operating activities of $3.7 million for the first half of 2019. This $6.1 million increase for the first half of 2020 was principally the result of higher cash flows from operations and changes in assets and liabilities, partially offset by a decrease in restricted cash flows.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$7.5 million and $89.8 million for the first half of 2020 and the first half of 2019, respectively. Cash used in investing activities for the first half of 2019 included $15.8 million used for residual buyouts and $63.8 million used to acquire certain intangible assets from YapStone. Cash used to acquire property, equipment, and software amounted to $4.2 million and $5.4 million for the first half of 2020 and first half of 2019,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financing activities was $1.8 million for the first half of 2020 compared to cash provided of $79.4 million in the first half of 2019. The amount for the first half of 2019 included new borrowings under our Senior Credit Agreement consisting of $14.0 million under the revolving facility and a $69.7 million delayed draw under the term facility that was used to acquire certain assets from YapStone, Inc.</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for the most of the first quarter of 2020 were not significantly impacted by the COVID-19 pandemic since the economic consequences of the pandemic did not begin to materially impact consumer payment transactions in the United States until the last half of March 2020. Beginning in mid-March, however, the pandemic began to negatively impact our daily consumer payment processing volumes as the pandemic spread across the United States and restrictive shelter in place requirements were instituted.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mid-April 2020, we implemented several actions to reduce expenses and preserve cash in order to mitigate the financial impact of COVID-19. We continue to closely monitor the effects of the pandemic on our financial results, and will take additional cost-saving actions, if necessary, to further mitigate its impact.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current assessment is that we anticipate cash on hand, funds generated from operations and available borrowings under our revolving credit facility to be sufficient to meet our working capital requirements, and that we will remain in compliance with our debt covenants. However, </w:t>
      </w:r>
      <w:r>
        <w:rPr>
          <w:rFonts w:ascii="Arial" w:cs="Arial" w:eastAsia="Arial" w:hAnsi="Arial"/>
          <w:sz w:val="18"/>
          <w:szCs w:val="18"/>
          <w:color w:val="212529"/>
        </w:rPr>
        <w:t>the ongoing magnitude,</w:t>
      </w:r>
      <w:r>
        <w:rPr>
          <w:rFonts w:ascii="Arial" w:cs="Arial" w:eastAsia="Arial" w:hAnsi="Arial"/>
          <w:sz w:val="18"/>
          <w:szCs w:val="18"/>
          <w:color w:val="auto"/>
        </w:rPr>
        <w:t xml:space="preserve"> </w:t>
      </w:r>
      <w:r>
        <w:rPr>
          <w:rFonts w:ascii="Arial" w:cs="Arial" w:eastAsia="Arial" w:hAnsi="Arial"/>
          <w:sz w:val="18"/>
          <w:szCs w:val="18"/>
          <w:color w:val="212529"/>
        </w:rPr>
        <w:t>duration and effects of the COVID-19 pandemic on our future results of operation, cash flows, and financial condition are difficult to predict at this time, and our current assessment is subject to material revision.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other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condensed consolidated financial statements in Part I, Item 1 of this Quarterly Report on Form 10-Q for disclosure information about potential contingent payments that we may be required to make in future periods that are not required to be recognized in our consolidated balance sheets as of June 30, 2020 or December 31,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There have been no significant changes to our contractual obligations and commitments compared to those disclosed in "Management's Discussion and Analysis of Financial Condition and Results of Operations of Priority" included in the Annual Report for the year ended December 31, 2019, except for changes in minimum principal repayments under our Senior Credit Agreement. For an updated schedule of debt repayments, see Note 8, </w:t>
      </w:r>
      <w:r>
        <w:rPr>
          <w:rFonts w:ascii="Arial" w:cs="Arial" w:eastAsia="Arial" w:hAnsi="Arial"/>
          <w:sz w:val="17"/>
          <w:szCs w:val="17"/>
          <w:i w:val="1"/>
          <w:iCs w:val="1"/>
          <w:color w:val="auto"/>
        </w:rPr>
        <w:t>Debt Obligations</w:t>
      </w:r>
      <w:r>
        <w:rPr>
          <w:rFonts w:ascii="Arial" w:cs="Arial" w:eastAsia="Arial" w:hAnsi="Arial"/>
          <w:sz w:val="17"/>
          <w:szCs w:val="17"/>
          <w:color w:val="auto"/>
        </w:rPr>
        <w:t>, to the unaudited condensed consolidated financial statements contained in Part 1, Item 1 of this Quarterly Report on Form 10-Q.</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 the unaudited condensed consolidated financial statements contained in Part I, Item 1 of this Quarterly Report on Form 10-Q.</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most recent Annual Report on Form 10-K. There have been no material changes to these critical accounting policies and estimates as of June 30,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From time to time, new accounting pronouncements are issued by the Financial Accounting Standards Board or other standards setting bodies that may affect our current and/or future financial statements. See Note 1, </w:t>
      </w:r>
      <w:r>
        <w:rPr>
          <w:rFonts w:ascii="Arial" w:cs="Arial" w:eastAsia="Arial" w:hAnsi="Arial"/>
          <w:sz w:val="18"/>
          <w:szCs w:val="18"/>
          <w:i w:val="1"/>
          <w:iCs w:val="1"/>
          <w:color w:val="auto"/>
        </w:rPr>
        <w:t>Basis of Presentation and Significant Accounting Policies</w:t>
      </w:r>
      <w:r>
        <w:rPr>
          <w:rFonts w:ascii="Arial" w:cs="Arial" w:eastAsia="Arial" w:hAnsi="Arial"/>
          <w:sz w:val="18"/>
          <w:szCs w:val="18"/>
          <w:color w:val="auto"/>
        </w:rPr>
        <w:t>, to our unaudited condensed consolidated financial statements included in Part 1, Item 1 of this Quarterly Report on Form 10-Q for a discussion of recently issued accounting pronouncements not yet adopted.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quantitative and qualitative disclosures about market risk, see Item 7A, "Quantitative and Qualitative Disclosures About Market Risk," of our Annual Report on Form 10-K for the year ended December 31, 2019. Our exposures to market risk have not changed materially since December 31, 2019.</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We maintain disclosure controls and procedures, as defined in Rules 13a-15(e) and 15d-15(e) of the Securities Exchange Act of 1934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and chief financial officer (CFO) and, as appropriate, to allow timely decisions regarding required disclosures.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Management, with the participation of the CEO and CFO, has evaluated the effectiveness of the Company's disclosure controls and procedures as of June 30, 2020. Based on that evaluation, the Company's CEO and CFO concluded that the Company's disclosure controls and procedures were not effective as of June 30, 2020 due to the material weaknesses in our internal control over financial reporting that were most recently described in the Report of Management on Internal Control Over Financial Reporting in Item 9A, "Controls and Procedures," of our Annual Report on Form 10-K for the year ended December 31, 2019.</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212529"/>
        </w:rPr>
        <w:t>b) Remediation of Material Weakness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As a result of these weaknesses, in December 2018 the Company hired an experienced Chief Financial Officer with significant public accounting and reporting experience and has hired additional accounting and finance staff with significant public accounting and reporting experience. We also engaged third party consultants to assist in the preparation of our financial statements and SEC disclosures.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Beginning in 2019, we implemented additional policies and procedures to enhance our internal controls with respect to timely reconciliations. As we continue to evaluate and improve our internal controls over financial reporting, additional measures to remediate the material weaknesses or modifications to certain of the remediation procedures described above may be necessary, including improvements to, or replacement of, the accounting and financial reporting system.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Management is committed to improving our internal control processes and meets with our Audit Committee on a regular basis to monitor the status of remediation activities. Management believes that, once fully completed, the measures described above should remediate the material weaknesses identified and strengthen our internal control over financial reporting.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212529"/>
        </w:rPr>
        <w:t>c) Changes in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In response to the COVID-19 pandemic, most of our employees have been working remotely since mid-March 2020. We determined that no material changes were necessary to ensure that our internal control over financial reporting addresses risks of working in a remote environment. We are continually monitoring and assessing the COVID-19 potential effects on the effectiveness of our internal control over financial reporting. There were no changes in the Company’s internal control over financial reporting during the second quarter of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certain legal proceedings and claims which occur in the normal course of our business. We are not currently a party to any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there have been no material changes to the risk factors previously disclosed in our Annual Report on Form 10-K, except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business has been and is likely to continue to be negatively affected by the recent COVID-19 outbreak.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The outbreak of COVID-19 in the United States, which was declared a pandemic by the World Health Organization on March 11, 2020, continues to adversely affect commercial activity and has contributed to significant declines in economic activity. Starting in mid-March 2020, COVID-19 began to significantly affect our results. The deterioration accelerated toward the end of March and has adversely affected and is likely to have a further negative effect on our near-term financial results due to reduced consumer spending upon which our revenues depend.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12529"/>
        </w:rPr>
        <w:t>In particular, the COVID-19 pandemic has affected a number of operational factors,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Merchant temporary closures and failures;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and/or worsening unemployment which may negatively influence consumer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Third-party disruptions, including potential outages at network providers, and other suppliers;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cyber and payment fraud risk.</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These factors may remain prevalent for a significant period of time and may continue to adversely affect our business, results of operations and financial condition even after the COVID-19 pandemic has subsided. The full effects of the COVID-19 pandemic on our business, results of operations, financial condition and cash flows will depend on future developments, which are highly uncertain and difficult to predict at this time, including, but not limited to, the duration and spread of the pandemic, its severity, the restrictive actions taken to contain the virus or treat its effects, its effects on our customers and how quickly and to what extent normal economic and operating conditions, operations and demand for our services can resume. It is also likely that the current outbreak or continued spread of COVID-19 will cause an economic slowdown, and it is possible that it could cause a recession. Accordingly, while we expect that the COVID-19 pandemic will have an adverse effect on our revenues and financial results for the remainder of 2020, the ultimate effects on our operations, financial condition and cash flows cannot be determined at this time.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Furthermore, the COVID-19 pandemic and the resulting adverse and unpredictable economic conditions are likely to implicate or exacerbate other risks identified in our Annual Report on Form 10-K for the year ended December 31, 2019, which in turn could materially adversely affect our business, financial condition,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139"/>
          </w:cols>
          <w:pgMar w:left="320" w:top="125" w:right="1440"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5320" w:type="dxa"/>
            <w:vAlign w:val="bottom"/>
          </w:tcPr>
          <w:p>
            <w:pPr>
              <w:spacing w:after="0"/>
              <w:rPr>
                <w:sz w:val="17"/>
                <w:szCs w:val="17"/>
                <w:color w:val="auto"/>
              </w:rPr>
            </w:pPr>
          </w:p>
        </w:tc>
      </w:tr>
      <w:tr>
        <w:trPr>
          <w:trHeight w:val="519"/>
        </w:trPr>
        <w:tc>
          <w:tcPr>
            <w:tcW w:w="780" w:type="dxa"/>
            <w:vAlign w:val="bottom"/>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31.1</w:t>
              </w:r>
            </w:hyperlink>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Certification of Chief Executive Officer pursuant to Rule 13a-14 and Rule 15d-14(a),</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promulgated under the Securities and Exchange Act of 1934, as amended.</w:t>
              </w:r>
            </w:hyperlink>
          </w:p>
        </w:tc>
      </w:tr>
      <w:tr>
        <w:trPr>
          <w:trHeight w:val="256"/>
        </w:trPr>
        <w:tc>
          <w:tcPr>
            <w:tcW w:w="780" w:type="dxa"/>
            <w:vAlign w:val="bottom"/>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31.2</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Certification of Chief Financial Officer pursuant to Rule 13a-14 and Rule 15d-14(a),</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promulgated under the Securities and Exchange Act of 1934, as amended.</w:t>
              </w:r>
            </w:hyperlink>
          </w:p>
        </w:tc>
      </w:tr>
      <w:tr>
        <w:trPr>
          <w:trHeight w:val="256"/>
        </w:trPr>
        <w:tc>
          <w:tcPr>
            <w:tcW w:w="780" w:type="dxa"/>
            <w:vAlign w:val="bottom"/>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32</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6"/>
              </w:rPr>
            </w:pPr>
            <w:hyperlink w:anchor="page52">
              <w:r>
                <w:rPr>
                  <w:rFonts w:ascii="Arial" w:cs="Arial" w:eastAsia="Arial" w:hAnsi="Arial"/>
                  <w:sz w:val="18"/>
                  <w:szCs w:val="18"/>
                  <w:color w:val="0000FF"/>
                  <w:w w:val="96"/>
                </w:rPr>
                <w:t>Certification of Chief Executive Officer and Chief Financial Officer pursuant to 18</w:t>
              </w:r>
            </w:hyperlink>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2"/>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U.S.C. Section 1350, as adopted pursuant to Section 906 of the Sarbanes-Oxley Act</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of 2002.</w:t>
              </w:r>
            </w:hyperlink>
          </w:p>
        </w:tc>
      </w:tr>
      <w:tr>
        <w:trPr>
          <w:trHeight w:val="256"/>
        </w:trPr>
        <w:tc>
          <w:tcPr>
            <w:tcW w:w="17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w w:val="95"/>
              </w:rPr>
              <w:t>Data File because its XBRL tags are embedded within the Inline XBRL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w w:val="92"/>
              </w:rPr>
              <w:t>Cover Page Interactive Data File (formatted as Inline XBRL and contained in Exhibit</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532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140"/>
          </w:cols>
          <w:pgMar w:left="320" w:top="125" w:right="14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3760" w:type="dxa"/>
            <w:vAlign w:val="bottom"/>
            <w:gridSpan w:val="3"/>
          </w:tcPr>
          <w:p>
            <w:pPr>
              <w:ind w:left="260"/>
              <w:spacing w:after="0"/>
              <w:rPr>
                <w:sz w:val="20"/>
                <w:szCs w:val="20"/>
                <w:color w:val="auto"/>
              </w:rPr>
            </w:pPr>
            <w:r>
              <w:rPr>
                <w:rFonts w:ascii="Arial" w:cs="Arial" w:eastAsia="Arial" w:hAnsi="Arial"/>
                <w:sz w:val="18"/>
                <w:szCs w:val="18"/>
                <w:color w:val="auto"/>
                <w:w w:val="96"/>
              </w:rPr>
              <w:t>PRIORITY TECHNOLOGY HOLDINGS, INC.</w:t>
            </w:r>
          </w:p>
        </w:tc>
      </w:tr>
      <w:tr>
        <w:trPr>
          <w:trHeight w:val="553"/>
        </w:trPr>
        <w:tc>
          <w:tcPr>
            <w:tcW w:w="5840" w:type="dxa"/>
            <w:vAlign w:val="bottom"/>
          </w:tcPr>
          <w:p>
            <w:pPr>
              <w:spacing w:after="0"/>
              <w:rPr>
                <w:sz w:val="20"/>
                <w:szCs w:val="20"/>
                <w:color w:val="auto"/>
              </w:rPr>
            </w:pPr>
            <w:r>
              <w:rPr>
                <w:rFonts w:ascii="Arial" w:cs="Arial" w:eastAsia="Arial" w:hAnsi="Arial"/>
                <w:sz w:val="18"/>
                <w:szCs w:val="18"/>
                <w:color w:val="auto"/>
              </w:rPr>
              <w:t>August 13, 2020</w:t>
            </w: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THOMAS C. PRIORE</w:t>
            </w:r>
          </w:p>
        </w:tc>
        <w:tc>
          <w:tcPr>
            <w:tcW w:w="1880" w:type="dxa"/>
            <w:vAlign w:val="bottom"/>
            <w:gridSpan w:val="2"/>
          </w:tcPr>
          <w:p>
            <w:pPr>
              <w:spacing w:after="0"/>
              <w:rPr>
                <w:sz w:val="24"/>
                <w:szCs w:val="24"/>
                <w:color w:val="auto"/>
              </w:rPr>
            </w:pPr>
          </w:p>
        </w:tc>
      </w:tr>
      <w:tr>
        <w:trPr>
          <w:trHeight w:val="222"/>
        </w:trPr>
        <w:tc>
          <w:tcPr>
            <w:tcW w:w="584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Thomas C. Priore</w:t>
            </w:r>
          </w:p>
        </w:tc>
      </w:tr>
      <w:tr>
        <w:trPr>
          <w:trHeight w:val="216"/>
        </w:trPr>
        <w:tc>
          <w:tcPr>
            <w:tcW w:w="58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Chief Executive Officer and Chairman</w:t>
            </w:r>
          </w:p>
        </w:tc>
      </w:tr>
      <w:tr>
        <w:trPr>
          <w:trHeight w:val="230"/>
        </w:trPr>
        <w:tc>
          <w:tcPr>
            <w:tcW w:w="58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83"/>
        </w:trPr>
        <w:tc>
          <w:tcPr>
            <w:tcW w:w="5840" w:type="dxa"/>
            <w:vAlign w:val="bottom"/>
          </w:tcPr>
          <w:p>
            <w:pPr>
              <w:spacing w:after="0"/>
              <w:rPr>
                <w:sz w:val="20"/>
                <w:szCs w:val="20"/>
                <w:color w:val="auto"/>
              </w:rPr>
            </w:pPr>
            <w:r>
              <w:rPr>
                <w:rFonts w:ascii="Arial" w:cs="Arial" w:eastAsia="Arial" w:hAnsi="Arial"/>
                <w:sz w:val="18"/>
                <w:szCs w:val="18"/>
                <w:color w:val="auto"/>
              </w:rPr>
              <w:t>August 13, 2020</w:t>
            </w: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MICHAEL T. VOLLKOMMER</w:t>
            </w:r>
          </w:p>
        </w:tc>
        <w:tc>
          <w:tcPr>
            <w:tcW w:w="1200" w:type="dxa"/>
            <w:vAlign w:val="bottom"/>
          </w:tcPr>
          <w:p>
            <w:pPr>
              <w:spacing w:after="0"/>
              <w:rPr>
                <w:sz w:val="24"/>
                <w:szCs w:val="24"/>
                <w:color w:val="auto"/>
              </w:rPr>
            </w:pPr>
          </w:p>
        </w:tc>
      </w:tr>
      <w:tr>
        <w:trPr>
          <w:trHeight w:val="222"/>
        </w:trPr>
        <w:tc>
          <w:tcPr>
            <w:tcW w:w="584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Michael T. Vollkommer</w:t>
            </w:r>
          </w:p>
        </w:tc>
      </w:tr>
      <w:tr>
        <w:trPr>
          <w:trHeight w:val="216"/>
        </w:trPr>
        <w:tc>
          <w:tcPr>
            <w:tcW w:w="58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8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0500"/>
          </w:cols>
          <w:pgMar w:left="320" w:top="125" w:right="10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324"/>
        <w:spacing w:after="0" w:line="25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29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880"/>
        <w:spacing w:after="0"/>
        <w:tabs>
          <w:tab w:leader="none" w:pos="6460" w:val="left"/>
        </w:tabs>
        <w:rPr>
          <w:sz w:val="20"/>
          <w:szCs w:val="20"/>
          <w:color w:val="auto"/>
        </w:rPr>
      </w:pPr>
      <w:r>
        <w:rPr>
          <w:rFonts w:ascii="Arial" w:cs="Arial" w:eastAsia="Arial" w:hAnsi="Arial"/>
          <w:sz w:val="18"/>
          <w:szCs w:val="18"/>
          <w:color w:val="auto"/>
        </w:rPr>
        <w:t>August 13, 2020</w:t>
      </w:r>
      <w:r>
        <w:rPr>
          <w:sz w:val="20"/>
          <w:szCs w:val="20"/>
          <w:color w:val="auto"/>
        </w:rPr>
        <w:tab/>
      </w:r>
      <w:r>
        <w:rPr>
          <w:rFonts w:ascii="Arial" w:cs="Arial" w:eastAsia="Arial" w:hAnsi="Arial"/>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31750</wp:posOffset>
            </wp:positionV>
            <wp:extent cx="3831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1590" cy="17145"/>
                    </a:xfrm>
                    <a:prstGeom prst="rect">
                      <a:avLst/>
                    </a:prstGeom>
                    <a:noFill/>
                  </pic:spPr>
                </pic:pic>
              </a:graphicData>
            </a:graphic>
          </wp:anchor>
        </w:drawing>
      </w:r>
    </w:p>
    <w:p>
      <w:pPr>
        <w:spacing w:after="0" w:line="70" w:lineRule="exact"/>
        <w:rPr>
          <w:sz w:val="20"/>
          <w:szCs w:val="20"/>
          <w:color w:val="auto"/>
        </w:rPr>
      </w:pPr>
    </w:p>
    <w:p>
      <w:pPr>
        <w:jc w:val="center"/>
        <w:ind w:left="358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jc w:val="center"/>
        <w:ind w:left="35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63" w:lineRule="exact"/>
        <w:rPr>
          <w:sz w:val="20"/>
          <w:szCs w:val="20"/>
          <w:color w:val="auto"/>
        </w:rPr>
      </w:pPr>
    </w:p>
    <w:p>
      <w:pPr>
        <w:jc w:val="center"/>
        <w:ind w:left="3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ind w:left="340" w:right="2600"/>
        <w:spacing w:after="0" w:line="255"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Michael T. Vollkommer,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324"/>
        <w:spacing w:after="0" w:line="255"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291"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120"/>
        <w:spacing w:after="0"/>
        <w:tabs>
          <w:tab w:leader="none" w:pos="7440" w:val="left"/>
        </w:tabs>
        <w:rPr>
          <w:sz w:val="20"/>
          <w:szCs w:val="20"/>
          <w:color w:val="auto"/>
        </w:rPr>
      </w:pPr>
      <w:r>
        <w:rPr>
          <w:rFonts w:ascii="Arial" w:cs="Arial" w:eastAsia="Arial" w:hAnsi="Arial"/>
          <w:sz w:val="18"/>
          <w:szCs w:val="18"/>
          <w:color w:val="auto"/>
        </w:rPr>
        <w:t>August 13, 2020</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0861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70"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Michael T. Vollkommer</w:t>
      </w:r>
    </w:p>
    <w:p>
      <w:pPr>
        <w:spacing w:after="0" w:line="6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3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3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Priority Technology Holdings, Inc. (the "Company") for the quarter ended June 30, 2020 as filed with the Securities and Exchange Commission (the "Report"), each of the undersigned, on the dates indicated below, hereby certifies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August 13, 2020</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42005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August 13, 2020</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42005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Michael T. Vollkommer</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800"/>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1)"/>
      <w:numFmt w:val="lowerLetter"/>
      <w:start w:val="1"/>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6"/>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2020-08-14T05:30:58Z</dcterms:created>
  <dcterms:modified xsi:type="dcterms:W3CDTF">2020-08-14T05:30:58Z</dcterms:modified>
</cp:coreProperties>
</file>