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FORM 10-Q</w:t>
      </w:r>
    </w:p>
    <w:p>
      <w:pPr>
        <w:spacing w:after="0" w:line="238" w:lineRule="exact"/>
        <w:rPr>
          <w:sz w:val="24"/>
          <w:szCs w:val="24"/>
          <w:color w:val="auto"/>
        </w:rPr>
      </w:pPr>
    </w:p>
    <w:p>
      <w:pPr>
        <w:jc w:val="center"/>
        <w:ind w:left="4020" w:right="1280" w:hanging="2616"/>
        <w:spacing w:after="0" w:line="292" w:lineRule="auto"/>
        <w:tabs>
          <w:tab w:leader="none" w:pos="161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2020</w:t>
      </w:r>
    </w:p>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6" w:lineRule="exact"/>
        <w:rPr>
          <w:sz w:val="24"/>
          <w:szCs w:val="24"/>
          <w:color w:val="auto"/>
        </w:rPr>
      </w:pPr>
    </w:p>
    <w:p>
      <w:pPr>
        <w:ind w:left="1600" w:hanging="193"/>
        <w:spacing w:after="0"/>
        <w:tabs>
          <w:tab w:leader="none" w:pos="1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 w:lineRule="exact"/>
        <w:rPr>
          <w:sz w:val="24"/>
          <w:szCs w:val="24"/>
          <w:color w:val="auto"/>
        </w:rPr>
      </w:pPr>
    </w:p>
    <w:p>
      <w:pPr>
        <w:ind w:left="408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001-37872</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Priority Technology Holdings, Inc.</w:t>
      </w:r>
    </w:p>
    <w:p>
      <w:pPr>
        <w:spacing w:after="0" w:line="7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4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jc w:val="right"/>
              <w:ind w:right="1393"/>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17"/>
        </w:trPr>
        <w:tc>
          <w:tcPr>
            <w:tcW w:w="4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80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681"/>
        </w:trPr>
        <w:tc>
          <w:tcPr>
            <w:tcW w:w="8660" w:type="dxa"/>
            <w:vAlign w:val="bottom"/>
            <w:gridSpan w:val="3"/>
          </w:tcPr>
          <w:p>
            <w:pPr>
              <w:jc w:val="right"/>
              <w:ind w:right="3353"/>
              <w:spacing w:after="0"/>
              <w:rPr>
                <w:sz w:val="20"/>
                <w:szCs w:val="20"/>
                <w:color w:val="auto"/>
              </w:rPr>
            </w:pPr>
            <w:r>
              <w:rPr>
                <w:rFonts w:ascii="Arial" w:cs="Arial" w:eastAsia="Arial" w:hAnsi="Arial"/>
                <w:sz w:val="18"/>
                <w:szCs w:val="18"/>
                <w:b w:val="1"/>
                <w:bCs w:val="1"/>
                <w:color w:val="auto"/>
              </w:rPr>
              <w:t>2001 Westside Parkway</w:t>
            </w:r>
          </w:p>
        </w:tc>
      </w:tr>
      <w:tr>
        <w:trPr>
          <w:trHeight w:val="270"/>
        </w:trPr>
        <w:tc>
          <w:tcPr>
            <w:tcW w:w="4860" w:type="dxa"/>
            <w:vAlign w:val="bottom"/>
            <w:gridSpan w:val="2"/>
          </w:tcPr>
          <w:p>
            <w:pPr>
              <w:ind w:left="4040"/>
              <w:spacing w:after="0"/>
              <w:rPr>
                <w:sz w:val="20"/>
                <w:szCs w:val="20"/>
                <w:color w:val="auto"/>
              </w:rPr>
            </w:pPr>
            <w:r>
              <w:rPr>
                <w:rFonts w:ascii="Arial" w:cs="Arial" w:eastAsia="Arial" w:hAnsi="Arial"/>
                <w:sz w:val="18"/>
                <w:szCs w:val="18"/>
                <w:b w:val="1"/>
                <w:bCs w:val="1"/>
                <w:color w:val="auto"/>
              </w:rPr>
              <w:t>Suite 155</w:t>
            </w:r>
          </w:p>
        </w:tc>
        <w:tc>
          <w:tcPr>
            <w:tcW w:w="3800" w:type="dxa"/>
            <w:vAlign w:val="bottom"/>
          </w:tcPr>
          <w:p>
            <w:pPr>
              <w:spacing w:after="0"/>
              <w:rPr>
                <w:sz w:val="23"/>
                <w:szCs w:val="23"/>
                <w:color w:val="auto"/>
              </w:rPr>
            </w:pPr>
          </w:p>
        </w:tc>
      </w:tr>
      <w:tr>
        <w:trPr>
          <w:trHeight w:val="270"/>
        </w:trPr>
        <w:tc>
          <w:tcPr>
            <w:tcW w:w="4860" w:type="dxa"/>
            <w:vAlign w:val="bottom"/>
            <w:gridSpan w:val="2"/>
          </w:tcPr>
          <w:p>
            <w:pPr>
              <w:ind w:left="3060"/>
              <w:spacing w:after="0"/>
              <w:rPr>
                <w:sz w:val="20"/>
                <w:szCs w:val="20"/>
                <w:color w:val="auto"/>
              </w:rPr>
            </w:pPr>
            <w:r>
              <w:rPr>
                <w:rFonts w:ascii="Arial" w:cs="Arial" w:eastAsia="Arial" w:hAnsi="Arial"/>
                <w:sz w:val="18"/>
                <w:szCs w:val="18"/>
                <w:b w:val="1"/>
                <w:bCs w:val="1"/>
                <w:color w:val="auto"/>
              </w:rPr>
              <w:t>Alpharetta, GA</w:t>
            </w:r>
          </w:p>
        </w:tc>
        <w:tc>
          <w:tcPr>
            <w:tcW w:w="3800" w:type="dxa"/>
            <w:vAlign w:val="bottom"/>
          </w:tcPr>
          <w:p>
            <w:pPr>
              <w:jc w:val="right"/>
              <w:ind w:right="3253"/>
              <w:spacing w:after="0"/>
              <w:rPr>
                <w:sz w:val="20"/>
                <w:szCs w:val="20"/>
                <w:color w:val="auto"/>
              </w:rPr>
            </w:pPr>
            <w:r>
              <w:rPr>
                <w:rFonts w:ascii="Arial" w:cs="Arial" w:eastAsia="Arial" w:hAnsi="Arial"/>
                <w:sz w:val="18"/>
                <w:szCs w:val="18"/>
                <w:b w:val="1"/>
                <w:bCs w:val="1"/>
                <w:color w:val="auto"/>
                <w:w w:val="87"/>
              </w:rPr>
              <w:t>30004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17145</wp:posOffset>
            </wp:positionV>
            <wp:extent cx="5503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352" w:lineRule="exact"/>
        <w:rPr>
          <w:sz w:val="24"/>
          <w:szCs w:val="24"/>
          <w:color w:val="auto"/>
        </w:rPr>
      </w:pPr>
    </w:p>
    <w:p>
      <w:pPr>
        <w:ind w:left="6180" w:hanging="1488"/>
        <w:spacing w:after="0"/>
        <w:tabs>
          <w:tab w:leader="none" w:pos="6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935-5964</w:t>
      </w:r>
    </w:p>
    <w:p>
      <w:pPr>
        <w:spacing w:after="0" w:line="81" w:lineRule="exact"/>
        <w:rPr>
          <w:rFonts w:ascii="Arial" w:cs="Arial" w:eastAsia="Arial" w:hAnsi="Arial"/>
          <w:sz w:val="18"/>
          <w:szCs w:val="18"/>
          <w:b w:val="1"/>
          <w:bCs w:val="1"/>
          <w:color w:val="auto"/>
        </w:rPr>
      </w:pPr>
    </w:p>
    <w:p>
      <w:pPr>
        <w:ind w:left="394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(Registrant's 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-133350</wp:posOffset>
            </wp:positionV>
            <wp:extent cx="5503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2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31750</wp:posOffset>
            </wp:positionV>
            <wp:extent cx="55035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890" w:type="dxa"/>
        <w:tblCellMar>
          <w:top w:w="0" w:type="dxa"/>
          <w:left w:w="0" w:type="dxa"/>
          <w:bottom w:w="0" w:type="dxa"/>
          <w:right w:w="0" w:type="dxa"/>
        </w:tblCellMar>
      </w:tblPr>
      <w:tr>
        <w:trPr>
          <w:trHeight w:val="257"/>
        </w:trPr>
        <w:tc>
          <w:tcPr>
            <w:tcW w:w="33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Borders>
              <w:top w:val="single" w:sz="8" w:color="auto"/>
              <w:right w:val="single" w:sz="8" w:color="auto"/>
            </w:tcBorders>
          </w:tcPr>
          <w:p>
            <w:pPr>
              <w:spacing w:after="0"/>
              <w:rPr>
                <w:sz w:val="22"/>
                <w:szCs w:val="22"/>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140" w:type="dxa"/>
            <w:vAlign w:val="bottom"/>
            <w:tcBorders>
              <w:top w:val="single" w:sz="8" w:color="auto"/>
              <w:right w:val="single" w:sz="8" w:color="auto"/>
            </w:tcBorders>
          </w:tcPr>
          <w:p>
            <w:pPr>
              <w:spacing w:after="0"/>
              <w:rPr>
                <w:sz w:val="22"/>
                <w:szCs w:val="22"/>
                <w:color w:val="auto"/>
              </w:rPr>
            </w:pPr>
          </w:p>
        </w:tc>
        <w:tc>
          <w:tcPr>
            <w:tcW w:w="3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7"/>
        </w:trPr>
        <w:tc>
          <w:tcPr>
            <w:tcW w:w="3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12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14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r>
        <w:trPr>
          <w:trHeight w:val="27"/>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3"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1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1060"/>
              <w:spacing w:after="0"/>
              <w:rPr>
                <w:sz w:val="20"/>
                <w:szCs w:val="20"/>
                <w:color w:val="auto"/>
              </w:rPr>
            </w:pPr>
            <w:r>
              <w:rPr>
                <w:rFonts w:ascii="Arial" w:cs="Arial" w:eastAsia="Arial" w:hAnsi="Arial"/>
                <w:sz w:val="18"/>
                <w:szCs w:val="18"/>
                <w:color w:val="auto"/>
                <w:w w:val="98"/>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0" w:type="dxa"/>
            <w:vAlign w:val="bottom"/>
          </w:tcPr>
          <w:p>
            <w:pPr>
              <w:ind w:left="110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As of May 8, 2020, a total of 67,565,359 shares of common stock, par value $0.001 per share, were issued and 67,114,135 shares were outstanding.</w:t>
      </w:r>
    </w:p>
    <w:p>
      <w:pPr>
        <w:sectPr>
          <w:pgSz w:w="11900" w:h="16838" w:orient="portrait"/>
          <w:cols w:equalWidth="0" w:num="1">
            <w:col w:w="11120"/>
          </w:cols>
          <w:pgMar w:left="320" w:top="351"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3"/>
          </w:tcPr>
          <w:p>
            <w:pPr>
              <w:ind w:left="1360"/>
              <w:spacing w:after="0"/>
              <w:rPr>
                <w:sz w:val="20"/>
                <w:szCs w:val="20"/>
                <w:color w:val="auto"/>
              </w:rPr>
            </w:pPr>
            <w:r>
              <w:rPr>
                <w:rFonts w:ascii="Arial" w:cs="Arial" w:eastAsia="Arial" w:hAnsi="Arial"/>
                <w:sz w:val="18"/>
                <w:szCs w:val="18"/>
                <w:b w:val="1"/>
                <w:bCs w:val="1"/>
                <w:color w:val="auto"/>
              </w:rPr>
              <w:t>Priority Technology Holdings, Inc.</w:t>
            </w:r>
          </w:p>
        </w:tc>
        <w:tc>
          <w:tcPr>
            <w:tcW w:w="3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3"/>
          </w:tcPr>
          <w:p>
            <w:pPr>
              <w:jc w:val="center"/>
              <w:ind w:right="2340"/>
              <w:spacing w:after="0"/>
              <w:rPr>
                <w:sz w:val="20"/>
                <w:szCs w:val="20"/>
                <w:color w:val="auto"/>
              </w:rPr>
            </w:pPr>
            <w:r>
              <w:rPr>
                <w:rFonts w:ascii="Arial" w:cs="Arial" w:eastAsia="Arial" w:hAnsi="Arial"/>
                <w:sz w:val="18"/>
                <w:szCs w:val="18"/>
                <w:b w:val="1"/>
                <w:bCs w:val="1"/>
                <w:color w:val="auto"/>
                <w:w w:val="93"/>
              </w:rPr>
              <w:t>Quarterly Report on Form 10-Q</w:t>
            </w:r>
          </w:p>
        </w:tc>
        <w:tc>
          <w:tcPr>
            <w:tcW w:w="38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20" w:type="dxa"/>
            <w:vAlign w:val="bottom"/>
            <w:gridSpan w:val="3"/>
          </w:tcPr>
          <w:p>
            <w:pPr>
              <w:jc w:val="center"/>
              <w:ind w:right="2340"/>
              <w:spacing w:after="0"/>
              <w:rPr>
                <w:sz w:val="20"/>
                <w:szCs w:val="20"/>
                <w:color w:val="auto"/>
              </w:rPr>
            </w:pPr>
            <w:r>
              <w:rPr>
                <w:rFonts w:ascii="Arial" w:cs="Arial" w:eastAsia="Arial" w:hAnsi="Arial"/>
                <w:sz w:val="18"/>
                <w:szCs w:val="18"/>
                <w:b w:val="1"/>
                <w:bCs w:val="1"/>
                <w:color w:val="auto"/>
                <w:w w:val="93"/>
              </w:rPr>
              <w:t>March 31, 2020</w:t>
            </w:r>
          </w:p>
        </w:tc>
        <w:tc>
          <w:tcPr>
            <w:tcW w:w="380" w:type="dxa"/>
            <w:vAlign w:val="bottom"/>
          </w:tcPr>
          <w:p>
            <w:pPr>
              <w:spacing w:after="0"/>
              <w:rPr>
                <w:sz w:val="20"/>
                <w:szCs w:val="20"/>
                <w:color w:val="auto"/>
              </w:rPr>
            </w:pPr>
          </w:p>
        </w:tc>
      </w:tr>
      <w:tr>
        <w:trPr>
          <w:trHeight w:val="769"/>
        </w:trPr>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r>
      <w:tr>
        <w:trPr>
          <w:trHeight w:val="561"/>
        </w:trPr>
        <w:tc>
          <w:tcPr>
            <w:tcW w:w="7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tc>
        <w:tc>
          <w:tcPr>
            <w:tcW w:w="9780" w:type="dxa"/>
            <w:vAlign w:val="bottom"/>
            <w:gridSpan w:val="5"/>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38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1</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76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38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1</w:t>
              </w:r>
            </w:hyperlink>
          </w:p>
        </w:tc>
      </w:tr>
      <w:tr>
        <w:trPr>
          <w:trHeight w:val="270"/>
        </w:trPr>
        <w:tc>
          <w:tcPr>
            <w:tcW w:w="7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76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 as of March 31, 2020 and December 31, 2019</w:t>
              </w:r>
            </w:hyperlink>
          </w:p>
        </w:tc>
        <w:tc>
          <w:tcPr>
            <w:tcW w:w="38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1</w:t>
              </w:r>
            </w:hyperlink>
          </w:p>
        </w:tc>
      </w:tr>
      <w:tr>
        <w:trPr>
          <w:trHeight w:val="229"/>
        </w:trPr>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for the Three Months Ended March 31, 2020 and</w:t>
              </w:r>
            </w:hyperlink>
          </w:p>
        </w:tc>
        <w:tc>
          <w:tcPr>
            <w:tcW w:w="720" w:type="dxa"/>
            <w:vAlign w:val="bottom"/>
            <w:gridSpan w:val="2"/>
          </w:tcPr>
          <w:p>
            <w:pPr>
              <w:spacing w:after="0"/>
              <w:rPr>
                <w:sz w:val="19"/>
                <w:szCs w:val="19"/>
                <w:color w:val="auto"/>
              </w:rPr>
            </w:pPr>
          </w:p>
        </w:tc>
        <w:tc>
          <w:tcPr>
            <w:tcW w:w="380" w:type="dxa"/>
            <w:vAlign w:val="bottom"/>
          </w:tcPr>
          <w:p>
            <w:pPr>
              <w:jc w:val="center"/>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2</w:t>
              </w:r>
            </w:hyperlink>
          </w:p>
        </w:tc>
      </w:tr>
      <w:tr>
        <w:trPr>
          <w:trHeight w:val="196"/>
        </w:trPr>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76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March 31, 2019</w:t>
              </w:r>
            </w:hyperlink>
          </w:p>
        </w:tc>
        <w:tc>
          <w:tcPr>
            <w:tcW w:w="38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760" w:type="dxa"/>
            <w:vAlign w:val="bottom"/>
            <w:gridSpan w:val="4"/>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Unaudited Condensed Consolidated Statements of Cash Flows for the Three Months Ended March 31, 2020 and</w:t>
              </w:r>
            </w:hyperlink>
          </w:p>
        </w:tc>
        <w:tc>
          <w:tcPr>
            <w:tcW w:w="380" w:type="dxa"/>
            <w:vAlign w:val="bottom"/>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3</w:t>
              </w:r>
            </w:hyperlink>
          </w:p>
        </w:tc>
      </w:tr>
      <w:tr>
        <w:trPr>
          <w:trHeight w:val="196"/>
        </w:trPr>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2019</w:t>
              </w:r>
            </w:hyperlink>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90"/>
        </w:trPr>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6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Unaudited Condensed Consolidated Financial Statements</w:t>
              </w:r>
            </w:hyperlink>
          </w:p>
        </w:tc>
        <w:tc>
          <w:tcPr>
            <w:tcW w:w="380" w:type="dxa"/>
            <w:vAlign w:val="bottom"/>
          </w:tcPr>
          <w:p>
            <w:pPr>
              <w:jc w:val="center"/>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4</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2.</w:t>
              </w:r>
            </w:hyperlink>
          </w:p>
        </w:tc>
        <w:tc>
          <w:tcPr>
            <w:tcW w:w="8760" w:type="dxa"/>
            <w:vAlign w:val="bottom"/>
            <w:gridSpan w:val="4"/>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27">
              <w:r>
                <w:rPr>
                  <w:rFonts w:ascii="Arial" w:cs="Arial" w:eastAsia="Arial" w:hAnsi="Arial"/>
                  <w:sz w:val="18"/>
                  <w:szCs w:val="18"/>
                  <w:u w:val="single" w:color="auto"/>
                  <w:color w:val="0000EE"/>
                  <w:w w:val="89"/>
                </w:rPr>
                <w:t>25</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3.</w:t>
              </w:r>
            </w:hyperlink>
          </w:p>
        </w:tc>
        <w:tc>
          <w:tcPr>
            <w:tcW w:w="876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Quantitative and Qualitative Disclosures about Market Risk</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39">
              <w:r>
                <w:rPr>
                  <w:rFonts w:ascii="Arial" w:cs="Arial" w:eastAsia="Arial" w:hAnsi="Arial"/>
                  <w:sz w:val="18"/>
                  <w:szCs w:val="18"/>
                  <w:u w:val="single" w:color="auto"/>
                  <w:color w:val="0000EE"/>
                  <w:w w:val="89"/>
                </w:rPr>
                <w:t>37</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4.</w:t>
              </w:r>
            </w:hyperlink>
          </w:p>
        </w:tc>
        <w:tc>
          <w:tcPr>
            <w:tcW w:w="876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Controls and Procedures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39">
              <w:r>
                <w:rPr>
                  <w:rFonts w:ascii="Arial" w:cs="Arial" w:eastAsia="Arial" w:hAnsi="Arial"/>
                  <w:sz w:val="18"/>
                  <w:szCs w:val="18"/>
                  <w:u w:val="single" w:color="auto"/>
                  <w:color w:val="0000EE"/>
                  <w:w w:val="89"/>
                </w:rPr>
                <w:t>37</w:t>
              </w:r>
            </w:hyperlink>
          </w:p>
        </w:tc>
      </w:tr>
      <w:tr>
        <w:trPr>
          <w:trHeight w:val="567"/>
        </w:trPr>
        <w:tc>
          <w:tcPr>
            <w:tcW w:w="7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Part II.</w:t>
              </w:r>
            </w:hyperlink>
          </w:p>
        </w:tc>
        <w:tc>
          <w:tcPr>
            <w:tcW w:w="9780" w:type="dxa"/>
            <w:vAlign w:val="bottom"/>
            <w:gridSpan w:val="5"/>
          </w:tcPr>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Information</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38</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w:t>
              </w:r>
            </w:hyperlink>
          </w:p>
        </w:tc>
        <w:tc>
          <w:tcPr>
            <w:tcW w:w="876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38</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color w:val="0000EE"/>
              </w:rPr>
            </w:pPr>
            <w:hyperlink w:anchor="page40">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76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Risk Factors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38</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2.</w:t>
              </w:r>
            </w:hyperlink>
          </w:p>
        </w:tc>
        <w:tc>
          <w:tcPr>
            <w:tcW w:w="876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38</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3.</w:t>
              </w:r>
            </w:hyperlink>
          </w:p>
        </w:tc>
        <w:tc>
          <w:tcPr>
            <w:tcW w:w="876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Defaults Upon Senior Securities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38</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4.</w:t>
              </w:r>
            </w:hyperlink>
          </w:p>
        </w:tc>
        <w:tc>
          <w:tcPr>
            <w:tcW w:w="876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Mine Safety Disclosures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39</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5.</w:t>
              </w:r>
            </w:hyperlink>
          </w:p>
        </w:tc>
        <w:tc>
          <w:tcPr>
            <w:tcW w:w="876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Other Information</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39</w:t>
              </w:r>
            </w:hyperlink>
          </w:p>
        </w:tc>
      </w:tr>
      <w:tr>
        <w:trPr>
          <w:trHeight w:val="594"/>
        </w:trPr>
        <w:tc>
          <w:tcPr>
            <w:tcW w:w="780" w:type="dxa"/>
            <w:vAlign w:val="bottom"/>
          </w:tcPr>
          <w:p>
            <w:pPr>
              <w:spacing w:after="0"/>
              <w:rPr>
                <w:sz w:val="24"/>
                <w:szCs w:val="24"/>
                <w:color w:val="auto"/>
              </w:rPr>
            </w:pPr>
          </w:p>
        </w:tc>
        <w:tc>
          <w:tcPr>
            <w:tcW w:w="1020" w:type="dxa"/>
            <w:vAlign w:val="bottom"/>
          </w:tcPr>
          <w:p>
            <w:pPr>
              <w:ind w:left="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6.</w:t>
              </w:r>
            </w:hyperlink>
          </w:p>
        </w:tc>
        <w:tc>
          <w:tcPr>
            <w:tcW w:w="876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Exhibits</w:t>
              </w:r>
            </w:hyperlink>
          </w:p>
        </w:tc>
        <w:tc>
          <w:tcPr>
            <w:tcW w:w="380" w:type="dxa"/>
            <w:vAlign w:val="bottom"/>
          </w:tcPr>
          <w:p>
            <w:pPr>
              <w:jc w:val="center"/>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40</w:t>
              </w:r>
            </w:hyperlink>
          </w:p>
        </w:tc>
      </w:tr>
      <w:tr>
        <w:trPr>
          <w:trHeight w:val="567"/>
        </w:trPr>
        <w:tc>
          <w:tcPr>
            <w:tcW w:w="780" w:type="dxa"/>
            <w:vAlign w:val="bottom"/>
          </w:tcPr>
          <w:p>
            <w:pPr>
              <w:spacing w:after="0"/>
              <w:rPr>
                <w:rFonts w:ascii="Arial" w:cs="Arial" w:eastAsia="Arial" w:hAnsi="Arial"/>
                <w:sz w:val="18"/>
                <w:szCs w:val="18"/>
                <w:u w:val="single" w:color="auto"/>
                <w:color w:val="0000EE"/>
                <w:w w:val="88"/>
              </w:rPr>
            </w:pPr>
            <w:hyperlink w:anchor="page43">
              <w:r>
                <w:rPr>
                  <w:rFonts w:ascii="Arial" w:cs="Arial" w:eastAsia="Arial" w:hAnsi="Arial"/>
                  <w:sz w:val="18"/>
                  <w:szCs w:val="18"/>
                  <w:u w:val="single" w:color="auto"/>
                  <w:color w:val="0000EE"/>
                  <w:w w:val="88"/>
                </w:rPr>
                <w:t>Signatures</w:t>
              </w:r>
            </w:hyperlink>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jc w:val="center"/>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41</w:t>
              </w:r>
            </w:hyperlink>
          </w:p>
        </w:tc>
      </w:tr>
    </w:tbl>
    <w:p>
      <w:pPr>
        <w:sectPr>
          <w:pgSz w:w="11900" w:h="16838" w:orient="portrait"/>
          <w:cols w:equalWidth="0" w:num="1">
            <w:col w:w="10940"/>
          </w:cols>
          <w:pgMar w:left="360" w:top="337" w:right="5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2"/>
              </w:rPr>
              <w:t>December 31, 2019</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Cash</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3,234</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47,231</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$989 and $803</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37,362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37,993</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3,897</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notes receivable</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1,326</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94,214</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7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Notes receivable, less current portion</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5,382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4,395</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23,518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109,515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109,515</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175,303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182,826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50,890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49,657</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r>
      <w:tr>
        <w:trPr>
          <w:trHeight w:val="297"/>
        </w:trPr>
        <w:tc>
          <w:tcPr>
            <w:tcW w:w="720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447,919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464,505</w:t>
            </w:r>
          </w:p>
        </w:tc>
      </w:tr>
      <w:tr>
        <w:trPr>
          <w:trHeight w:val="230"/>
        </w:trPr>
        <w:tc>
          <w:tcPr>
            <w:tcW w:w="7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DEFICIT</w:t>
            </w: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24,413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26,965</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residual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19,315</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Customer deposits and advance payments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4,928</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4,007</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Settlement obligations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30,665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37,789</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93,004</w:t>
            </w:r>
          </w:p>
        </w:tc>
      </w:tr>
      <w:tr>
        <w:trPr>
          <w:trHeight w:val="223"/>
        </w:trPr>
        <w:tc>
          <w:tcPr>
            <w:tcW w:w="7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485,578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6,269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6,612</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3"/>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489,588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492,190</w:t>
            </w:r>
          </w:p>
        </w:tc>
      </w:tr>
      <w:tr>
        <w:trPr>
          <w:trHeight w:val="155"/>
        </w:trPr>
        <w:tc>
          <w:tcPr>
            <w:tcW w:w="7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r>
      <w:tr>
        <w:trPr>
          <w:trHeight w:val="27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574,139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585,194</w:t>
            </w:r>
          </w:p>
        </w:tc>
      </w:tr>
      <w:tr>
        <w:trPr>
          <w:trHeight w:val="155"/>
        </w:trPr>
        <w:tc>
          <w:tcPr>
            <w:tcW w:w="7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10 and 11)</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189"/>
        </w:trPr>
        <w:tc>
          <w:tcPr>
            <w:tcW w:w="7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deficit: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3,989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3,651</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451,224 common shares, at cost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(133,543)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(127,674)</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Priority Technology Holdings, Inc. stockholders' deficit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(126,343)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Non-controlling interest in a subsidiary</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5,654</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stockholders' deficit</w:t>
            </w:r>
          </w:p>
        </w:tc>
        <w:tc>
          <w:tcPr>
            <w:tcW w:w="2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(120,689)</w:t>
            </w:r>
          </w:p>
        </w:tc>
      </w:tr>
      <w:tr>
        <w:trPr>
          <w:trHeight w:val="169"/>
        </w:trPr>
        <w:tc>
          <w:tcPr>
            <w:tcW w:w="72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 and stockholders' deficit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447,919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464,505</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240"/>
          </w:cols>
          <w:pgMar w:left="320" w:top="125" w:right="339" w:bottom="101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940" w:type="dxa"/>
            <w:vAlign w:val="bottom"/>
            <w:gridSpan w:val="4"/>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r>
      <w:tr>
        <w:trPr>
          <w:trHeight w:val="261"/>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67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6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6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96,933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87,646</w:t>
            </w:r>
          </w:p>
        </w:tc>
      </w:tr>
      <w:tr>
        <w:trPr>
          <w:trHeight w:val="27"/>
        </w:trPr>
        <w:tc>
          <w:tcPr>
            <w:tcW w:w="6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services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60,106</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10,899</w:t>
            </w:r>
          </w:p>
        </w:tc>
      </w:tr>
      <w:tr>
        <w:trPr>
          <w:trHeight w:val="27"/>
        </w:trPr>
        <w:tc>
          <w:tcPr>
            <w:tcW w:w="6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8,925</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6,750</w:t>
            </w:r>
          </w:p>
        </w:tc>
      </w:tr>
      <w:tr>
        <w:trPr>
          <w:trHeight w:val="27"/>
        </w:trPr>
        <w:tc>
          <w:tcPr>
            <w:tcW w:w="6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93,374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86,680</w:t>
            </w:r>
          </w:p>
        </w:tc>
      </w:tr>
      <w:tr>
        <w:trPr>
          <w:trHeight w:val="156"/>
        </w:trPr>
        <w:tc>
          <w:tcPr>
            <w:tcW w:w="67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27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09"/>
        </w:trPr>
        <w:tc>
          <w:tcPr>
            <w:tcW w:w="67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(9,363)</w:t>
            </w:r>
          </w:p>
        </w:tc>
      </w:tr>
      <w:tr>
        <w:trPr>
          <w:trHeight w:val="27"/>
        </w:trPr>
        <w:tc>
          <w:tcPr>
            <w:tcW w:w="6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7"/>
        </w:trPr>
        <w:tc>
          <w:tcPr>
            <w:tcW w:w="6700" w:type="dxa"/>
            <w:vAlign w:val="bottom"/>
          </w:tcPr>
          <w:p>
            <w:pPr>
              <w:ind w:left="280"/>
              <w:spacing w:after="0"/>
              <w:rPr>
                <w:sz w:val="20"/>
                <w:szCs w:val="20"/>
                <w:color w:val="auto"/>
              </w:rPr>
            </w:pPr>
            <w:r>
              <w:rPr>
                <w:rFonts w:ascii="Arial" w:cs="Arial" w:eastAsia="Arial" w:hAnsi="Arial"/>
                <w:sz w:val="18"/>
                <w:szCs w:val="18"/>
                <w:color w:val="auto"/>
              </w:rPr>
              <w:t>Total other expenses, net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(9,136)</w:t>
            </w:r>
          </w:p>
        </w:tc>
      </w:tr>
      <w:tr>
        <w:trPr>
          <w:trHeight w:val="27"/>
        </w:trPr>
        <w:tc>
          <w:tcPr>
            <w:tcW w:w="6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6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(8,170)</w:t>
            </w:r>
          </w:p>
        </w:tc>
      </w:tr>
      <w:tr>
        <w:trPr>
          <w:trHeight w:val="27"/>
        </w:trPr>
        <w:tc>
          <w:tcPr>
            <w:tcW w:w="6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5"/>
        </w:trPr>
        <w:tc>
          <w:tcPr>
            <w:tcW w:w="6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(1,724)</w:t>
            </w:r>
          </w:p>
        </w:tc>
      </w:tr>
      <w:tr>
        <w:trPr>
          <w:trHeight w:val="27"/>
        </w:trPr>
        <w:tc>
          <w:tcPr>
            <w:tcW w:w="6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5"/>
        </w:trPr>
        <w:tc>
          <w:tcPr>
            <w:tcW w:w="6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303"/>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(6,446)</w:t>
            </w:r>
          </w:p>
        </w:tc>
      </w:tr>
      <w:tr>
        <w:trPr>
          <w:trHeight w:val="230"/>
        </w:trPr>
        <w:tc>
          <w:tcPr>
            <w:tcW w:w="6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Loss per common share: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175"/>
        </w:trPr>
        <w:tc>
          <w:tcPr>
            <w:tcW w:w="6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67,061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67,164</w:t>
            </w:r>
          </w:p>
        </w:tc>
      </w:tr>
    </w:tbl>
    <w:p>
      <w:pPr>
        <w:spacing w:after="0" w:line="200" w:lineRule="exact"/>
        <w:rPr>
          <w:sz w:val="20"/>
          <w:szCs w:val="20"/>
          <w:color w:val="auto"/>
        </w:rPr>
      </w:pPr>
    </w:p>
    <w:p>
      <w:pPr>
        <w:spacing w:after="0" w:line="24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139"/>
          </w:cols>
          <w:pgMar w:left="320" w:top="125"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Unaudited</w:t>
      </w:r>
    </w:p>
    <w:p>
      <w:pPr>
        <w:spacing w:after="0" w:line="144" w:lineRule="exact"/>
        <w:rPr>
          <w:sz w:val="20"/>
          <w:szCs w:val="20"/>
          <w:color w:val="auto"/>
        </w:rPr>
      </w:pPr>
    </w:p>
    <w:tbl>
      <w:tblPr>
        <w:tblLayout w:type="fixed"/>
        <w:tblInd w:w="240" w:type="dxa"/>
        <w:tblCellMar>
          <w:top w:w="0" w:type="dxa"/>
          <w:left w:w="0" w:type="dxa"/>
          <w:bottom w:w="0" w:type="dxa"/>
          <w:right w:w="0" w:type="dxa"/>
        </w:tblCellMar>
      </w:tblP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shd w:val="clear" w:color="auto" w:fill="CCEEFF"/>
          </w:tcPr>
          <w:p>
            <w:pPr>
              <w:spacing w:after="0"/>
              <w:rPr>
                <w:sz w:val="22"/>
                <w:szCs w:val="22"/>
                <w:color w:val="auto"/>
              </w:rPr>
            </w:pPr>
          </w:p>
        </w:tc>
        <w:tc>
          <w:tcPr>
            <w:tcW w:w="3060" w:type="dxa"/>
            <w:vAlign w:val="bottom"/>
            <w:tcBorders>
              <w:bottom w:val="single" w:sz="8" w:color="auto"/>
            </w:tcBorders>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(5,869)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(6,446)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 to reconcile net loss to net cash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Depreciation and amortization of assets</w:t>
            </w:r>
          </w:p>
        </w:tc>
        <w:tc>
          <w:tcPr>
            <w:tcW w:w="2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8,925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income tax benefit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Change in allowance for deferred tax assets</w:t>
            </w:r>
          </w:p>
        </w:tc>
        <w:tc>
          <w:tcPr>
            <w:tcW w:w="2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Payment-in-kind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Other non-cash items</w:t>
            </w:r>
          </w:p>
        </w:tc>
        <w:tc>
          <w:tcPr>
            <w:tcW w:w="2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Settlement assets and obligations,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Notes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Accounts payable and other accrued liabilities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 deposits and advance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cash used in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169"/>
        </w:trPr>
        <w:tc>
          <w:tcPr>
            <w:tcW w:w="74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Additions to property, equipment and software</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(79,612)</w:t>
            </w: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Other investing activity</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(82,178)</w:t>
            </w:r>
          </w:p>
        </w:tc>
        <w:tc>
          <w:tcPr>
            <w:tcW w:w="0" w:type="dxa"/>
            <w:vAlign w:val="bottom"/>
          </w:tcPr>
          <w:p>
            <w:pPr>
              <w:spacing w:after="0"/>
              <w:rPr>
                <w:sz w:val="1"/>
                <w:szCs w:val="1"/>
                <w:color w:val="auto"/>
              </w:rPr>
            </w:pPr>
          </w:p>
        </w:tc>
      </w:tr>
      <w:tr>
        <w:trPr>
          <w:trHeight w:val="169"/>
        </w:trPr>
        <w:tc>
          <w:tcPr>
            <w:tcW w:w="74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 net of issue discount</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69,650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Debt modification costs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Borrowings under revolving credit facility</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7"/>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78,827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restricted cash:</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decrease in cash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Cash and restricted cash at beginning of year</w:t>
            </w:r>
          </w:p>
        </w:tc>
        <w:tc>
          <w:tcPr>
            <w:tcW w:w="2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50,465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33,831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restricted cash at March 31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29,240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8,186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Intangible assets acquired by issuing non-controlling interest in a subsidiary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Cash</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2,858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9,091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36,873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20,149</w:t>
            </w:r>
          </w:p>
        </w:tc>
        <w:tc>
          <w:tcPr>
            <w:tcW w:w="0" w:type="dxa"/>
            <w:vAlign w:val="bottom"/>
          </w:tcPr>
          <w:p>
            <w:pPr>
              <w:spacing w:after="0"/>
              <w:rPr>
                <w:sz w:val="1"/>
                <w:szCs w:val="1"/>
                <w:color w:val="auto"/>
              </w:rPr>
            </w:pPr>
          </w:p>
        </w:tc>
      </w:tr>
      <w:tr>
        <w:trPr>
          <w:trHeight w:val="257"/>
        </w:trPr>
        <w:tc>
          <w:tcPr>
            <w:tcW w:w="7440" w:type="dxa"/>
            <w:vAlign w:val="bottom"/>
          </w:tcPr>
          <w:p>
            <w:pPr>
              <w:ind w:left="360"/>
              <w:spacing w:after="0"/>
              <w:rPr>
                <w:sz w:val="20"/>
                <w:szCs w:val="20"/>
                <w:color w:val="auto"/>
              </w:rPr>
            </w:pPr>
            <w:r>
              <w:rPr>
                <w:rFonts w:ascii="Arial" w:cs="Arial" w:eastAsia="Arial" w:hAnsi="Arial"/>
                <w:sz w:val="18"/>
                <w:szCs w:val="18"/>
                <w:color w:val="auto"/>
              </w:rPr>
              <w:t>Total cash and restricted cash</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39,731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29,240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060" w:type="dxa"/>
            <w:vAlign w:val="bottom"/>
            <w:gridSpan w:val="3"/>
          </w:tcPr>
          <w:p>
            <w:pPr>
              <w:ind w:left="284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440" w:type="dxa"/>
            <w:vAlign w:val="bottom"/>
          </w:tcPr>
          <w:p>
            <w:pPr>
              <w:ind w:left="5240"/>
              <w:spacing w:after="0"/>
              <w:rPr>
                <w:sz w:val="20"/>
                <w:szCs w:val="20"/>
                <w:color w:val="auto"/>
              </w:rPr>
            </w:pPr>
            <w:r>
              <w:rPr>
                <w:rFonts w:ascii="Arial" w:cs="Arial" w:eastAsia="Arial" w:hAnsi="Arial"/>
                <w:sz w:val="18"/>
                <w:szCs w:val="18"/>
                <w:color w:val="auto"/>
              </w:rPr>
              <w:t>- 3 -</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125" w:right="559" w:bottom="1122"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BASIS OF PRESENTATION AND SIGNIFICANT ACCOUNTING POLICIES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Consolidation, and Presentation</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212529"/>
        </w:rPr>
        <w:t xml:space="preserve">Priority Technology Holdings, Inc. and its consolidated subsidiaries are referred to herein collectively as "Priority," "PRTH," the "Company," "we," "our" or "us," unless the context requires otherwise. </w:t>
      </w:r>
      <w:r>
        <w:rPr>
          <w:rFonts w:ascii="Arial" w:cs="Arial" w:eastAsia="Arial" w:hAnsi="Arial"/>
          <w:sz w:val="16"/>
          <w:szCs w:val="16"/>
          <w:color w:val="000000"/>
        </w:rPr>
        <w:t>Priority is provider of merchant acquiring, integrated payment software and commercial payment solutions.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unaudited condensed consolidated financial statements include the accounts of the Company including those of its majority-owned subsidiaries, and all material intercompany balances and transactions have been eliminated in consolidation. These unaudited condensed consolidated financial statements have been prepared in accordance with accounting principles generally accepted in the United States ("GAAP") for interim financial information pursuant to the rules and regulations of the Securities and Exchange Commission ("SEC"). The consolidated balance sheet as of December 31, 2019 was derived from the audited financial statements included in the Company's Annual Report on Form 10-K for the year ended December 31, 2019 but does not include all disclosures required by GAAP for annual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the Company's management, all known adjustments necessary for a fair presentation of the results of the interim periods have been made. These adjustments consist of normal recurring accruals and estimates that affect the carrying amount of assets and liabilities. These financial statements should be read in conjunction with the consolidated financial statements and notes thereto included in the Company's Annual Report on Form 10-K for the year ended December 31, 2019.</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preparation of financial statements in conformity with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Actual results could differ materially from those estimates. </w:t>
      </w:r>
      <w:r>
        <w:rPr>
          <w:rFonts w:ascii="Arial" w:cs="Arial" w:eastAsia="Arial" w:hAnsi="Arial"/>
          <w:sz w:val="17"/>
          <w:szCs w:val="17"/>
          <w:color w:val="212529"/>
        </w:rPr>
        <w:t>In particular, the magnitude, duration and</w:t>
      </w:r>
      <w:r>
        <w:rPr>
          <w:rFonts w:ascii="Arial" w:cs="Arial" w:eastAsia="Arial" w:hAnsi="Arial"/>
          <w:sz w:val="17"/>
          <w:szCs w:val="17"/>
          <w:color w:val="auto"/>
        </w:rPr>
        <w:t xml:space="preserve"> </w:t>
      </w:r>
      <w:r>
        <w:rPr>
          <w:rFonts w:ascii="Arial" w:cs="Arial" w:eastAsia="Arial" w:hAnsi="Arial"/>
          <w:sz w:val="17"/>
          <w:szCs w:val="17"/>
          <w:color w:val="212529"/>
        </w:rPr>
        <w:t>effects of the COVID-19 pandemic are difficult to predict at this time, and the ultimate effect could result in future charges related to the recoverability of assets, including financial assets, long-lived assets, goodwill, and other losses.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Status as an Emerging Growth Company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remains an "emerging growth company" (EGC), as defined in the Jumpstart Our Business Startups Act of 2012. The Company may remain an EGC until December 31, 2021. However, if the Company's non-convertible debt issued within a rolling three-year period exceeds $1.0 billion, the Company would cease to be an EGC immediately, or if its revenue for any fiscal year exceed $1.07 billion, or the market value of its common stock that is held by non-affiliates exceeds $700.0 million on the last day of the second quarter of any given year, the Company would cease to be an EGC as of the beginning of the following year. As an EGC, the Company may continue to elect to delay the adoption of any new or revised accounting standards that have different effective dates for public and private companies until those standards apply to private companies. Additionally, as a smaller reporting company ("SRC") as defined by the SEC, the Company has the option to adopt certain new or revised accounting standards on a permitted delayed basis that is not available to other public companies not meeting the definition of a SRC. Therefore, the Company's financial statements may not be comparable to other public companies.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three-month periods ended March 31, 2020 and 2019, the Company had no activities to report as components of other comprehensive income (loss). Therefore, no separate Statement of Comprehensive Income (Loss) was prepared for any reporting period as the Company's net loss from continuing operations comprises all of its comprehensive loss.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Comparability of Reporting Periods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prior period amounts in these unaudited condensed consolidated financial statements have been reclassified to conform to the current period presentation, with no net effect on income from operations, loss before income taxes, net loss, stockholders' deficit, or cash flows from operations, investing, or financing activities for any period presented.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adopted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for the 2019 annual reporting period included in its Annual Report on Form 10-K for the year ended December 31, 2019 using the full retrospective transition method. Accordingly, the unaudited condensed consolidated statement of operations for the three months ended March 31, 2019 presented herein has been recasted to retroactively reflect the provisions of ASC 606. The adoption of ASC 606 had no net effect on the Company's income from operations, loss before income taxes, net loss, consolidated balance sheet, or cash flows from operations, investing, or financing activities.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New Accounting Standards Adopted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changes to the Company's accounting policies as described in its most recent Annual Report on Form 10-K for the year ended December 31, 2019. The Company did not adopt any new accounting standards during the three months ended March 31, 2020, except for ASU 2018-13, as described below.</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for Fair Value Measurements (ASU 2018-13)</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On January 1, 2020, the Company adopted Accounting Standards Update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 Changes to the Disclosure Requirements for Fair Value Measurement </w:t>
      </w:r>
      <w:r>
        <w:rPr>
          <w:rFonts w:ascii="Arial" w:cs="Arial" w:eastAsia="Arial" w:hAnsi="Arial"/>
          <w:sz w:val="16"/>
          <w:szCs w:val="16"/>
          <w:color w:val="auto"/>
        </w:rPr>
        <w:t>("ASU 2018-13"). ASU 2018-13 eliminated, added, and modified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certain disclosure requirements for fair value measurements as part of the FASB's disclosure framework project. Certain amendments must be applied prospectively while others are applied on a retrospective basis to all periods presented. As disclosure guidance, the adoption of this ASU had no effect on the Company's financial position, results of operations or cash flows. Note 14, </w:t>
      </w:r>
      <w:r>
        <w:rPr>
          <w:rFonts w:ascii="Arial" w:cs="Arial" w:eastAsia="Arial" w:hAnsi="Arial"/>
          <w:sz w:val="16"/>
          <w:szCs w:val="16"/>
          <w:i w:val="1"/>
          <w:iCs w:val="1"/>
          <w:color w:val="auto"/>
        </w:rPr>
        <w:t>Fair Value</w:t>
      </w:r>
      <w:r>
        <w:rPr>
          <w:rFonts w:ascii="Arial" w:cs="Arial" w:eastAsia="Arial" w:hAnsi="Arial"/>
          <w:sz w:val="16"/>
          <w:szCs w:val="16"/>
          <w:color w:val="auto"/>
        </w:rPr>
        <w:t>, reflects the disclosure provisions of ASU 2018-13.</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Not Yet Adopted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standards are pending adoption and will likely apply to the Company in future periods based on the Company's current business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(ASU 2020-04)</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March 12,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This ASU provides temporary optional expedients and exceptions to the GAAP guidance on contract modifications and hedge accounting to</w:t>
      </w:r>
      <w:r>
        <w:rPr>
          <w:rFonts w:ascii="Arial" w:cs="Arial" w:eastAsia="Arial" w:hAnsi="Arial"/>
          <w:sz w:val="17"/>
          <w:szCs w:val="17"/>
          <w:i w:val="1"/>
          <w:iCs w:val="1"/>
          <w:color w:val="auto"/>
        </w:rPr>
        <w:t xml:space="preserve"> </w:t>
      </w:r>
      <w:r>
        <w:rPr>
          <w:rFonts w:ascii="Arial" w:cs="Arial" w:eastAsia="Arial" w:hAnsi="Arial"/>
          <w:sz w:val="17"/>
          <w:szCs w:val="17"/>
          <w:color w:val="auto"/>
        </w:rPr>
        <w:t>ease the financial reporting burdens of the expected market transition from the London Interbank Offered Rate ("LIBOR") and other interbank offered rates to alternative reference rates, such as the Secured Overnight Financial Rate. Entities can elect not to apply certain modification accounting requirements to contracts affected by what the guidance calls reference rate reform, if certain criteria are met. An entity that makes this election would not have to remeasure the contact at the modification date or reassess a previous accounting determination. ASU 2020-04 can be adopted at any time before December 31, 2022. The provisions of ASU 2020-04 may impact the Company if future debt modifications or refinancings utilize one or more of the reference rates covered by the provisions of this ASU.</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Leases (ASC 842)</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 xml:space="preserve">In February 2016, the FASB issued new lease accounting guidance in ASU No. 2016-02, </w:t>
      </w:r>
      <w:r>
        <w:rPr>
          <w:rFonts w:ascii="Arial" w:cs="Arial" w:eastAsia="Arial" w:hAnsi="Arial"/>
          <w:sz w:val="17"/>
          <w:szCs w:val="17"/>
          <w:i w:val="1"/>
          <w:iCs w:val="1"/>
          <w:color w:val="212529"/>
        </w:rPr>
        <w:t>Leases-Topic 842</w:t>
      </w:r>
      <w:r>
        <w:rPr>
          <w:rFonts w:ascii="Arial" w:cs="Arial" w:eastAsia="Arial" w:hAnsi="Arial"/>
          <w:sz w:val="17"/>
          <w:szCs w:val="17"/>
          <w:color w:val="212529"/>
        </w:rPr>
        <w:t xml:space="preserve">, which has been codified in ASC 842, </w:t>
      </w:r>
      <w:r>
        <w:rPr>
          <w:rFonts w:ascii="Arial" w:cs="Arial" w:eastAsia="Arial" w:hAnsi="Arial"/>
          <w:sz w:val="17"/>
          <w:szCs w:val="17"/>
          <w:i w:val="1"/>
          <w:iCs w:val="1"/>
          <w:color w:val="212529"/>
        </w:rPr>
        <w:t>Leases</w:t>
      </w:r>
      <w:r>
        <w:rPr>
          <w:rFonts w:ascii="Arial" w:cs="Arial" w:eastAsia="Arial" w:hAnsi="Arial"/>
          <w:sz w:val="17"/>
          <w:szCs w:val="17"/>
          <w:color w:val="212529"/>
        </w:rPr>
        <w:t>, and supplemented by subsequent ASUs.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the Company's annual reporting period beginning in 2021 and interim reporting periods beginning first quarter of 2022. The FASB has recently proposed delaying the effective date of ASC 842 for certain entities. If the proposal becomes effective, the Company will be required to adopt ASC 842 for interim and annual periods beginning January 1, 2022 based on the current expectation for the expiration of the Company's EGC status. The adoption of ASC 842 will require the Company to recognize non-current assets and liabilities for right-of-use assets and operating lease liabilities on its consolidated balance sheet, but it is not expected to have a material effect on the Company's results of operations or cash flows. ASC 842 will also require additional footnote disclosures to the Company's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Credit Losses (ASU 2016-13)</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 xml:space="preserve">In June 2016, the FASB issued ASU No. 2016-13, </w:t>
      </w:r>
      <w:r>
        <w:rPr>
          <w:rFonts w:ascii="Arial" w:cs="Arial" w:eastAsia="Arial" w:hAnsi="Arial"/>
          <w:sz w:val="17"/>
          <w:szCs w:val="17"/>
          <w:i w:val="1"/>
          <w:iCs w:val="1"/>
          <w:color w:val="212529"/>
        </w:rPr>
        <w:t>Financial Instruments-Credit Losses (Topic 326): Measurement of Credit Losses on Financial</w:t>
      </w:r>
      <w:r>
        <w:rPr>
          <w:rFonts w:ascii="Arial" w:cs="Arial" w:eastAsia="Arial" w:hAnsi="Arial"/>
          <w:sz w:val="17"/>
          <w:szCs w:val="17"/>
          <w:color w:val="212529"/>
        </w:rPr>
        <w:t xml:space="preserve"> </w:t>
      </w:r>
      <w:r>
        <w:rPr>
          <w:rFonts w:ascii="Arial" w:cs="Arial" w:eastAsia="Arial" w:hAnsi="Arial"/>
          <w:sz w:val="17"/>
          <w:szCs w:val="17"/>
          <w:i w:val="1"/>
          <w:iCs w:val="1"/>
          <w:color w:val="212529"/>
        </w:rPr>
        <w:t>Instruments</w:t>
      </w:r>
      <w:r>
        <w:rPr>
          <w:rFonts w:ascii="Arial" w:cs="Arial" w:eastAsia="Arial" w:hAnsi="Arial"/>
          <w:sz w:val="17"/>
          <w:szCs w:val="17"/>
          <w:color w:val="212529"/>
        </w:rPr>
        <w:t>. This new guidance will change how entities account for credit impairment for trade and other receivables, as well as for certain financial</w:t>
      </w:r>
      <w:r>
        <w:rPr>
          <w:rFonts w:ascii="Arial" w:cs="Arial" w:eastAsia="Arial" w:hAnsi="Arial"/>
          <w:sz w:val="17"/>
          <w:szCs w:val="17"/>
          <w:i w:val="1"/>
          <w:iCs w:val="1"/>
          <w:color w:val="212529"/>
        </w:rPr>
        <w:t xml:space="preserve"> </w:t>
      </w:r>
      <w:r>
        <w:rPr>
          <w:rFonts w:ascii="Arial" w:cs="Arial" w:eastAsia="Arial" w:hAnsi="Arial"/>
          <w:sz w:val="17"/>
          <w:szCs w:val="17"/>
          <w:color w:val="212529"/>
        </w:rPr>
        <w:t>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As a Smaller Reporting Company (as defined by the SEC), the Company must adopt this new standard no later than the beginning of 2023.</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Goodwill Impairment Testing (ASU 2017-04)</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 xml:space="preserve">In January 2017, the FASB issued ASU No. 2017-04, </w:t>
      </w:r>
      <w:r>
        <w:rPr>
          <w:rFonts w:ascii="Arial" w:cs="Arial" w:eastAsia="Arial" w:hAnsi="Arial"/>
          <w:sz w:val="17"/>
          <w:szCs w:val="17"/>
          <w:i w:val="1"/>
          <w:iCs w:val="1"/>
          <w:color w:val="212529"/>
        </w:rPr>
        <w:t>Intangibles-Goodwill and Other (Topic 350): Simplifying the Test for Goodwill Impairment</w:t>
      </w:r>
      <w:r>
        <w:rPr>
          <w:rFonts w:ascii="Arial" w:cs="Arial" w:eastAsia="Arial" w:hAnsi="Arial"/>
          <w:sz w:val="17"/>
          <w:szCs w:val="17"/>
          <w:color w:val="212529"/>
        </w:rPr>
        <w:t>. ASU 2017-04 will eliminate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As an EGC, this ASU will be effective for annual and interim impairment tests performed in periods beginning in 2022. The impact that ASU 2017-04 may have on the Company's financial condition or results of operations will depend on the circumstances of any goodwill impairment event that may occur after adoption.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Share-Based Payments to Non-Employees (ASU 2018-07)</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12529"/>
        </w:rPr>
        <w:t xml:space="preserve">In June 2018, the FASB issued ASU 2018-07, </w:t>
      </w:r>
      <w:r>
        <w:rPr>
          <w:rFonts w:ascii="Arial" w:cs="Arial" w:eastAsia="Arial" w:hAnsi="Arial"/>
          <w:sz w:val="16"/>
          <w:szCs w:val="16"/>
          <w:i w:val="1"/>
          <w:iCs w:val="1"/>
          <w:color w:val="212529"/>
        </w:rPr>
        <w:t>Share-based Payments to Non-Employees</w:t>
      </w:r>
      <w:r>
        <w:rPr>
          <w:rFonts w:ascii="Arial" w:cs="Arial" w:eastAsia="Arial" w:hAnsi="Arial"/>
          <w:sz w:val="16"/>
          <w:szCs w:val="16"/>
          <w:color w:val="212529"/>
        </w:rPr>
        <w:t>,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first quarter 2021. The Company is evaluating the impact this ASU will have on its consolidated financial statements, and such impact will be dependent on any share-based payments issued to non-employees.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Share-Based Payments to Customers (ASU 2019-08)</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12529"/>
        </w:rPr>
        <w:t xml:space="preserve">In November 2019, the FASB issued ASU 2019-08, </w:t>
      </w:r>
      <w:r>
        <w:rPr>
          <w:rFonts w:ascii="Arial" w:cs="Arial" w:eastAsia="Arial" w:hAnsi="Arial"/>
          <w:sz w:val="16"/>
          <w:szCs w:val="16"/>
          <w:i w:val="1"/>
          <w:iCs w:val="1"/>
          <w:color w:val="212529"/>
        </w:rPr>
        <w:t>Stock Compensation and Revenue from Contracts with Customers</w:t>
      </w:r>
      <w:r>
        <w:rPr>
          <w:rFonts w:ascii="Arial" w:cs="Arial" w:eastAsia="Arial" w:hAnsi="Arial"/>
          <w:sz w:val="16"/>
          <w:szCs w:val="16"/>
          <w:color w:val="212529"/>
        </w:rPr>
        <w:t xml:space="preserve"> ("ASU 2019-08"). ASU 2019-08 will apply to share-based payments granted in conjunction with the sale of goods and services to a customer that are not in exchange for a distinct good or service. Entities will apply ASC 718 to measure and classify share-based sales incentives, and reflect the measurement of such incentives, as a reduction of the transaction price and also recognize such incentives in accordance with the guidance in ASC 606 on consideration payable to a customer. Entities that receive distinct goods or services from a customer will account for the share-based payment in the same manner as they account for other purchases from suppliers (i.e., by applying the guidance in ASC 718). Any excess of the fair-value-based measure of the share-based payment award over the fair value of the distinct goods or services received will be reflected as a reduction to the transaction price and recognized in accordance with the guidance in ASC 606 on consideration payable to a customer. ASU 2019-08 is effective for the Company at the same time it adopts ASU 2018-07, which is annual reporting periods beginning in 2020 and interim periods within annual periods beginning first quarter 2021. The Company is evaluating the impact this ASU will have on its consolidated financial statements, and such impact will be dependent on any share-based payments issued to customers.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Implementation Costs Incurred in Cloud Computing Arrangements (ASU 2018-15)</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 xml:space="preserve">In August 2018, the FASB issued ASU 2018-15, </w:t>
      </w:r>
      <w:r>
        <w:rPr>
          <w:rFonts w:ascii="Arial" w:cs="Arial" w:eastAsia="Arial" w:hAnsi="Arial"/>
          <w:sz w:val="17"/>
          <w:szCs w:val="17"/>
          <w:i w:val="1"/>
          <w:iCs w:val="1"/>
          <w:color w:val="212529"/>
        </w:rPr>
        <w:t>Implementation Costs Incurred in Cloud Computing Arrangements</w:t>
      </w:r>
      <w:r>
        <w:rPr>
          <w:rFonts w:ascii="Arial" w:cs="Arial" w:eastAsia="Arial" w:hAnsi="Arial"/>
          <w:sz w:val="17"/>
          <w:szCs w:val="17"/>
          <w:color w:val="212529"/>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 for annual reporting periods beginning in 2021, and interim periods within annual periods beginning in 2022. The amendments should be applied either retrospectively or prospectively to all implementation costs incurred after the date of adoption. The Company is evaluating the impact this ASU will have on its consolidated financial statements.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Simplifying the Accounting for Income Taxes (ASU 2019-12)</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 xml:space="preserve">In December 2019, the FASB issued ASU 2019-12, </w:t>
      </w:r>
      <w:r>
        <w:rPr>
          <w:rFonts w:ascii="Arial" w:cs="Arial" w:eastAsia="Arial" w:hAnsi="Arial"/>
          <w:sz w:val="18"/>
          <w:szCs w:val="18"/>
          <w:i w:val="1"/>
          <w:iCs w:val="1"/>
          <w:color w:val="212529"/>
        </w:rPr>
        <w:t>Simplifying the Accounting for Income Taxes</w:t>
      </w:r>
      <w:r>
        <w:rPr>
          <w:rFonts w:ascii="Arial" w:cs="Arial" w:eastAsia="Arial" w:hAnsi="Arial"/>
          <w:sz w:val="18"/>
          <w:szCs w:val="18"/>
          <w:color w:val="212529"/>
        </w:rPr>
        <w:t xml:space="preserve"> ("ASU 2019-12"). ASU 2019-12 will affect several topics of income tax accounting, including: tax-basis step-up in goodwill obtained in a transaction that is not a business combination; intra-period tax allocation; ownership changes in investments when an equity method investment becomes a subsidiary of an entity; interim-period accounting for enacted changes in tax law; and year-to-date loss limitation in interim-period tax accounting. This ASU is effective for the Company on January 1, 2022. The effects that the adoption of this ASU will have on the Company's results of operations, financial position, and cash flows will depend on specific events occurring for the Company after the adoption of ASU 2019-12.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REVENUES</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all periods presented, substantially all of the Company’s revenues from services were recognized over time. Revenues and commissions earned from the sales of payment equipment were typically recognized at a point in time.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disaggregation of the Company's consolidated revenues by type, and the relationships to the Company's reportable segments, for the three months ended March 31, 2020 and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tbl>
      <w:tblPr>
        <w:tblLayout w:type="fixed"/>
        <w:tblInd w:w="1000" w:type="dxa"/>
        <w:tblCellMar>
          <w:top w:w="0" w:type="dxa"/>
          <w:left w:w="0" w:type="dxa"/>
          <w:bottom w:w="0" w:type="dxa"/>
          <w:right w:w="0" w:type="dxa"/>
        </w:tblCellMar>
      </w:tblPr>
      <w:tr>
        <w:trPr>
          <w:trHeight w:val="26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520" w:type="dxa"/>
            <w:vAlign w:val="bottom"/>
            <w:tcBorders>
              <w:bottom w:val="single" w:sz="8" w:color="auto"/>
            </w:tcBorders>
            <w:shd w:val="clear" w:color="auto" w:fill="CCEEFF"/>
          </w:tcPr>
          <w:p>
            <w:pPr>
              <w:spacing w:after="0"/>
              <w:rPr>
                <w:sz w:val="22"/>
                <w:szCs w:val="22"/>
                <w:color w:val="auto"/>
              </w:rPr>
            </w:pPr>
          </w:p>
        </w:tc>
        <w:tc>
          <w:tcPr>
            <w:tcW w:w="4040" w:type="dxa"/>
            <w:vAlign w:val="bottom"/>
            <w:tcBorders>
              <w:bottom w:val="single" w:sz="8" w:color="auto"/>
            </w:tcBorders>
            <w:gridSpan w:val="4"/>
            <w:shd w:val="clear" w:color="auto" w:fill="CCEEFF"/>
          </w:tcPr>
          <w:p>
            <w:pPr>
              <w:jc w:val="right"/>
              <w:ind w:right="950"/>
              <w:spacing w:after="0"/>
              <w:rPr>
                <w:sz w:val="20"/>
                <w:szCs w:val="20"/>
                <w:color w:val="auto"/>
              </w:rPr>
            </w:pPr>
            <w:r>
              <w:rPr>
                <w:rFonts w:ascii="Arial" w:cs="Arial" w:eastAsia="Arial" w:hAnsi="Arial"/>
                <w:sz w:val="18"/>
                <w:szCs w:val="18"/>
                <w:b w:val="1"/>
                <w:bCs w:val="1"/>
                <w:color w:val="auto"/>
              </w:rPr>
              <w:t>Three Months Ended March 31,</w:t>
            </w:r>
          </w:p>
        </w:tc>
      </w:tr>
      <w:tr>
        <w:trPr>
          <w:trHeight w:val="243"/>
        </w:trPr>
        <w:tc>
          <w:tcPr>
            <w:tcW w:w="4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2019</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3"/>
        </w:trPr>
        <w:tc>
          <w:tcPr>
            <w:tcW w:w="47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Revenue Type</w:t>
            </w: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47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8"/>
                <w:szCs w:val="18"/>
                <w:color w:val="auto"/>
              </w:rPr>
              <w:t>Merchant card fees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89,086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79,594</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Outsourced services</w:t>
            </w:r>
          </w:p>
        </w:tc>
        <w:tc>
          <w:tcPr>
            <w:tcW w:w="5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r>
      <w:tr>
        <w:trPr>
          <w:trHeight w:val="243"/>
        </w:trPr>
        <w:tc>
          <w:tcPr>
            <w:tcW w:w="4700" w:type="dxa"/>
            <w:vAlign w:val="bottom"/>
          </w:tcPr>
          <w:p>
            <w:pPr>
              <w:ind w:left="260"/>
              <w:spacing w:after="0"/>
              <w:rPr>
                <w:sz w:val="20"/>
                <w:szCs w:val="20"/>
                <w:color w:val="auto"/>
              </w:rPr>
            </w:pPr>
            <w:r>
              <w:rPr>
                <w:rFonts w:ascii="Arial" w:cs="Arial" w:eastAsia="Arial" w:hAnsi="Arial"/>
                <w:sz w:val="18"/>
                <w:szCs w:val="18"/>
                <w:color w:val="auto"/>
              </w:rPr>
              <w:t>Other services</w:t>
            </w:r>
          </w:p>
        </w:tc>
        <w:tc>
          <w:tcPr>
            <w:tcW w:w="5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Equipment</w:t>
            </w:r>
          </w:p>
        </w:tc>
        <w:tc>
          <w:tcPr>
            <w:tcW w:w="5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96,933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87,646</w:t>
            </w: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The Company's revenues by type are earned in the Company's reportable segments as follows: merchant card fees primarily in Consumer Payments; outsourced services revenues primarily in Commercial Payments; other services revenues in Commercial Payments and Integrated Partners; and equipment revenues in Consumer Payments.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Transaction Price Allocated to Future Performance Obligations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ASC 606 requires disclosure of the aggregate amount of the transaction price allocated to unsatisfied performance obligations. However, as allowed by ASC 606, the Company has elected to exclude from this disclosure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Contract Costs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12529"/>
        </w:rPr>
        <w:t>For new, renewed, or anticipated contracts with customers, the Company does not incur material amounts of incremental costs to obtain such contracts, as those costs are defined by ASC 340-40.</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212529"/>
        </w:rPr>
        <w:t>Fulfillment costs, as defined by ASC 340-40, typically benefit only the period (typically a month in duration) in which they are incurred and therefore are expensed in the period incurred (i.e., not capitalized) unless they meet criteria to be capitalized under other accounting guidance.</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The Company pays commissions to most of its ISOs, and for certain ISOs the Company also pays (through a higher commission rate) them to provide customer service and other services directly to our merchant customers. The ISO is typically an independent contractor or agent of the Company. Although certain ISOs may have merchant portability rights, the merchant meets the definition of a customer for the Company even if the ISO has merchant portability rights. Since payments to ISOs are dependent substantially on variable merchant payment volumes generated after the merchant enters into a new or renewed contract, these payments to ISOs are not deemed to be a cost to acquire a new contract since the ISO payments are based on factors that will arise subsequent to the event of obtaining a new or renewed contract. Also, payments to ISOs pertain only to a specific month’s activity. For payments made, or due, to an ISO, the expenses are reported within income from operations on our statements of operations.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12529"/>
        </w:rPr>
        <w:t>The Company from time-to-time may elect to buy out all or a portion of an ISO’s rights to receive future commission payments related to certain merchants. Amounts paid to the ISO for these residual buyouts are capitalized by the Company under the accounting guidance for intangible assets.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contract with a customer creates legal rights and obligations. As the Company performs under customer contracts, its right to consideration that is unconditional is considered to be accounts receivable. If the Company’s right to consideration for such performance is contingent upon a future event or satisfaction of additional performance obligations, the amount of revenues recognized in excess of the amount billed to the customer is recognized as a contract asset. Contract liabilities represent consideration received from customers in excess of revenues recognized. Material contract assets and liabilities are presented net at the individual contract level in the consolidated balance sheet and are classified as current or noncurrent based on the nature of the underlying contractual rights and obligations.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contracts from customers as of March 31, 2020 and December 31, 2019 was as follows:</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6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9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Consolidated Balance Sheet Location</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3"/>
              </w:rPr>
              <w:t>March 31, 2020</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December 31, 2019</w:t>
            </w:r>
          </w:p>
        </w:tc>
      </w:tr>
      <w:tr>
        <w:trPr>
          <w:trHeight w:val="243"/>
        </w:trPr>
        <w:tc>
          <w:tcPr>
            <w:tcW w:w="3240" w:type="dxa"/>
            <w:vAlign w:val="bottom"/>
          </w:tcPr>
          <w:p>
            <w:pPr>
              <w:spacing w:after="0"/>
              <w:rPr>
                <w:sz w:val="21"/>
                <w:szCs w:val="21"/>
                <w:color w:val="auto"/>
              </w:rPr>
            </w:pPr>
          </w:p>
        </w:tc>
        <w:tc>
          <w:tcPr>
            <w:tcW w:w="3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Contract liabilities, net (current)</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Customer deposits and advance payments</w:t>
            </w: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1"/>
                <w:szCs w:val="21"/>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$1,912</w:t>
            </w:r>
          </w:p>
        </w:tc>
      </w:tr>
    </w:tbl>
    <w:p>
      <w:pPr>
        <w:spacing w:after="0" w:line="200" w:lineRule="exact"/>
        <w:rPr>
          <w:sz w:val="20"/>
          <w:szCs w:val="20"/>
          <w:color w:val="auto"/>
        </w:rPr>
      </w:pPr>
    </w:p>
    <w:p>
      <w:pPr>
        <w:spacing w:after="0" w:line="3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The balance for the contract liabilities was approximately $1,738,000 and $1,776,000 at March 31, 2019 and January 1, 2019, respectively. Substantially all of these balances are recognized as revenue within twelve months. The changes in the balances during the three months ended March 31, 2020 and 2019 were due to the timing of advance payments received from the customer.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12529"/>
        </w:rPr>
        <w:t>Net contract assets were not material for any period presented.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Impairment losses recognized on receivables or contract assets arising from the Company's contracts with customers were not material for the three months ended March 31, 2020 and 2019.</w:t>
      </w:r>
    </w:p>
    <w:p>
      <w:pPr>
        <w:spacing w:after="0" w:line="200" w:lineRule="exact"/>
        <w:rPr>
          <w:sz w:val="20"/>
          <w:szCs w:val="20"/>
          <w:color w:val="auto"/>
        </w:rPr>
      </w:pPr>
    </w:p>
    <w:p>
      <w:pPr>
        <w:spacing w:after="0" w:line="3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ASSET ACQUISITIONS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YapStone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In March 2019, the Company, through one of its subsidiaries, Priority Real Estate Technology, LLC ("PRET"), acquired certain assets and assumed certain related liabilities (the "YapStone net assets") from YapStone, Inc. ("YapStone") under an asset purchase and contribution agreement. The purchase price for the YapStone net assets was $65.0 million in cash plus a non-controlling interest in PRET. The fair value of the non-controlling interest was estimated to be approximately $5.7 million. The total purchase price was assigned to customer relationships, except for $1.0 million and $1.2 million which were assigned to a software license agreement and a services agreement, respectively. The $65.0 million of cash was funded from a draw down of the Senior Credit Facility on a delayed basis as provided for and pursuant to the third amendment thereto executed in December 2018. During the three months ended March 31, 2020 and 2019, no earnings of PRET were allocated to the non-controlling interest pursuant to the profit-sharing agreement between the Company and the non-controlling interest.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for information about merchant portfolios acquired in 2019 that included contingent purchase prices.</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information about assets contributed to the Company during the first quarter of 2019 that involved a contingent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SETTLEMENT ASSETS AND OBLIGATIONS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Consumer Payments Segment</w:t>
      </w:r>
    </w:p>
    <w:p>
      <w:pPr>
        <w:spacing w:after="0" w:line="2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 xml:space="preserve">In the Company’s Consumer Payments reportable segment, funds settlement refers to the process of transferring funds for sales and credits between card issuers and merchants. The standards of the card networks restrict non-members, such as the Company, from performing funds settlement or accessing merchant settlement funds. Instead, these funds must be in the possession of a member bank until the merchant is funded. The Company has agreements with member banks which allow the Company to route transactions under the member bank's control to clear transactions through the card networks. Timing differences, interchange fees, merchant reserves and exception items cause differences between the amounts received from the card networks and the amounts funded to the merchants. Since settlement funds are required to be in the possession of a member bank until the merchant is funded, these funds are not assets of the Company and the associated obligations are not liabilities of the Company. Therefore, neither is recognized in the Company’s consolidated balance sheets. Member banks held merchant funds of approximately </w:t>
      </w:r>
      <w:r>
        <w:rPr>
          <w:rFonts w:ascii="Arial" w:cs="Arial" w:eastAsia="Arial" w:hAnsi="Arial"/>
          <w:sz w:val="17"/>
          <w:szCs w:val="17"/>
          <w:color w:val="000000"/>
        </w:rPr>
        <w:t>$71.7 million and $79.8 million at March 31, 2020 and December 31,</w:t>
      </w:r>
      <w:r>
        <w:rPr>
          <w:rFonts w:ascii="Arial" w:cs="Arial" w:eastAsia="Arial" w:hAnsi="Arial"/>
          <w:sz w:val="17"/>
          <w:szCs w:val="17"/>
          <w:color w:val="212529"/>
        </w:rPr>
        <w:t xml:space="preserve"> </w:t>
      </w:r>
      <w:r>
        <w:rPr>
          <w:rFonts w:ascii="Arial" w:cs="Arial" w:eastAsia="Arial" w:hAnsi="Arial"/>
          <w:sz w:val="17"/>
          <w:szCs w:val="17"/>
          <w:color w:val="000000"/>
        </w:rPr>
        <w:t>2019, respectively.</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Exception items include items such as customer chargeback amounts received from merchants and other losses. Under agreements between the Company and its merchant customers, the merchants assume liability for such chargebacks and losses. If the Company is ultimately unable to collect amounts from the merchants for any charges or losses due to merchant fraud, insolvency, bankruptcy or any other reason, it may be liable for these charges. In order to mitigate the risk of such liability, the Company may 1) require certain merchants to establish and maintain reserves designed to protect the Company from such charges or losses under its risk-based underwriting policy and 2) engage with certain ISOs in partner programs in which the ISOs assume liability for these charges or losses. A merchant reserve account is funded by the merchant and held by the member bank during the term of the merchant agreement. Unused merchant reserves are returned to the merchant after termination of the merchant agreement or in certain instances upon a reassessment of risks during the term of the merchant agreement.</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Exception items that the Company is attempting to collect from the merchants through the funds settlement process, merchant reserves or from the ISO partners are recognized as settlement assets in the Company’s consolidated balance sheets, with an offsetting reserve for those amounts the Company estimates it will not be able to recover. Provisions for merchant losses are included as a component of costs of services in the Company’s consolidated statements of operations.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Segment</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Company’s Commercial Payments segment, the Company earns revenue from certain of its services by processing ACH transactions for financial institutions and other business customers. Customers transfer funds to the Company, which are held in bank accounts controlled by the Company until such time as the ACH transactions are made. The Company recognizes these cash balances within restricted cash and settlement obligations in its consolidated balance sheets.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settlement assets and obligations at March 31, 2020 and December 31, 2019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shd w:val="clear" w:color="auto" w:fill="CCEEFF"/>
          </w:tcPr>
          <w:p>
            <w:pPr>
              <w:spacing w:after="0"/>
              <w:rPr>
                <w:sz w:val="22"/>
                <w:szCs w:val="22"/>
                <w:color w:val="auto"/>
              </w:rPr>
            </w:pPr>
          </w:p>
        </w:tc>
        <w:tc>
          <w:tcPr>
            <w:tcW w:w="2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As of</w:t>
            </w:r>
          </w:p>
        </w:tc>
        <w:tc>
          <w:tcPr>
            <w:tcW w:w="1800" w:type="dxa"/>
            <w:vAlign w:val="bottom"/>
            <w:tcBorders>
              <w:bottom w:val="single" w:sz="8" w:color="auto"/>
            </w:tcBorders>
            <w:shd w:val="clear" w:color="auto" w:fill="CCEEFF"/>
          </w:tcPr>
          <w:p>
            <w:pPr>
              <w:spacing w:after="0"/>
              <w:rPr>
                <w:sz w:val="22"/>
                <w:szCs w:val="22"/>
                <w:color w:val="auto"/>
              </w:rPr>
            </w:pPr>
          </w:p>
        </w:tc>
      </w:tr>
      <w:tr>
        <w:trPr>
          <w:trHeight w:val="243"/>
        </w:trPr>
        <w:tc>
          <w:tcPr>
            <w:tcW w:w="6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2020</w:t>
            </w:r>
          </w:p>
        </w:tc>
        <w:tc>
          <w:tcPr>
            <w:tcW w:w="220" w:type="dxa"/>
            <w:vAlign w:val="bottom"/>
          </w:tcPr>
          <w:p>
            <w:pPr>
              <w:spacing w:after="0"/>
              <w:rPr>
                <w:sz w:val="21"/>
                <w:szCs w:val="21"/>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6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Settlement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180"/>
              <w:spacing w:after="0"/>
              <w:rPr>
                <w:sz w:val="20"/>
                <w:szCs w:val="20"/>
                <w:color w:val="auto"/>
              </w:rPr>
            </w:pPr>
            <w:r>
              <w:rPr>
                <w:rFonts w:ascii="Arial" w:cs="Arial" w:eastAsia="Arial" w:hAnsi="Arial"/>
                <w:sz w:val="18"/>
                <w:szCs w:val="18"/>
                <w:color w:val="auto"/>
              </w:rPr>
              <w:t>Card settlements due from merchants, net of estimated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Card settlements due from processors</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97"/>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settlement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r>
      <w:tr>
        <w:trPr>
          <w:trHeight w:val="270"/>
        </w:trPr>
        <w:tc>
          <w:tcPr>
            <w:tcW w:w="64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Settlement Obligations:</w:t>
            </w: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Card settlements due to merchants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6460" w:type="dxa"/>
            <w:vAlign w:val="bottom"/>
          </w:tcPr>
          <w:p>
            <w:pPr>
              <w:ind w:left="180"/>
              <w:spacing w:after="0"/>
              <w:rPr>
                <w:sz w:val="20"/>
                <w:szCs w:val="20"/>
                <w:color w:val="auto"/>
              </w:rPr>
            </w:pPr>
            <w:r>
              <w:rPr>
                <w:rFonts w:ascii="Arial" w:cs="Arial" w:eastAsia="Arial" w:hAnsi="Arial"/>
                <w:sz w:val="18"/>
                <w:szCs w:val="18"/>
                <w:color w:val="auto"/>
              </w:rPr>
              <w:t>Due to ACH payees (1)</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30,643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37,745</w:t>
            </w:r>
          </w:p>
        </w:tc>
      </w:tr>
      <w:tr>
        <w:trPr>
          <w:trHeight w:val="27"/>
        </w:trPr>
        <w:tc>
          <w:tcPr>
            <w:tcW w:w="6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settlement obligations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37,789</w:t>
            </w: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due to ACH payees are held by the Company in restricted cash.</w:t>
      </w:r>
    </w:p>
    <w:p>
      <w:pPr>
        <w:spacing w:after="0" w:line="225" w:lineRule="exact"/>
        <w:rPr>
          <w:rFonts w:ascii="Arial" w:cs="Arial" w:eastAsia="Arial" w:hAnsi="Arial"/>
          <w:sz w:val="18"/>
          <w:szCs w:val="18"/>
          <w:color w:val="auto"/>
        </w:rPr>
      </w:pPr>
    </w:p>
    <w:p>
      <w:pPr>
        <w:ind w:left="5540" w:hanging="111"/>
        <w:spacing w:after="0"/>
        <w:tabs>
          <w:tab w:leader="none" w:pos="5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records goodwill when an acquisition is made and the purchase price is greater than the fair value assigned to the underlying tangible and intangible assets acquired and the liabilities assumed. The Company's goodwill was allocated to two of the Company's reportable segments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Consumer Payments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106,832</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106,832</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Partners</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r>
      <w:tr>
        <w:trPr>
          <w:trHeight w:val="237"/>
        </w:trPr>
        <w:tc>
          <w:tcPr>
            <w:tcW w:w="70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109,515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109,515</w:t>
            </w:r>
          </w:p>
        </w:tc>
      </w:tr>
      <w:tr>
        <w:trPr>
          <w:trHeight w:val="27"/>
        </w:trPr>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carrying amount of goodwill for the three months ended March 31, 2020.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tests goodwill for impairment for each of its reporting units on an annual basis, or when events occur or circumstances indicate the fair value of a reporting unit may be below its carrying value. The Company expects to perform its next annual goodwill impairment test as of November 30, 2020 using market data and discounted cash flow analysis. The Company concluded there was no impairment as of March 31, 2020 or December 31, 2019. As such, there was no accumulated impairment loss as of March 31, 2020 and December 31, 2019.</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 xml:space="preserve">The Company's intangible assets include acquired merchant portfolios, customer relationships, ISO relationships, trade names, technology, non-compete agreements, and residual buyouts. </w:t>
      </w:r>
      <w:r>
        <w:rPr>
          <w:rFonts w:ascii="Arial" w:cs="Arial" w:eastAsia="Arial" w:hAnsi="Arial"/>
          <w:sz w:val="18"/>
          <w:szCs w:val="18"/>
          <w:color w:val="000000"/>
        </w:rPr>
        <w:t>As of March 31, 2020 and December 31, 2019, intangible assets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23"/>
                <w:szCs w:val="23"/>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Merchant portfolios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114,554</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40,740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40,740</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Residual buyouts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112,731</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Non-compete agreements</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3,390</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15,390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15,390</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ISO relationships</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15,200</w:t>
            </w:r>
          </w:p>
        </w:tc>
      </w:tr>
      <w:tr>
        <w:trPr>
          <w:trHeight w:val="237"/>
        </w:trPr>
        <w:tc>
          <w:tcPr>
            <w:tcW w:w="7080" w:type="dxa"/>
            <w:vAlign w:val="bottom"/>
          </w:tcPr>
          <w:p>
            <w:pPr>
              <w:ind w:left="760"/>
              <w:spacing w:after="0"/>
              <w:rPr>
                <w:sz w:val="20"/>
                <w:szCs w:val="20"/>
                <w:color w:val="auto"/>
              </w:rPr>
            </w:pPr>
            <w:r>
              <w:rPr>
                <w:rFonts w:ascii="Arial" w:cs="Arial" w:eastAsia="Arial" w:hAnsi="Arial"/>
                <w:sz w:val="18"/>
                <w:szCs w:val="18"/>
                <w:color w:val="auto"/>
              </w:rPr>
              <w:t>Total gross carrying value</w:t>
            </w: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305,823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304,875</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Merchant portfolios</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(12,655)</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(25,836)</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Residual buyouts</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(62,895)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(59,796)</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Non-compete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(12,758)</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ISO relationships</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(6,341)</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accumulated 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(122,049)</w:t>
            </w:r>
          </w:p>
        </w:tc>
      </w:tr>
      <w:tr>
        <w:trPr>
          <w:trHeight w:val="155"/>
        </w:trPr>
        <w:tc>
          <w:tcPr>
            <w:tcW w:w="70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r>
      <w:tr>
        <w:trPr>
          <w:trHeight w:val="264"/>
        </w:trPr>
        <w:tc>
          <w:tcPr>
            <w:tcW w:w="708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Net carrying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175,303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182,826</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Note 10</w:t>
      </w:r>
      <w:r>
        <w:rPr>
          <w:rFonts w:ascii="Arial" w:cs="Arial" w:eastAsia="Arial" w:hAnsi="Arial"/>
          <w:sz w:val="18"/>
          <w:szCs w:val="18"/>
          <w:i w:val="1"/>
          <w:iCs w:val="1"/>
          <w:color w:val="auto"/>
        </w:rPr>
        <w:t>, Commitments and Contingencies,</w:t>
      </w:r>
      <w:r>
        <w:rPr>
          <w:rFonts w:ascii="Arial" w:cs="Arial" w:eastAsia="Arial" w:hAnsi="Arial"/>
          <w:sz w:val="18"/>
          <w:szCs w:val="18"/>
          <w:color w:val="auto"/>
        </w:rPr>
        <w:t xml:space="preserve"> for information about a merchant portfolio with a contingent purchase price.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for finite-lived intangible assets was approximately $8.5 million and $7.5 million for the three months ended March 31, 2020 and 2019, respectively. Amortization expense for future periods could differ due to new intangible asset acquisitions, changes in useful lives of existing intangible assets, and other relevant events or circumstances.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tests intangible assets for impairment when events occur or circumstances indicate that the fair value of an intangible asset or group of intangible assets may be impaired. The Company concluded there were no impairments as of March 31, 2020 or December 31, 2019. As such, there was no accumulated impairment loss as of March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PROPERTY, EQUIPMENT AND SOFTWARE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12529"/>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software as of March 31, 2020 and December 31, 2019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c>
          <w:tcPr>
            <w:tcW w:w="100" w:type="dxa"/>
            <w:vAlign w:val="bottom"/>
            <w:shd w:val="clear" w:color="auto" w:fill="CCEEFF"/>
          </w:tcPr>
          <w:p>
            <w:pPr>
              <w:spacing w:after="0"/>
              <w:rPr>
                <w:sz w:val="22"/>
                <w:szCs w:val="22"/>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43"/>
        </w:trPr>
        <w:tc>
          <w:tcPr>
            <w:tcW w:w="49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2,787</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2-7 years</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10,101</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3-7 years</w:t>
            </w: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37,440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6,390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6,367</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5-10 years</w:t>
            </w: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56,695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(34,916)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(33,177)</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23,518</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property, equipment, and software totaled $1.8 million and $1.4 million for the three months ended March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Purchases of property, equipment and software accrued in accounts payable were not material for any period presented.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ACCOUNTS PAYABLE AND ACCRUED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accrues for certain expenses that have been incurred and not paid, which are classified within accounts payable and accrued expenses in the accompanying consolidated balance sheets.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components of accounts payable and accrued expenses that exceeded five percent of total current liabilities at either March 31, 2020 or December 31, 2019 consisted of the following: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230"/>
        </w:trPr>
        <w:tc>
          <w:tcPr>
            <w:tcW w:w="70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Accrued network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6,779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6,950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 obligations as of March 31, 2020 and December 31, 2019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175"/>
        </w:trPr>
        <w:tc>
          <w:tcPr>
            <w:tcW w:w="70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r>
      <w:tr>
        <w:trPr>
          <w:trHeight w:val="22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Senior Credit Agreement - Bears interest at LIBOR plus 6.5% and 5.0% at March 31, 2020 and</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6"/>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December 31, 2019, respectively (rate of 8.11% at March 31, 2020 and 6.71% at December 31,</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Term facility - Matures January 3, 2023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387,836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388,837</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Revolving credit facility - $25.0 million line, matures January 22, 2022</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11,500</w:t>
            </w: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w w:val="93"/>
              </w:rPr>
              <w:t>Term Loan - Subordinated, matures July 3, 2023 and bears interest at 5.0% plus an applicable</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w w:val="97"/>
              </w:rPr>
              <w:t>margin (rate of 12.5% and 10.5% at March 31, 2020 and December 31, 2019, respectively)</w:t>
            </w:r>
          </w:p>
        </w:tc>
        <w:tc>
          <w:tcPr>
            <w:tcW w:w="260" w:type="dxa"/>
            <w:vAlign w:val="bottom"/>
          </w:tcPr>
          <w:p>
            <w:pPr>
              <w:spacing w:after="0"/>
              <w:rPr>
                <w:sz w:val="20"/>
                <w:szCs w:val="20"/>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96,533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95,142</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debt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499,369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495,479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(7,866)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(4,007)</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discounts and deferred financing costs</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w:t>
            </w: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b w:val="1"/>
                <w:bCs w:val="1"/>
                <w:color w:val="auto"/>
              </w:rPr>
              <w:t>Long-term debt,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483,319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485,578</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Substantially all of the Company's assets are pledged as collateral under the credit agreements. The Company's parent entity, Priority Technology Holdings, Inc., is neither a borrower nor a guarantor of the credit agreements. The Company's subsidiaries that are borrowers or guarantors under the credit agreements are referred to as the "Borrowers."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in First Quarter 2020</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18, 2020, the Borrowers entered into an amendment to the Senior Credit Agreement with an existing syndicate of lenders (the "Senior Credit Agreement") and into a related amendment to the existing credit agreement with Goldman Sachs Specialty Lending, LLC (the "GS Credit Agreement"). Both amendments were accounted for as debt modifications under GAAP. Together, these amendments are referred to as the "Sixth Amendment."</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Sixth Amendment, the outstanding balances under the term loan facilities of the Senior Credit Agreement and the GS Credit Agreement term loan were not changed. Additionally, the Senior Credit Agreement continues to provide a $25.0 million revolving credit facility, which includes accommodation for any outstanding letters of credit and a $5.0 million swing line facility. At March 31, 2020 and December 31, 2019, approximately $10.0 million and $13.5 million, respectively, was available under the revolving credit facility. Undrawn commitments for letters of credit under the revolving credit facility were not material at March 31, 2020 and December 31,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Agreement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Outstanding borrowings under the term loan facility of the Senior Credit Agreement accrue interest using either a base rate (as defined) or a LIBOR rate plus an applicable margin, or percentage per annum, as provided in the amended credit agreement. Accrued interest is payable quarterly. The revolving credit facility incurs a commitment fee on any undrawn amount of the $25.0 million credit line, which equates to 0.50% per annum for the unused portion.</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GS Credit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Outstanding borrowings under the GS Credit Agreement accrue interest at 5.0%, plus an applicable margin, or percentage per annum, as indicated in the amended credit agreement. Accrued interest is payable quarterly at 5.0% per annum, and the accrued interest attributable to the applicable margin is capitalized as payment-in-kind ("PIK") interest each quarter.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Changes in Future Applicable Interest Rate Margins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terms of the Senior Credit Agreement and the GS Credit Agreement, the future applicable interest rate margins may vary based on the Borrowers' future Total Net Leverage Ratio (as defined) in addition to future changes in the underlying market rates for LIBOR and the rate used for base-rate borrowings. Additionally, the future interest rate margins will increase 1.0% if the Borrowers do not make a permitted accelerated principal payment of at least $100 million under the term loan facility of the Senior Credit Agreement on or before June 16, 2020, with additional 50 basis-point increases in the applicable margins every successive 30 days through October 14, 2020 if the permitted accelerated principal payment of at least $100 million does not occur, up to a total interest rate margin increase of 3.0%. Any increase in the interest rate margin will not be applicable at any time after the Borrowers have made the accelerated payment of at least $100 million, other than with proceeds of indebtedness. Should these increases in the applicable interest rate margins occur, all or a portion of such additional interest rates, at the option of the Borrowers, may be payable in kind. The Company is pursuing the ability to make the accelerated payment by raising cash through various means.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Senior Credit Agreement and the GS Credit Agreement also have incremental margins that would apply to the future applicable interest rates if the Borrowers are deemed to be in violation of the terms of the credit agreement.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on terms and conditions existing at March 31, 2020, future minimum principal payments for long-term debt are as follows:</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6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3680" w:type="dxa"/>
            <w:vAlign w:val="bottom"/>
            <w:tcBorders>
              <w:bottom w:val="single" w:sz="8" w:color="auto"/>
            </w:tcBorders>
            <w:gridSpan w:val="4"/>
            <w:shd w:val="clear" w:color="auto" w:fill="CCEEFF"/>
          </w:tcPr>
          <w:p>
            <w:pPr>
              <w:jc w:val="right"/>
              <w:ind w:right="1390"/>
              <w:spacing w:after="0"/>
              <w:rPr>
                <w:sz w:val="20"/>
                <w:szCs w:val="20"/>
                <w:color w:val="auto"/>
              </w:rPr>
            </w:pPr>
            <w:r>
              <w:rPr>
                <w:rFonts w:ascii="Arial" w:cs="Arial" w:eastAsia="Arial" w:hAnsi="Arial"/>
                <w:sz w:val="18"/>
                <w:szCs w:val="18"/>
                <w:color w:val="auto"/>
              </w:rPr>
              <w:t>Principal Due</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60" w:type="dxa"/>
            <w:vAlign w:val="bottom"/>
            <w:gridSpan w:val="4"/>
          </w:tcPr>
          <w:p>
            <w:pPr>
              <w:ind w:left="400"/>
              <w:spacing w:after="0"/>
              <w:rPr>
                <w:sz w:val="20"/>
                <w:szCs w:val="20"/>
                <w:color w:val="auto"/>
              </w:rPr>
            </w:pPr>
            <w:r>
              <w:rPr>
                <w:rFonts w:ascii="Arial" w:cs="Arial" w:eastAsia="Arial" w:hAnsi="Arial"/>
                <w:sz w:val="18"/>
                <w:szCs w:val="18"/>
                <w:color w:val="auto"/>
              </w:rPr>
              <w:t>Senior Credit Agreement</w:t>
            </w:r>
          </w:p>
        </w:tc>
        <w:tc>
          <w:tcPr>
            <w:tcW w:w="220" w:type="dxa"/>
            <w:vAlign w:val="bottom"/>
          </w:tcPr>
          <w:p>
            <w:pPr>
              <w:spacing w:after="0"/>
              <w:rPr>
                <w:sz w:val="21"/>
                <w:szCs w:val="21"/>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w w:val="95"/>
              </w:rPr>
              <w:t>GS Credit Agreement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Twelve-month period ending March 31,</w:t>
            </w:r>
          </w:p>
        </w:tc>
        <w:tc>
          <w:tcPr>
            <w:tcW w:w="380" w:type="dxa"/>
            <w:vAlign w:val="bottom"/>
            <w:shd w:val="clear" w:color="auto" w:fill="CCEEFF"/>
          </w:tcPr>
          <w:p>
            <w:pPr>
              <w:spacing w:after="0"/>
              <w:rPr>
                <w:sz w:val="7"/>
                <w:szCs w:val="7"/>
                <w:color w:val="auto"/>
              </w:rPr>
            </w:pPr>
          </w:p>
        </w:tc>
        <w:tc>
          <w:tcPr>
            <w:tcW w:w="1240" w:type="dxa"/>
            <w:vAlign w:val="bottom"/>
            <w:vMerge w:val="restart"/>
            <w:shd w:val="clear" w:color="auto" w:fill="CCEEFF"/>
          </w:tcPr>
          <w:p>
            <w:pPr>
              <w:jc w:val="right"/>
              <w:ind w:right="510"/>
              <w:spacing w:after="0"/>
              <w:rPr>
                <w:sz w:val="20"/>
                <w:szCs w:val="20"/>
                <w:color w:val="auto"/>
              </w:rPr>
            </w:pPr>
            <w:r>
              <w:rPr>
                <w:rFonts w:ascii="Arial" w:cs="Arial" w:eastAsia="Arial" w:hAnsi="Arial"/>
                <w:sz w:val="18"/>
                <w:szCs w:val="18"/>
                <w:color w:val="auto"/>
              </w:rPr>
              <w:t>Term</w:t>
            </w:r>
          </w:p>
        </w:tc>
        <w:tc>
          <w:tcPr>
            <w:tcW w:w="360" w:type="dxa"/>
            <w:vAlign w:val="bottom"/>
            <w:shd w:val="clear" w:color="auto" w:fill="CCEEFF"/>
          </w:tcPr>
          <w:p>
            <w:pPr>
              <w:spacing w:after="0"/>
              <w:rPr>
                <w:sz w:val="7"/>
                <w:szCs w:val="7"/>
                <w:color w:val="auto"/>
              </w:rPr>
            </w:pPr>
          </w:p>
        </w:tc>
        <w:tc>
          <w:tcPr>
            <w:tcW w:w="14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Revolver</w:t>
            </w:r>
          </w:p>
        </w:tc>
        <w:tc>
          <w:tcPr>
            <w:tcW w:w="220" w:type="dxa"/>
            <w:vAlign w:val="bottom"/>
            <w:shd w:val="clear" w:color="auto" w:fill="CCEEFF"/>
          </w:tcPr>
          <w:p>
            <w:pPr>
              <w:spacing w:after="0"/>
              <w:rPr>
                <w:sz w:val="7"/>
                <w:szCs w:val="7"/>
                <w:color w:val="auto"/>
              </w:rPr>
            </w:pPr>
          </w:p>
        </w:tc>
        <w:tc>
          <w:tcPr>
            <w:tcW w:w="2000" w:type="dxa"/>
            <w:vAlign w:val="bottom"/>
            <w:vMerge w:val="restart"/>
            <w:shd w:val="clear" w:color="auto" w:fill="CCEEFF"/>
          </w:tcPr>
          <w:p>
            <w:pPr>
              <w:jc w:val="right"/>
              <w:ind w:right="830"/>
              <w:spacing w:after="0"/>
              <w:rPr>
                <w:sz w:val="20"/>
                <w:szCs w:val="20"/>
                <w:color w:val="auto"/>
              </w:rPr>
            </w:pPr>
            <w:r>
              <w:rPr>
                <w:rFonts w:ascii="Arial" w:cs="Arial" w:eastAsia="Arial" w:hAnsi="Arial"/>
                <w:sz w:val="18"/>
                <w:szCs w:val="18"/>
                <w:color w:val="auto"/>
              </w:rPr>
              <w:t>Term</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CCEEFF"/>
            </w:tcBorders>
            <w:gridSpan w:val="2"/>
            <w:vMerge w:val="continue"/>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vMerge w:val="continue"/>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vMerge w:val="continue"/>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2021 </w:t>
            </w:r>
            <w:r>
              <w:rPr>
                <w:rFonts w:ascii="Arial" w:cs="Arial" w:eastAsia="Arial" w:hAnsi="Arial"/>
                <w:sz w:val="18"/>
                <w:szCs w:val="18"/>
                <w:i w:val="1"/>
                <w:iCs w:val="1"/>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7,866</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24,302</w:t>
            </w: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39,302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355,668</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355,668</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96,533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96,533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387,836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96,533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499,369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Additionally, the Company may be obligated to make certain additional mandatory prepayments after the end of each year based on excess cash flow, as defined in the Senior Credit Agreement. No such prepayments were due for the year ended December 31, 2019.</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Under the Senior Credit Agreement, prepayments of outstanding principal may be made in permitted increments with a 1% penalty for certain prepayments. Under the GS Credit Agreement, prepayment of outstanding principal is subject to a 4.0% penalty for certain prepayments occurring prior to March 18, 2021 and 2.0% for certain prepayments occurring between March 18, 2021 and March 18, 2022. Such penalties will be based on the principal amount that is prepaid, subject to the terms of the credit agreements.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Interest Expense, Deferred Financing Costs, and Debt Discounts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amount borrowed and still outstanding under the GS Credit Agreement was $80.0 million. Included in the outstanding principal balance at March 31, 2020 and December 31, 2019 was accumulated PIK interest of approximately $16.5 million and $15.1 million, respectively. For the three months ended March 31, 2020 and March 31, 2019, PIK interest under the GS Credit Agreement added $1.4 million and $1.2 million, respectively, to the principal amount of the subordinated debt.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2020 and 2019, interest expense, including fees for undrawn amounts under the revolving credit facility and amortization of deferred financing costs and debt discounts, was $10.3 million and $9.4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Interest expense for the three months ended March 31, 2019 also included a $0.4 million fee for the $70.0 million delayed principal draw under December 2018 amendment to the Senior Credit Agreement, which occurred during the first quarter of 2019.</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Sixth Amendment, approximately $2.7 million of lender fees were capitalized and, along with existing unamortized loan costs and discount of approximately $5.6 million, continue to be amortized as a component of interest expense on the Company's statements of operations. Interest expense related to amortization of deferred financing costs and debt discounts was approximately $0.5 million and $0.4 million for the three months ended March 31, 2020 and 2019, respectively. As a result of the Sixth Amendment, the effective interest rates, which includes the amortization of capitalized deferred financing costs and debt discounts, are 8.87% and 12.91% for the term debt under the Senior Credit Agreement and the GS Credit Agreement, respectively, and are subject to future changes in the applicable interest rate margins as previously described. Approximately $0.4 million of third-party costs were expensed in connection with the Sixth Amendment.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Credit Agreement and the GS Credit Agreement, as amended, contain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Company's subsidiaries to the Company, merge or consolidate, dispose of assets, incur additional indebtedness, make certain investments or acquisitions, enter into certain transactions (including with affiliates), and to enter into certain leases.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also required to comply with certain restrictions on its Total Net Leverage Ratio, which is defined in the credit agreements as the ratio of consolidated total debt of the Borrowers to the Company's consolidated adjusted EBITDA (as defined in the Senior Credit Agreement and GS Credit Agreement). The maximum permitted Total Net Leverage Ratio was 8.00:1.00 at March 31, 2020. As of March 31, 2020, the Company remained in compliance with the covenants.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benefit for federal and state income taxes was as follows:</w:t>
      </w:r>
    </w:p>
    <w:p>
      <w:pPr>
        <w:spacing w:after="0" w:line="374" w:lineRule="exact"/>
        <w:rPr>
          <w:sz w:val="20"/>
          <w:szCs w:val="20"/>
          <w:color w:val="auto"/>
        </w:rPr>
      </w:pPr>
    </w:p>
    <w:tbl>
      <w:tblPr>
        <w:tblLayout w:type="fixed"/>
        <w:tblInd w:w="1700" w:type="dxa"/>
        <w:tblCellMar>
          <w:top w:w="0" w:type="dxa"/>
          <w:left w:w="0" w:type="dxa"/>
          <w:bottom w:w="0" w:type="dxa"/>
          <w:right w:w="0" w:type="dxa"/>
        </w:tblCellMar>
      </w:tblPr>
      <w:tr>
        <w:trPr>
          <w:trHeight w:val="27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23"/>
                <w:szCs w:val="23"/>
                <w:color w:val="auto"/>
              </w:rPr>
            </w:pPr>
          </w:p>
        </w:tc>
        <w:tc>
          <w:tcPr>
            <w:tcW w:w="2140" w:type="dxa"/>
            <w:vAlign w:val="bottom"/>
            <w:gridSpan w:val="4"/>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7"/>
              </w:rPr>
              <w:t>Three Months Ended</w:t>
            </w:r>
          </w:p>
        </w:tc>
      </w:tr>
      <w:tr>
        <w:trPr>
          <w:trHeight w:val="243"/>
        </w:trPr>
        <w:tc>
          <w:tcPr>
            <w:tcW w:w="5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5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benefit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Deferred income tax benefit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(1,621)</w:t>
            </w:r>
          </w:p>
        </w:tc>
      </w:tr>
      <w:tr>
        <w:trPr>
          <w:trHeight w:val="27"/>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DTA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Adjustment for DTA valuation allowance - discrete item</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5460" w:type="dxa"/>
            <w:vAlign w:val="bottom"/>
            <w:tcBorders>
              <w:bottom w:val="single" w:sz="8" w:color="CCEEFF"/>
            </w:tcBorders>
            <w:shd w:val="clear" w:color="auto" w:fill="CCEEFF"/>
          </w:tcPr>
          <w:p>
            <w:pPr>
              <w:ind w:left="3520"/>
              <w:spacing w:after="0"/>
              <w:rPr>
                <w:sz w:val="20"/>
                <w:szCs w:val="20"/>
                <w:color w:val="auto"/>
              </w:rPr>
            </w:pPr>
            <w:r>
              <w:rPr>
                <w:rFonts w:ascii="Arial" w:cs="Arial" w:eastAsia="Arial" w:hAnsi="Arial"/>
                <w:sz w:val="18"/>
                <w:szCs w:val="18"/>
                <w:color w:val="auto"/>
              </w:rPr>
              <w:t>Total income tax benefit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DTA = Deferred income tax asset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for the three months ended March 31, 2020 and 2019 was 17.4% and 21.1%,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 for Deferred Income Tax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Company is required to provide a valuation allowance against deferred tax assets when it is "more likely than not" that some portion or all of the deferred tax assets will not be realized.</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Among other provisions, the Tax Cuts and Jobs Act of 2017 amended Internal Revenue Code Section 163(j) to create limitations on the deductibility of business interest expense. Section 163(j) limits the business 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 In March 2020, the Coronavirus Aid, Relief, and Economic Security Act ("CARES Act") was enacted, which among other provisions, provides for the increase of the 163(j) ATI limitation from 30% to 50% for tax years 2019 and 2020.</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With respect to recording a deferred tax benefit for the carryforward of business interest expense, the Company is required to apply the "more likely than not" threshold for assessing recoverability. Based on management’s assessment, the Company recorded an increase in the valuation allowance in the three months ended March 31, 2020 of </w:t>
      </w:r>
      <w:r>
        <w:rPr>
          <w:rFonts w:ascii="Arial" w:cs="Arial" w:eastAsia="Arial" w:hAnsi="Arial"/>
          <w:sz w:val="18"/>
          <w:szCs w:val="18"/>
          <w:color w:val="222222"/>
        </w:rPr>
        <w:t>$0.5 million</w:t>
      </w:r>
      <w:r>
        <w:rPr>
          <w:rFonts w:ascii="Arial" w:cs="Arial" w:eastAsia="Arial" w:hAnsi="Arial"/>
          <w:sz w:val="18"/>
          <w:szCs w:val="18"/>
          <w:color w:val="auto"/>
        </w:rPr>
        <w:t xml:space="preserve"> for the business interest expense carryover comprised of (i) a discrete valuation allowance benefit of </w:t>
      </w:r>
      <w:r>
        <w:rPr>
          <w:rFonts w:ascii="Arial" w:cs="Arial" w:eastAsia="Arial" w:hAnsi="Arial"/>
          <w:sz w:val="18"/>
          <w:szCs w:val="18"/>
          <w:color w:val="222222"/>
        </w:rPr>
        <w:t>$1.5</w:t>
      </w:r>
      <w:r>
        <w:rPr>
          <w:rFonts w:ascii="Arial" w:cs="Arial" w:eastAsia="Arial" w:hAnsi="Arial"/>
          <w:sz w:val="18"/>
          <w:szCs w:val="18"/>
          <w:color w:val="auto"/>
        </w:rPr>
        <w:t xml:space="preserve"> </w:t>
      </w:r>
      <w:r>
        <w:rPr>
          <w:rFonts w:ascii="Arial" w:cs="Arial" w:eastAsia="Arial" w:hAnsi="Arial"/>
          <w:sz w:val="18"/>
          <w:szCs w:val="18"/>
          <w:color w:val="222222"/>
        </w:rPr>
        <w:t xml:space="preserve">million </w:t>
      </w:r>
      <w:r>
        <w:rPr>
          <w:rFonts w:ascii="Arial" w:cs="Arial" w:eastAsia="Arial" w:hAnsi="Arial"/>
          <w:sz w:val="18"/>
          <w:szCs w:val="18"/>
          <w:color w:val="000000"/>
        </w:rPr>
        <w:t>associated with the 2019 business interest deferred tax asset as a result of the CARES Act and (ii) a provision for the valuation allowance of</w:t>
      </w:r>
      <w:r>
        <w:rPr>
          <w:rFonts w:ascii="Arial" w:cs="Arial" w:eastAsia="Arial" w:hAnsi="Arial"/>
          <w:sz w:val="18"/>
          <w:szCs w:val="18"/>
          <w:color w:val="222222"/>
        </w:rPr>
        <w:t xml:space="preserve"> $2.0 million </w:t>
      </w:r>
      <w:r>
        <w:rPr>
          <w:rFonts w:ascii="Arial" w:cs="Arial" w:eastAsia="Arial" w:hAnsi="Arial"/>
          <w:sz w:val="18"/>
          <w:szCs w:val="18"/>
          <w:color w:val="000000"/>
        </w:rPr>
        <w:t>associated with the 2020 excess business interest.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provisions for and adjustments to the valuation allowance are a component of income tax expense (benefit) in the Company's unaudited condensed consolidated statements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continue to evaluate the realizability of the deferred tax assets on a quarterly basis and, as a result, the valuation allowance may change in future periods.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effects of uncertain tax positions only if such positions are more likely than not to be sustained based solely upon its technical merits at the reporting date. The Company refers to the difference between the tax benefit recognized in its financial statements and the tax benefit claimed in the income tax return as an "unrecognized tax benefit." As of March 31, 2020, the net amount of our unrecognized tax benefits was not material.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U.S. federal income tax and income tax in multiple state jurisdictions. Tax periods for 2016 and all years thereafter remain open to examination by the federal and state taxing jurisdictions and tax periods for 2015 and all years thereafter remain open for certain state taxing jurisdictions to which the Company is subject.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COMMITMENTS AND CONTINGENCIES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Minimum Annual Commitments with Third-Party Processors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The Company has multi-year agreements with third parties to provide certain payment processing services to the Company. The Company pays processing fees under these agreements that are based on the volume and dollar amounts of processed payments transactions. Some of these agreements have minimum annual requirements for processing volumes. As of March 31, 2020, the Company is committed to pay minimum processing fees under these agreements of approximately $14.0 million through the end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to Lend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information on a loan commitment extended by the Company to another entity.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for Asset Acquisitions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GAAP that applies to asset acquisitions that do not meet the definition of a business, the portion of the unpaid purchase price that is contingent on future activities is not initially recorded by the acquirer on the date of acquisition. Rather, the acquirer generally recognizes contingent consideration when it becomes probable and estimable.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During the year ended December 31, 2019, the Company simultaneously entered into two agreements with another entity. These two related agreements 1) transfer to the Company certain perpetual rights to a merchant portfolio and 2) form a 5-year reseller arrangement whereby the Company will offer and sell to its customer base certain on-line services to be fulfilled by the other entity. No cash consideration was paid to, or received from, the other entity at execution of either agreement. Subsequent cash payments from the Company to the other entity for the merchant portfolio rights are determined based on a combination of both: 1) the actual financial performance of the acquired merchant portfolio rights and 2) actual sales and variable wholesale costs for the on-line services sold by the Company under the reseller arrangement. Amounts subsequently paid to the other entity are accounted for as either 1) standard costs of the services sold by the Company under the 5-year reseller agreement or 2) consideration for the merchant portfolio rights. Amounts paid that are accounted for as consideration for the merchant portfolio rights are capitalized and amortized over the estimated useful life of the merchant portfolio rights. As of March 31, 2020 and December 31, 2019, approximately $2.1 million and $1.1 million, respectively, was capitalized as cost for the merchant portfolio. The capitalized cost, which is in our Consumer Payments reportable segment, is being amortized using an accelerated method. At this time, the Company cannot reasonably estimate the allocation of future cash payments. However, under the two contracts the Company does not anticipate any net losses.</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15, 2019, a subsidiary of the Company paid $15.2 million cash to acquire certain residual portfolio rights. This acquisition became part of the Company's Consumer Payments reportable segment. Of the $15.2 million, $5.0 million was funded from a delayed draw down of the Senior Credit Facility. Additionally, a $10.0 million draw was made against the revolving credit facility under the Senior Credit Facility and cash on hand was used to fund the remaining amount. The purchase price may be subject to an increase of up to $6.4 million in accordance with the terms of the agreement between the Company and the sellers. Additional purchase price is accounted for when payment to the seller becomes probable and is added to the carrying value of the asset. The Company estimates that $2.1 million of the contingent consideration is owed to the seller at March 31, 2020.</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for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Fair Value</w:t>
      </w:r>
      <w:r>
        <w:rPr>
          <w:rFonts w:ascii="Arial" w:cs="Arial" w:eastAsia="Arial" w:hAnsi="Arial"/>
          <w:sz w:val="18"/>
          <w:szCs w:val="18"/>
          <w:color w:val="auto"/>
        </w:rPr>
        <w:t>, for information about contingent consideration related to 2018 business acquisitions.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Legal Proceedings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revenue is substantially derived from processing Visa® and MasterCard® bank card transactions. Because the Company is not a member bank, in order to process these bank card transactions, the Company maintains sponsorship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member banks which require, among other things, that the Company abide by the by-laws and regulations of the card associations.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212529"/>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382"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to Lend and Warrant to Acquire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22, 2019, the Company, through one of its wholly-owned subsidiaries, executed an interest-bearing loan and commitment agreement with another entity. The Company has loaned the entity a total of $3.5 million at March 31, 2020 and December 31, 2019, with a commitment to loan up to a total of $10.0 million based on certain growth metrics of the entity and continued compliance by the entity with the terms and covenants of the agreement. The Company's commitment to make additional advances under the loan agreement is dependent upon such advances not conflicting with covenants or restrictions under any of the Company's debt or other applicable agreements. Amounts loaned to this entity by the Company are secured by substantially all of the assets of the entity and by a personal guarantee. The note receivable has an interest rate of 12.0% per annum and is repayable in full in May 2024. The Company recognized interest income of $0.1 million during the three months ended March 31, 2020. The Company also received a warrant to purchase a non-controlling interest in this entity's equity at a fixed amount. The loan agreement also gives the Company certain rights to purchase some or all of this entity's equity in the future, at the entity's then-current fair value. The fair values of the warrant, loan commitment, and purchase right were not material at inception or as of any subsequent reporting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 of Assets and Contingent Payment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12529"/>
        </w:rPr>
        <w:t>In February 2019, a subsidiary of the Company, Priority Hospitality Technology, LLC ("PHOT"), received a contribution of substantially all of the operating assets of eTab, LLC ("eTab") and CUMULUS POS, LLC ("Cumulus") under asset contribution agreements. No material liabilities were assumed by PHOT. These contributed assets were composed substantially of technology-related assets. Prior to these transactions, eTab was 80.0% owned by the Company's Chairman and Chief Executive Officer. No cash consideration was paid to the contributors of the eTab or Cumulus assets on the date of the transactions. As consideration for these contributed assets, the contributors were issued redeemable preferred equity interests in PHOT. Under these redeemable preferred equity interests, the contributors are eligible to receive up to $4.5 million of profits earned by PHOT, plus a preferred yield (6.0% per annum) on any of the $4.5 million amount that has not been distributed to them. The Company's Chairman and Chief Executive Officer owns 83.3% of the redeemable preferred equity interests in PHOT. Once a total of $4.5 million plus the preferred yield has been distributed to the holders of the redeemable preferred equity interests, the redeemable preferred equity interests will cease to exist. The Company determined that the contributor's carrying value of the eTab net assets (as a common control transaction under GAAP) was not material. Under the guidance for a common control transaction, the contribution of the eTab net assets did not result in a change of entity or the receipt of a business, therefore the Company's financial statements for prior periods have not been adjusted to reflect the historical results attributable to the eTab net assets. Additionally, no material amount was estimated for the fair value of the contributed Cumulus net assets. PHOT is a part of the Company's Integrated Partners reportable segment.</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Pursuant to the limited liability company agreement of PHOT, any material future earnings generated by the eTab and Cumulus assets that are attributable to the holders of the preferred equity interests will be reported by the Company as a form of non-controlling interests classified as mezzanine equity on the Company's consolidated balance sheet until $4.5 million and the preferred yield have been distributed to the holders of the preferred equity interests. Subsequent changes, if material, in the value of the NCI will be reported as an equity transaction between the Company's consolidated retained earnings (accumulated deficit) and any carrying value of the non-controlling interests in mezzanine equity. Such amounts were not material to the Company's results of operations, financial position, or cash flows for the period covering February 1, 2019 (date the assets were contributed to the Company) through March 31, 2020, and therefore no recognition of the NCI has been reflected in the Company's unaudited condensed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Equity-Method Investment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2020, the Company wrote off its $0.2 million carrying value in an equity-method investment. This loss is reported as a component of Other (expense) income, net on the Company's unaudited condensed consolidated statement of operations. The Company's share of this entity's income or loss was not material for any reporting period presented.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RECONCILIATION OF STOCKHOLDERS' DEFICIT AND NON-CONTROLLING INTEREST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22222"/>
        </w:rPr>
        <w:t>The Company is authorized to issue 100,000,000 shares of preferred stock with such designations, voting and other rights and preferences as may be determined from time to time by the board of directors. As of March 31, 2020 and December 31, 2019, the Company has not issued any shares of preferred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provide a reconciliation of the beginning and ending carrying amounts for the periods presented for the components of the deficit attributable to stockholders of the Company and equity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66040</wp:posOffset>
            </wp:positionV>
            <wp:extent cx="6840855" cy="857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0855" cy="857250"/>
                    </a:xfrm>
                    <a:prstGeom prst="rect">
                      <a:avLst/>
                    </a:prstGeom>
                    <a:noFill/>
                  </pic:spPr>
                </pic:pic>
              </a:graphicData>
            </a:graphic>
          </wp:anchor>
        </w:drawing>
      </w:r>
    </w:p>
    <w:p>
      <w:pPr>
        <w:spacing w:after="0" w:line="8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Total Priority</w:t>
      </w:r>
    </w:p>
    <w:tbl>
      <w:tblPr>
        <w:tblLayout w:type="fixed"/>
        <w:tblInd w:w="240" w:type="dxa"/>
        <w:tblCellMar>
          <w:top w:w="0" w:type="dxa"/>
          <w:left w:w="0" w:type="dxa"/>
          <w:bottom w:w="0" w:type="dxa"/>
          <w:right w:w="0" w:type="dxa"/>
        </w:tblCellMar>
      </w:tblPr>
      <w:tr>
        <w:trPr>
          <w:trHeight w:val="238"/>
        </w:trPr>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Technology</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400" w:type="dxa"/>
            <w:vAlign w:val="bottom"/>
            <w:gridSpan w:val="8"/>
            <w:vMerge w:val="restart"/>
          </w:tcPr>
          <w:p>
            <w:pPr>
              <w:ind w:left="1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440" w:type="dxa"/>
            <w:vAlign w:val="bottom"/>
            <w:gridSpan w:val="9"/>
            <w:vMerge w:val="restart"/>
          </w:tcPr>
          <w:p>
            <w:pPr>
              <w:jc w:val="right"/>
              <w:ind w:right="260"/>
              <w:spacing w:after="0"/>
              <w:rPr>
                <w:sz w:val="20"/>
                <w:szCs w:val="20"/>
                <w:color w:val="auto"/>
              </w:rPr>
            </w:pPr>
            <w:r>
              <w:rPr>
                <w:rFonts w:ascii="Arial" w:cs="Arial" w:eastAsia="Arial" w:hAnsi="Arial"/>
                <w:sz w:val="18"/>
                <w:szCs w:val="18"/>
                <w:color w:val="auto"/>
                <w:w w:val="94"/>
              </w:rPr>
              <w:t>Common Stock</w:t>
            </w:r>
          </w:p>
        </w:tc>
        <w:tc>
          <w:tcPr>
            <w:tcW w:w="1500" w:type="dxa"/>
            <w:vAlign w:val="bottom"/>
            <w:gridSpan w:val="10"/>
            <w:vMerge w:val="restart"/>
          </w:tcPr>
          <w:p>
            <w:pPr>
              <w:ind w:left="20"/>
              <w:spacing w:after="0"/>
              <w:rPr>
                <w:sz w:val="20"/>
                <w:szCs w:val="20"/>
                <w:color w:val="auto"/>
              </w:rPr>
            </w:pPr>
            <w:r>
              <w:rPr>
                <w:rFonts w:ascii="Arial" w:cs="Arial" w:eastAsia="Arial" w:hAnsi="Arial"/>
                <w:sz w:val="18"/>
                <w:szCs w:val="18"/>
                <w:color w:val="auto"/>
                <w:w w:val="98"/>
              </w:rPr>
              <w:t>Treasury Stock (a)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8"/>
                <w:szCs w:val="18"/>
                <w:color w:val="auto"/>
                <w:w w:val="95"/>
              </w:rPr>
              <w:t>Holdings,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20" w:type="dxa"/>
            <w:vAlign w:val="bottom"/>
          </w:tcPr>
          <w:p>
            <w:pPr>
              <w:spacing w:after="0"/>
              <w:rPr>
                <w:sz w:val="18"/>
                <w:szCs w:val="18"/>
                <w:color w:val="auto"/>
              </w:rPr>
            </w:pPr>
          </w:p>
        </w:tc>
        <w:tc>
          <w:tcPr>
            <w:tcW w:w="1400" w:type="dxa"/>
            <w:vAlign w:val="bottom"/>
            <w:gridSpan w:val="8"/>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9"/>
            <w:vMerge w:val="continue"/>
          </w:tcPr>
          <w:p>
            <w:pPr>
              <w:spacing w:after="0"/>
              <w:rPr>
                <w:sz w:val="18"/>
                <w:szCs w:val="18"/>
                <w:color w:val="auto"/>
              </w:rPr>
            </w:pPr>
          </w:p>
        </w:tc>
        <w:tc>
          <w:tcPr>
            <w:tcW w:w="1500" w:type="dxa"/>
            <w:vAlign w:val="bottom"/>
            <w:gridSpan w:val="10"/>
            <w:vMerge w:val="continue"/>
          </w:tcPr>
          <w:p>
            <w:pPr>
              <w:spacing w:after="0"/>
              <w:rPr>
                <w:sz w:val="18"/>
                <w:szCs w:val="18"/>
                <w:color w:val="auto"/>
              </w:rPr>
            </w:pPr>
          </w:p>
        </w:tc>
        <w:tc>
          <w:tcPr>
            <w:tcW w:w="960" w:type="dxa"/>
            <w:vAlign w:val="bottom"/>
            <w:gridSpan w:val="5"/>
          </w:tcPr>
          <w:p>
            <w:pPr>
              <w:ind w:left="40"/>
              <w:spacing w:after="0"/>
              <w:rPr>
                <w:sz w:val="20"/>
                <w:szCs w:val="20"/>
                <w:color w:val="auto"/>
              </w:rPr>
            </w:pPr>
            <w:r>
              <w:rPr>
                <w:rFonts w:ascii="Arial" w:cs="Arial" w:eastAsia="Arial" w:hAnsi="Arial"/>
                <w:sz w:val="18"/>
                <w:szCs w:val="18"/>
                <w:color w:val="auto"/>
              </w:rPr>
              <w:t>Additional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8"/>
                <w:szCs w:val="18"/>
                <w:color w:val="auto"/>
                <w:w w:val="96"/>
              </w:rPr>
              <w:t>Inc.</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Non-</w:t>
            </w:r>
          </w:p>
        </w:tc>
        <w:tc>
          <w:tcPr>
            <w:tcW w:w="0" w:type="dxa"/>
            <w:vAlign w:val="bottom"/>
          </w:tcPr>
          <w:p>
            <w:pPr>
              <w:spacing w:after="0"/>
              <w:rPr>
                <w:sz w:val="1"/>
                <w:szCs w:val="1"/>
                <w:color w:val="auto"/>
              </w:rPr>
            </w:pPr>
          </w:p>
        </w:tc>
      </w:tr>
      <w:tr>
        <w:trPr>
          <w:trHeight w:val="195"/>
        </w:trPr>
        <w:tc>
          <w:tcPr>
            <w:tcW w:w="2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4"/>
          </w:tcPr>
          <w:p>
            <w:pPr>
              <w:jc w:val="right"/>
              <w:ind w:right="280"/>
              <w:spacing w:after="0" w:line="195" w:lineRule="exact"/>
              <w:rPr>
                <w:sz w:val="20"/>
                <w:szCs w:val="20"/>
                <w:color w:val="auto"/>
              </w:rPr>
            </w:pPr>
            <w:r>
              <w:rPr>
                <w:rFonts w:ascii="Arial" w:cs="Arial" w:eastAsia="Arial" w:hAnsi="Arial"/>
                <w:sz w:val="18"/>
                <w:szCs w:val="18"/>
                <w:color w:val="auto"/>
              </w:rPr>
              <w:t>Paid-In</w:t>
            </w:r>
          </w:p>
        </w:tc>
        <w:tc>
          <w:tcPr>
            <w:tcW w:w="1120" w:type="dxa"/>
            <w:vAlign w:val="bottom"/>
            <w:gridSpan w:val="5"/>
          </w:tcPr>
          <w:p>
            <w:pPr>
              <w:ind w:left="20"/>
              <w:spacing w:after="0" w:line="195" w:lineRule="exact"/>
              <w:rPr>
                <w:sz w:val="20"/>
                <w:szCs w:val="20"/>
                <w:color w:val="auto"/>
              </w:rPr>
            </w:pPr>
            <w:r>
              <w:rPr>
                <w:rFonts w:ascii="Arial" w:cs="Arial" w:eastAsia="Arial" w:hAnsi="Arial"/>
                <w:sz w:val="18"/>
                <w:szCs w:val="18"/>
                <w:color w:val="auto"/>
              </w:rPr>
              <w:t>Accumulated</w:t>
            </w:r>
          </w:p>
        </w:tc>
        <w:tc>
          <w:tcPr>
            <w:tcW w:w="1140" w:type="dxa"/>
            <w:vAlign w:val="bottom"/>
            <w:gridSpan w:val="5"/>
          </w:tcPr>
          <w:p>
            <w:pPr>
              <w:jc w:val="center"/>
              <w:ind w:right="100"/>
              <w:spacing w:after="0" w:line="195" w:lineRule="exact"/>
              <w:rPr>
                <w:sz w:val="20"/>
                <w:szCs w:val="20"/>
                <w:color w:val="auto"/>
              </w:rPr>
            </w:pPr>
            <w:r>
              <w:rPr>
                <w:rFonts w:ascii="Arial" w:cs="Arial" w:eastAsia="Arial" w:hAnsi="Arial"/>
                <w:sz w:val="18"/>
                <w:szCs w:val="18"/>
                <w:color w:val="auto"/>
                <w:w w:val="89"/>
              </w:rPr>
              <w:t>Stockholders'</w:t>
            </w:r>
          </w:p>
        </w:tc>
        <w:tc>
          <w:tcPr>
            <w:tcW w:w="90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97"/>
              </w:rPr>
              <w:t>Controlling</w:t>
            </w:r>
          </w:p>
        </w:tc>
        <w:tc>
          <w:tcPr>
            <w:tcW w:w="0" w:type="dxa"/>
            <w:vAlign w:val="bottom"/>
          </w:tcPr>
          <w:p>
            <w:pPr>
              <w:spacing w:after="0"/>
              <w:rPr>
                <w:sz w:val="1"/>
                <w:szCs w:val="1"/>
                <w:color w:val="auto"/>
              </w:rPr>
            </w:pPr>
          </w:p>
        </w:tc>
      </w:tr>
      <w:tr>
        <w:trPr>
          <w:trHeight w:val="257"/>
        </w:trPr>
        <w:tc>
          <w:tcPr>
            <w:tcW w:w="2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7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Amount</w:t>
            </w:r>
          </w:p>
        </w:tc>
        <w:tc>
          <w:tcPr>
            <w:tcW w:w="76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4"/>
              </w:rPr>
              <w:t>Shares</w:t>
            </w:r>
          </w:p>
        </w:tc>
        <w:tc>
          <w:tcPr>
            <w:tcW w:w="6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w w:val="96"/>
              </w:rPr>
              <w:t>Amount</w:t>
            </w:r>
          </w:p>
        </w:tc>
        <w:tc>
          <w:tcPr>
            <w:tcW w:w="140" w:type="dxa"/>
            <w:vAlign w:val="bottom"/>
            <w:tcBorders>
              <w:right w:val="single" w:sz="8" w:color="CCEEFF"/>
            </w:tcBorders>
          </w:tcPr>
          <w:p>
            <w:pPr>
              <w:spacing w:after="0"/>
              <w:rPr>
                <w:sz w:val="22"/>
                <w:szCs w:val="22"/>
                <w:color w:val="auto"/>
              </w:rPr>
            </w:pPr>
          </w:p>
        </w:tc>
        <w:tc>
          <w:tcPr>
            <w:tcW w:w="7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3"/>
          </w:tcPr>
          <w:p>
            <w:pPr>
              <w:ind w:left="4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2"/>
                <w:szCs w:val="22"/>
                <w:color w:val="auto"/>
              </w:rPr>
            </w:pPr>
          </w:p>
        </w:tc>
        <w:tc>
          <w:tcPr>
            <w:tcW w:w="1020" w:type="dxa"/>
            <w:vAlign w:val="bottom"/>
            <w:gridSpan w:val="4"/>
          </w:tcPr>
          <w:p>
            <w:pPr>
              <w:jc w:val="center"/>
              <w:ind w:right="240"/>
              <w:spacing w:after="0"/>
              <w:rPr>
                <w:sz w:val="20"/>
                <w:szCs w:val="20"/>
                <w:color w:val="auto"/>
              </w:rPr>
            </w:pPr>
            <w:r>
              <w:rPr>
                <w:rFonts w:ascii="Arial" w:cs="Arial" w:eastAsia="Arial" w:hAnsi="Arial"/>
                <w:sz w:val="18"/>
                <w:szCs w:val="18"/>
                <w:color w:val="auto"/>
                <w:w w:val="99"/>
              </w:rPr>
              <w:t>(Deficit)</w:t>
            </w:r>
          </w:p>
        </w:tc>
        <w:tc>
          <w:tcPr>
            <w:tcW w:w="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w w:val="95"/>
              </w:rPr>
              <w:t>Interest (c)</w:t>
            </w: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2020</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67,061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68</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$(2,388)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3,651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(127,674)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(126,343)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29"/>
        </w:trPr>
        <w:tc>
          <w:tcPr>
            <w:tcW w:w="2220" w:type="dxa"/>
            <w:vAlign w:val="bottom"/>
          </w:tcPr>
          <w:p>
            <w:pPr>
              <w:ind w:left="160"/>
              <w:spacing w:after="0"/>
              <w:rPr>
                <w:sz w:val="20"/>
                <w:szCs w:val="20"/>
                <w:color w:val="auto"/>
              </w:rPr>
            </w:pPr>
            <w:r>
              <w:rPr>
                <w:rFonts w:ascii="Arial" w:cs="Arial" w:eastAsia="Arial" w:hAnsi="Arial"/>
                <w:sz w:val="18"/>
                <w:szCs w:val="18"/>
                <w:color w:val="auto"/>
              </w:rPr>
              <w:t>Stock-based</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220" w:type="dxa"/>
            <w:vAlign w:val="bottom"/>
          </w:tcPr>
          <w:p>
            <w:pPr>
              <w:ind w:left="20"/>
              <w:spacing w:after="0"/>
              <w:rPr>
                <w:sz w:val="20"/>
                <w:szCs w:val="20"/>
                <w:color w:val="auto"/>
              </w:rPr>
            </w:pPr>
            <w:r>
              <w:rPr>
                <w:rFonts w:ascii="Arial" w:cs="Arial" w:eastAsia="Arial" w:hAnsi="Arial"/>
                <w:sz w:val="18"/>
                <w:szCs w:val="18"/>
                <w:color w:val="auto"/>
              </w:rPr>
              <w:t>March 31, 2020</w:t>
            </w:r>
          </w:p>
        </w:tc>
        <w:tc>
          <w:tcPr>
            <w:tcW w:w="16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67,061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68</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$(2,388)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3,989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(133,543)</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(131,874)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2019</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67,038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(94,085)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(94,018)</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20" w:type="dxa"/>
            <w:vAlign w:val="bottom"/>
          </w:tcPr>
          <w:p>
            <w:pPr>
              <w:ind w:left="160"/>
              <w:spacing w:after="0"/>
              <w:rPr>
                <w:sz w:val="20"/>
                <w:szCs w:val="20"/>
                <w:color w:val="auto"/>
              </w:rPr>
            </w:pPr>
            <w:r>
              <w:rPr>
                <w:rFonts w:ascii="Arial" w:cs="Arial" w:eastAsia="Arial" w:hAnsi="Arial"/>
                <w:sz w:val="18"/>
                <w:szCs w:val="18"/>
                <w:color w:val="auto"/>
                <w:w w:val="93"/>
              </w:rPr>
              <w:t>Stock-based compensation</w:t>
            </w:r>
          </w:p>
        </w:tc>
        <w:tc>
          <w:tcPr>
            <w:tcW w:w="160" w:type="dxa"/>
            <w:vAlign w:val="bottom"/>
          </w:tcPr>
          <w:p>
            <w:pPr>
              <w:spacing w:after="0"/>
              <w:rPr>
                <w:sz w:val="21"/>
                <w:szCs w:val="21"/>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3"/>
          </w:tcPr>
          <w:p>
            <w:pPr>
              <w:ind w:lef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Warrant redemptions (b)</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(b)</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(b)</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3"/>
          </w:tcPr>
          <w:p>
            <w:pPr>
              <w:ind w:lef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(6,446)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(6,446)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Issuance of non-controlling</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(c)</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57"/>
        </w:trPr>
        <w:tc>
          <w:tcPr>
            <w:tcW w:w="2220" w:type="dxa"/>
            <w:vAlign w:val="bottom"/>
          </w:tcPr>
          <w:p>
            <w:pPr>
              <w:ind w:left="20"/>
              <w:spacing w:after="0"/>
              <w:rPr>
                <w:sz w:val="20"/>
                <w:szCs w:val="20"/>
                <w:color w:val="auto"/>
              </w:rPr>
            </w:pPr>
            <w:r>
              <w:rPr>
                <w:rFonts w:ascii="Arial" w:cs="Arial" w:eastAsia="Arial" w:hAnsi="Arial"/>
                <w:sz w:val="18"/>
                <w:szCs w:val="18"/>
                <w:color w:val="auto"/>
              </w:rPr>
              <w:t>March 31, 2019</w:t>
            </w:r>
          </w:p>
        </w:tc>
        <w:tc>
          <w:tcPr>
            <w:tcW w:w="160" w:type="dxa"/>
            <w:vAlign w:val="bottom"/>
          </w:tcPr>
          <w:p>
            <w:pPr>
              <w:spacing w:after="0"/>
              <w:rPr>
                <w:sz w:val="22"/>
                <w:szCs w:val="22"/>
                <w:color w:val="auto"/>
              </w:rPr>
            </w:pPr>
          </w:p>
        </w:tc>
        <w:tc>
          <w:tcPr>
            <w:tcW w:w="48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4"/>
              </w:rPr>
              <w:t>67,458</w:t>
            </w: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Borders>
              <w:top w:val="single" w:sz="8" w:color="auto"/>
            </w:tcBorders>
            <w:gridSpan w:val="3"/>
          </w:tcPr>
          <w:p>
            <w:pPr>
              <w:ind w:left="3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1,160</w:t>
            </w: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(100,531)</w:t>
            </w: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(99,304)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 cost</w:t>
      </w:r>
    </w:p>
    <w:p>
      <w:pPr>
        <w:spacing w:after="0" w:line="182" w:lineRule="exact"/>
        <w:rPr>
          <w:rFonts w:ascii="Arial" w:cs="Arial" w:eastAsia="Arial" w:hAnsi="Arial"/>
          <w:sz w:val="17"/>
          <w:szCs w:val="17"/>
          <w:color w:val="auto"/>
        </w:rPr>
      </w:pPr>
    </w:p>
    <w:p>
      <w:pPr>
        <w:jc w:val="both"/>
        <w:ind w:firstLine="8"/>
        <w:spacing w:after="0" w:line="251" w:lineRule="auto"/>
        <w:tabs>
          <w:tab w:leader="none" w:pos="248"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Par value of the common shares issued in connection with the warrant exchange rounds to less than one thousand dollars. </w:t>
      </w:r>
      <w:r>
        <w:rPr>
          <w:rFonts w:ascii="Arial" w:cs="Arial" w:eastAsia="Arial" w:hAnsi="Arial"/>
          <w:sz w:val="16"/>
          <w:szCs w:val="16"/>
          <w:color w:val="222222"/>
        </w:rPr>
        <w:t>In August 2018, the Company was</w:t>
      </w:r>
      <w:r>
        <w:rPr>
          <w:rFonts w:ascii="Arial" w:cs="Arial" w:eastAsia="Arial" w:hAnsi="Arial"/>
          <w:sz w:val="16"/>
          <w:szCs w:val="16"/>
          <w:color w:val="auto"/>
        </w:rPr>
        <w:t xml:space="preserve"> </w:t>
      </w:r>
      <w:r>
        <w:rPr>
          <w:rFonts w:ascii="Arial" w:cs="Arial" w:eastAsia="Arial" w:hAnsi="Arial"/>
          <w:sz w:val="16"/>
          <w:szCs w:val="16"/>
          <w:color w:val="222222"/>
        </w:rPr>
        <w:t>informed by Nasdaq that it intended to delist the Company's outstanding warrants and units due to an insufficient number of round lot holders for the public warrants. The Company subsequently filed a Registration Statement on Form S-4 with the SEC for the purpose of offering holders of the Company's outstanding 5,310,109 public warrants and 421,107 private warrants the opportunity to exchange each warrant for 0.192 shares of the Company's common stock. The exchange offer expired in February 2019 resulting in a portion of the warrants being tendered in exchange for approximately 420,000 shares of the Company's common stock plus cash in lieu of fractional shares. Nasdaq proceeded to delist the remaining outstanding warrants and units, which were comprised of one share of common stock and one warrant, from The Nasdaq Global Market at the open of business on March 6, 2019. The delisting of the remaining outstanding warrants and units had no impact on the Company's financial statements.</w:t>
      </w:r>
    </w:p>
    <w:p>
      <w:pPr>
        <w:spacing w:after="0" w:line="161" w:lineRule="exact"/>
        <w:rPr>
          <w:rFonts w:ascii="Arial" w:cs="Arial" w:eastAsia="Arial" w:hAnsi="Arial"/>
          <w:sz w:val="16"/>
          <w:szCs w:val="16"/>
          <w:color w:val="auto"/>
        </w:rPr>
      </w:pPr>
    </w:p>
    <w:p>
      <w:pPr>
        <w:ind w:right="20" w:firstLine="8"/>
        <w:spacing w:after="0" w:line="249" w:lineRule="auto"/>
        <w:tabs>
          <w:tab w:leader="none" w:pos="225" w:val="left"/>
        </w:tabs>
        <w:numPr>
          <w:ilvl w:val="0"/>
          <w:numId w:val="6"/>
        </w:numPr>
        <w:rPr>
          <w:rFonts w:ascii="Arial" w:cs="Arial" w:eastAsia="Arial" w:hAnsi="Arial"/>
          <w:sz w:val="17"/>
          <w:szCs w:val="17"/>
          <w:color w:val="222222"/>
        </w:rPr>
      </w:pPr>
      <w:r>
        <w:rPr>
          <w:rFonts w:ascii="Arial" w:cs="Arial" w:eastAsia="Arial" w:hAnsi="Arial"/>
          <w:sz w:val="17"/>
          <w:szCs w:val="17"/>
          <w:color w:val="222222"/>
        </w:rPr>
        <w:t xml:space="preserve">Related to the acquisition of certain assets from YapStone, Inc. See Note 3, </w:t>
      </w:r>
      <w:r>
        <w:rPr>
          <w:rFonts w:ascii="Arial" w:cs="Arial" w:eastAsia="Arial" w:hAnsi="Arial"/>
          <w:sz w:val="17"/>
          <w:szCs w:val="17"/>
          <w:i w:val="1"/>
          <w:iCs w:val="1"/>
          <w:color w:val="222222"/>
        </w:rPr>
        <w:t>Asset Acquisitions</w:t>
      </w:r>
      <w:r>
        <w:rPr>
          <w:rFonts w:ascii="Arial" w:cs="Arial" w:eastAsia="Arial" w:hAnsi="Arial"/>
          <w:sz w:val="17"/>
          <w:szCs w:val="17"/>
          <w:color w:val="222222"/>
        </w:rPr>
        <w:t xml:space="preserve">. </w:t>
      </w:r>
      <w:r>
        <w:rPr>
          <w:rFonts w:ascii="Arial" w:cs="Arial" w:eastAsia="Arial" w:hAnsi="Arial"/>
          <w:sz w:val="17"/>
          <w:szCs w:val="17"/>
          <w:color w:val="000000"/>
        </w:rPr>
        <w:t>During the three months ended March 31, 2020 and 2019, no earnings</w:t>
      </w:r>
      <w:r>
        <w:rPr>
          <w:rFonts w:ascii="Arial" w:cs="Arial" w:eastAsia="Arial" w:hAnsi="Arial"/>
          <w:sz w:val="17"/>
          <w:szCs w:val="17"/>
          <w:color w:val="222222"/>
        </w:rPr>
        <w:t xml:space="preserve"> </w:t>
      </w:r>
      <w:r>
        <w:rPr>
          <w:rFonts w:ascii="Arial" w:cs="Arial" w:eastAsia="Arial" w:hAnsi="Arial"/>
          <w:sz w:val="17"/>
          <w:szCs w:val="17"/>
          <w:color w:val="000000"/>
        </w:rPr>
        <w:t>or losses were attributable to the non-controlling interest.</w:t>
      </w:r>
    </w:p>
    <w:p>
      <w:pPr>
        <w:spacing w:after="0" w:line="187" w:lineRule="exact"/>
        <w:rPr>
          <w:rFonts w:ascii="Arial" w:cs="Arial" w:eastAsia="Arial" w:hAnsi="Arial"/>
          <w:sz w:val="17"/>
          <w:szCs w:val="17"/>
          <w:color w:val="222222"/>
        </w:rPr>
      </w:pPr>
    </w:p>
    <w:p>
      <w:pPr>
        <w:ind w:left="5540" w:hanging="111"/>
        <w:spacing w:after="0"/>
        <w:tabs>
          <w:tab w:leader="none" w:pos="5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STOCK-BASED COMPENSATION PLANS</w:t>
      </w:r>
    </w:p>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Stock-based compensation expense is included in Salary and employee benefits in the accompanying unaudited condensed consolidated statements of operations. The Company recognizes the effects of forfeitures on compensation expense as the forfeitures occur. Expense recognized by plan was as follows:</w:t>
      </w:r>
    </w:p>
    <w:p>
      <w:pPr>
        <w:spacing w:after="0" w:line="333" w:lineRule="exact"/>
        <w:rPr>
          <w:sz w:val="20"/>
          <w:szCs w:val="20"/>
          <w:color w:val="auto"/>
        </w:rPr>
      </w:pPr>
    </w:p>
    <w:tbl>
      <w:tblPr>
        <w:tblLayout w:type="fixed"/>
        <w:tblInd w:w="2140" w:type="dxa"/>
        <w:tblCellMar>
          <w:top w:w="0" w:type="dxa"/>
          <w:left w:w="0" w:type="dxa"/>
          <w:bottom w:w="0" w:type="dxa"/>
          <w:right w:w="0" w:type="dxa"/>
        </w:tblCellMar>
      </w:tblPr>
      <w:tr>
        <w:trPr>
          <w:trHeight w:val="26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22"/>
                <w:szCs w:val="22"/>
                <w:color w:val="auto"/>
              </w:rPr>
            </w:pPr>
          </w:p>
        </w:tc>
        <w:tc>
          <w:tcPr>
            <w:tcW w:w="3180" w:type="dxa"/>
            <w:vAlign w:val="bottom"/>
            <w:tcBorders>
              <w:bottom w:val="single" w:sz="8" w:color="auto"/>
            </w:tcBorders>
            <w:gridSpan w:val="4"/>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43"/>
        </w:trPr>
        <w:tc>
          <w:tcPr>
            <w:tcW w:w="4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4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40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2018</w:t>
            </w:r>
          </w:p>
        </w:tc>
        <w:tc>
          <w:tcPr>
            <w:tcW w:w="310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7"/>
        </w:trPr>
        <w:tc>
          <w:tcPr>
            <w:tcW w:w="4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2014</w:t>
            </w:r>
          </w:p>
        </w:tc>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Incentive Plan</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57"/>
        </w:trPr>
        <w:tc>
          <w:tcPr>
            <w:tcW w:w="35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w:t>
            </w:r>
          </w:p>
        </w:tc>
      </w:tr>
      <w:tr>
        <w:trPr>
          <w:trHeight w:val="20"/>
        </w:trPr>
        <w:tc>
          <w:tcPr>
            <w:tcW w:w="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for stock-based compensation was not material for the three months ended March 31, 2020 and 2019.</w:t>
      </w:r>
    </w:p>
    <w:p>
      <w:pPr>
        <w:spacing w:after="0" w:line="200" w:lineRule="exact"/>
        <w:rPr>
          <w:sz w:val="20"/>
          <w:szCs w:val="20"/>
          <w:color w:val="auto"/>
        </w:rPr>
      </w:pPr>
    </w:p>
    <w:p>
      <w:pPr>
        <w:spacing w:after="0" w:line="2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FAIR VALUE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estimated fair value of remaining contingent consideration related to the Priority Payment Systems Tech Partners ("PPS Tech") and Priority Payment Systems Northeast ("PPS Northeast") business combinations were each based on a weighted payout probability for the contingent consideration at the original measurement date and each subsequent remeasurement date, which fall within Level 3 on the fair value hierarchy since these recurring fair value measurements are based on significant unobservable inputs. Both of these business combinations consummated during the third quarter of 2018. For PPS Tech and PPS Northeast, the probabilities used to estimate the payout probability of the contingent considerations ranged between 15% and 35% and between 5% and 80%, respectively. For PPS Tech and PPS Northeast, the estimated weighted average probability for payment of the contingent consideration was 21% and 70%, respectively, at March 31, 2020 and December 31, 2019, and 26% and 70%, respectively, at March 31, 2019. These weighted average probabilities are based on present value of estimated projections for financial metrics for the remaining earnout periods.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the remaining maximum amounts of contingent consideration for the PPS Tech and the PPS Northeast business combinations were $500,000 and $250,000, respectively, and the measured fair values were $170,000 and $190,000, respectively. These fair value amounts did not change during the three months ended March 31, 2020 and 2019.</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transfers among the fair value levels during the three months ended March 31, 2020 and March 31, 2019. There were no unrealized gains or losses included in other comprehensive income for any reporting period, therefore there were no changes in unrealized gains and losses for any reporting period included in other comprehensive income for recurring Level 3 fair value measurements.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Notes receivable are carried at amortized cost. Substantially all of the Company's notes receivable are secured, and the Company believes that all of its notes receivable are collectible. The fair value of the Company's notes receivable at March 31, 2020 and December 31, 2019 was approximately $6.6 million and $5.7 million, respectively. On the fair value hierarchy, Level 3 inputs are used to estimate the fair value of these notes receivable.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Borrower's outstanding debt obligations (see Note 8, </w:t>
      </w:r>
      <w:r>
        <w:rPr>
          <w:rFonts w:ascii="Arial" w:cs="Arial" w:eastAsia="Arial" w:hAnsi="Arial"/>
          <w:sz w:val="18"/>
          <w:szCs w:val="18"/>
          <w:i w:val="1"/>
          <w:iCs w:val="1"/>
          <w:color w:val="auto"/>
        </w:rPr>
        <w:t>Debt Obligations</w:t>
      </w:r>
      <w:r>
        <w:rPr>
          <w:rFonts w:ascii="Arial" w:cs="Arial" w:eastAsia="Arial" w:hAnsi="Arial"/>
          <w:sz w:val="18"/>
          <w:szCs w:val="18"/>
          <w:color w:val="auto"/>
        </w:rPr>
        <w:t>) are reflected in the Company's consolidated balance sheets at carrying value since the Company did not elect to remeasure debt obligations to fair value at the end of each reporting period.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The fair value of the term loan facility under the Borrowers' Senior Credit Agreement at March 31, 2020 was approximately $327.7 million. The fair value of these notes with a notional value and carrying value (gross of deferred costs and discounts) of $387.8 million was estimated using binding and non-binding quoted prices in an active secondary market, which considers the Borrowers' credit risk and market related conditions, and is within Level 3 of the fair value hierarchy.</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the Borrowers' other long-term debt obligations approximate fair value due to mechanisms in the credit agreements that adjust the applicable interest rates and the lack of an active market for these notes.</w:t>
      </w:r>
    </w:p>
    <w:p>
      <w:pPr>
        <w:spacing w:after="0" w:line="200" w:lineRule="exact"/>
        <w:rPr>
          <w:sz w:val="20"/>
          <w:szCs w:val="20"/>
          <w:color w:val="auto"/>
        </w:rPr>
      </w:pPr>
    </w:p>
    <w:p>
      <w:pPr>
        <w:spacing w:after="0" w:line="3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three reportable segments that are reviewed by the Company's chief operating decision maker ("CODM"), who is the Company's Chief Executive Officer and Chairman. The Consumer Payments operating segment and the Integrated Partners operating segments are each reported as separate reportable segments. The Commercial Payments and Institutional Services (sometimes referred to as Managed Services) operating segments are aggregated into one reportable segment, Commercial Payments.</w:t>
      </w:r>
    </w:p>
    <w:p>
      <w:pPr>
        <w:spacing w:after="0" w:line="187" w:lineRule="exact"/>
        <w:rPr>
          <w:sz w:val="20"/>
          <w:szCs w:val="20"/>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Consumer Payments – </w:t>
      </w:r>
      <w:r>
        <w:rPr>
          <w:rFonts w:ascii="Arial" w:cs="Arial" w:eastAsia="Arial" w:hAnsi="Arial"/>
          <w:sz w:val="18"/>
          <w:szCs w:val="18"/>
          <w:color w:val="auto"/>
        </w:rPr>
        <w:t>represents consumer-related services and offerings including merchant acquiring and transaction processing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proprietary MX enterprise suite. Either through acquisition of merchant portfolios or through resellers, the Company becomes a party or enters into contracts with a merchant and a sponsor bank. Pursuant to the contracts, for each card transaction, the sponsor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92"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Payments – </w:t>
      </w:r>
      <w:r>
        <w:rPr>
          <w:rFonts w:ascii="Arial" w:cs="Arial" w:eastAsia="Arial" w:hAnsi="Arial"/>
          <w:sz w:val="18"/>
          <w:szCs w:val="18"/>
          <w:color w:val="auto"/>
        </w:rPr>
        <w:t>represents services provided to certain enterprise customers, including outsourced sales force to those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payable automation services to commercial customers.</w:t>
      </w:r>
    </w:p>
    <w:p>
      <w:pPr>
        <w:spacing w:after="0" w:line="170" w:lineRule="exact"/>
        <w:rPr>
          <w:rFonts w:ascii="Arial" w:cs="Arial" w:eastAsia="Arial" w:hAnsi="Arial"/>
          <w:sz w:val="18"/>
          <w:szCs w:val="18"/>
          <w:i w:val="1"/>
          <w:iCs w:val="1"/>
          <w:color w:val="auto"/>
        </w:rPr>
      </w:pPr>
    </w:p>
    <w:p>
      <w:pPr>
        <w:ind w:right="400" w:firstLine="332"/>
        <w:spacing w:after="0" w:line="500"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Integrated Partners – </w:t>
      </w:r>
      <w:r>
        <w:rPr>
          <w:rFonts w:ascii="Arial" w:cs="Arial" w:eastAsia="Arial" w:hAnsi="Arial"/>
          <w:sz w:val="18"/>
          <w:szCs w:val="18"/>
          <w:color w:val="auto"/>
        </w:rPr>
        <w:t>represents payment adjacent services that are provided primarily to the health care and residential real estate industries.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includes costs of corporate functions and shared services not allocated to our reportable segments.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second quarter of 2019, the Integrated Partners operating segment was aggregated with the Commercial Payments and Institutional Services operating segments and reported as one aggregated reportable segment. In the second quarter of 2019, the Integrated Partners operating segment was no longer aggregated with the Commercial Payments and Institutional Services operating segments. All comparative periods have been adjusted to reflect the current three reportable segments.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reportable segments and reconciliations to consolidated revenue, consolidated income from operations, and consolidated depreciation and amortization are as follows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shd w:val="clear" w:color="auto" w:fill="CCEEFF"/>
          </w:tcPr>
          <w:p>
            <w:pPr>
              <w:spacing w:after="0"/>
              <w:rPr>
                <w:sz w:val="22"/>
                <w:szCs w:val="22"/>
                <w:color w:val="auto"/>
              </w:rPr>
            </w:pPr>
          </w:p>
        </w:tc>
        <w:tc>
          <w:tcPr>
            <w:tcW w:w="3240" w:type="dxa"/>
            <w:vAlign w:val="bottom"/>
            <w:tcBorders>
              <w:bottom w:val="single" w:sz="8" w:color="auto"/>
            </w:tcBorders>
            <w:gridSpan w:val="4"/>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r>
      <w:tr>
        <w:trPr>
          <w:trHeight w:val="243"/>
        </w:trPr>
        <w:tc>
          <w:tcPr>
            <w:tcW w:w="4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86,031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79,009</w:t>
            </w: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Payments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6,658</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Integrated Partners</w:t>
            </w:r>
          </w:p>
        </w:tc>
        <w:tc>
          <w:tcPr>
            <w:tcW w:w="3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1,979</w:t>
            </w: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96,933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87,646</w:t>
            </w: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1"/>
        </w:trPr>
        <w:tc>
          <w:tcPr>
            <w:tcW w:w="4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7,719</w:t>
            </w: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Payments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Integrated Partners</w:t>
            </w:r>
          </w:p>
        </w:tc>
        <w:tc>
          <w:tcPr>
            <w:tcW w:w="3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r>
      <w:tr>
        <w:trPr>
          <w:trHeight w:val="297"/>
        </w:trPr>
        <w:tc>
          <w:tcPr>
            <w:tcW w:w="4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Consolidated income from operations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966</w:t>
            </w:r>
          </w:p>
        </w:tc>
      </w:tr>
      <w:tr>
        <w:trPr>
          <w:trHeight w:val="271"/>
        </w:trPr>
        <w:tc>
          <w:tcPr>
            <w:tcW w:w="4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Payments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7,808</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Commercial Payments</w:t>
            </w:r>
          </w:p>
        </w:tc>
        <w:tc>
          <w:tcPr>
            <w:tcW w:w="3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Integrated Partners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depreciation and amortization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8,925</w:t>
            </w: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total income from operations of reportable segments to the Company's net loss is provided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23"/>
                <w:szCs w:val="23"/>
                <w:color w:val="auto"/>
              </w:rPr>
            </w:pPr>
          </w:p>
        </w:tc>
        <w:tc>
          <w:tcPr>
            <w:tcW w:w="2480" w:type="dxa"/>
            <w:vAlign w:val="bottom"/>
            <w:gridSpan w:val="4"/>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4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21"/>
                <w:szCs w:val="2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4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2019</w:t>
            </w:r>
          </w:p>
        </w:tc>
      </w:tr>
      <w:tr>
        <w:trPr>
          <w:trHeight w:val="210"/>
        </w:trPr>
        <w:tc>
          <w:tcPr>
            <w:tcW w:w="48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from operations of reportable segments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7,035</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(6,069)</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(Less) plus other,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w:t>
            </w:r>
          </w:p>
        </w:tc>
      </w:tr>
      <w:tr>
        <w:trPr>
          <w:trHeight w:val="257"/>
        </w:trPr>
        <w:tc>
          <w:tcPr>
            <w:tcW w:w="48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(6,446)</w:t>
            </w: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revenue is generated in the United States.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 xml:space="preserve">For the three </w:t>
      </w:r>
      <w:r>
        <w:rPr>
          <w:rFonts w:ascii="Arial" w:cs="Arial" w:eastAsia="Arial" w:hAnsi="Arial"/>
          <w:sz w:val="18"/>
          <w:szCs w:val="18"/>
          <w:color w:val="000000"/>
        </w:rPr>
        <w:t>months ended March 31, 2020 and 2019</w:t>
      </w:r>
      <w:r>
        <w:rPr>
          <w:rFonts w:ascii="Arial" w:cs="Arial" w:eastAsia="Arial" w:hAnsi="Arial"/>
          <w:sz w:val="18"/>
          <w:szCs w:val="18"/>
          <w:color w:val="212529"/>
        </w:rPr>
        <w:t>, no one merchant customer accounted for 10% or more of the Company's consolidated revenues. Most of the Company's merchant customers were referred to the Company by an ISO or other referral partners. If the Company's agreement with an ISO allows the ISO to have merchant portability rights, the ISO can move the underlying merchant relationships to another merchant acquirer upon notice to the Company and completion of a "wind down"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period. For the three months ended March 31, 2020 and 2019, merchants referred by one ISO organization with merchant portability rights generated revenue within the Company's Consumer Payments reportable segment that represented approximately 20% and 18%, respectively, of the Company's consolidated revenues.</w:t>
      </w:r>
    </w:p>
    <w:p>
      <w:pPr>
        <w:spacing w:after="0" w:line="39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the Company's basic and diluted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49974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7450" cy="171450"/>
                    </a:xfrm>
                    <a:prstGeom prst="rect">
                      <a:avLst/>
                    </a:prstGeom>
                    <a:noFill/>
                  </pic:spPr>
                </pic:pic>
              </a:graphicData>
            </a:graphic>
          </wp:anchor>
        </w:drawing>
      </w:r>
    </w:p>
    <w:p>
      <w:pPr>
        <w:spacing w:after="0" w:line="14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34290</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4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Basic and Diluted Loss Per Common Share:</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(6,446)</w:t>
            </w:r>
          </w:p>
        </w:tc>
      </w:tr>
      <w:tr>
        <w:trPr>
          <w:trHeight w:val="27"/>
        </w:trPr>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Income (loss) attributable to non-controlling</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3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(6,446)</w:t>
            </w:r>
          </w:p>
        </w:tc>
      </w:tr>
      <w:tr>
        <w:trPr>
          <w:trHeight w:val="324"/>
        </w:trPr>
        <w:tc>
          <w:tcPr>
            <w:tcW w:w="4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67,164</w:t>
            </w:r>
          </w:p>
        </w:tc>
      </w:tr>
      <w:tr>
        <w:trPr>
          <w:trHeight w:val="230"/>
        </w:trPr>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Loss Per Common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7"/>
        </w:trPr>
        <w:tc>
          <w:tcPr>
            <w:tcW w:w="44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Potentially anti-dilutive securities that were excluded from earnings per share for the three months ended March 31, 2020 and 2019 that could be dilutive in future periods were as follows:</w:t>
      </w:r>
    </w:p>
    <w:p>
      <w:pPr>
        <w:spacing w:after="0" w:line="104"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600" w:type="dxa"/>
            <w:vAlign w:val="bottom"/>
            <w:tcBorders>
              <w:bottom w:val="single" w:sz="8" w:color="auto"/>
            </w:tcBorders>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Common Stock Equivalents</w:t>
            </w:r>
          </w:p>
        </w:tc>
      </w:tr>
      <w:tr>
        <w:trPr>
          <w:trHeight w:val="243"/>
        </w:trPr>
        <w:tc>
          <w:tcPr>
            <w:tcW w:w="7300" w:type="dxa"/>
            <w:vAlign w:val="bottom"/>
          </w:tcPr>
          <w:p>
            <w:pPr>
              <w:spacing w:after="0"/>
              <w:rPr>
                <w:sz w:val="21"/>
                <w:szCs w:val="21"/>
                <w:color w:val="auto"/>
              </w:rPr>
            </w:pPr>
          </w:p>
        </w:tc>
        <w:tc>
          <w:tcPr>
            <w:tcW w:w="188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 2020</w:t>
            </w:r>
          </w:p>
        </w:tc>
        <w:tc>
          <w:tcPr>
            <w:tcW w:w="172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 2019</w:t>
            </w:r>
          </w:p>
        </w:tc>
      </w:tr>
      <w:tr>
        <w:trPr>
          <w:trHeight w:val="27"/>
        </w:trPr>
        <w:tc>
          <w:tcPr>
            <w:tcW w:w="73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9"/>
        </w:trPr>
        <w:tc>
          <w:tcPr>
            <w:tcW w:w="7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Outstanding warrants on common stock</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3,556</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3,556</w:t>
            </w:r>
          </w:p>
        </w:tc>
      </w:tr>
      <w:tr>
        <w:trPr>
          <w:trHeight w:val="27"/>
        </w:trPr>
        <w:tc>
          <w:tcPr>
            <w:tcW w:w="7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 awards granted under the 2018 Equity Incentive Plan</w:t>
            </w: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395</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Outstanding stock option awards granted under the 2018 Equity Incentive Plan</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1,644</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2,047</w:t>
            </w:r>
          </w:p>
        </w:tc>
      </w:tr>
      <w:tr>
        <w:trPr>
          <w:trHeight w:val="27"/>
        </w:trPr>
        <w:tc>
          <w:tcPr>
            <w:tcW w:w="7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granted under the Earnout Incentive Plan</w:t>
            </w: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r>
      <w:tr>
        <w:trPr>
          <w:trHeight w:val="257"/>
        </w:trPr>
        <w:tc>
          <w:tcPr>
            <w:tcW w:w="7300" w:type="dxa"/>
            <w:vAlign w:val="bottom"/>
          </w:tcPr>
          <w:p>
            <w:pPr>
              <w:ind w:left="260"/>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5,595</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5,936</w:t>
            </w:r>
          </w:p>
        </w:tc>
      </w:tr>
      <w:tr>
        <w:trPr>
          <w:trHeight w:val="20"/>
        </w:trPr>
        <w:tc>
          <w:tcPr>
            <w:tcW w:w="73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for the years ended December 31, 2019, 2018 and 2017 and the section entitled "Management's Discussion and Analysis of Financial Condition and Results of Operations," included in the Company's Annual Report on Form 10-K filed with the U.S. Securities and Exchange Commission on March 30, 2020 (the "Annual Report").</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the statements made in this Quarterly Report on Form 10-Q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 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payment processing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distribution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unauthorized disclosures of merchant or cardholder data, whether through breach of our computer systems, computer viruses, or otherwise;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breakdowns in our processing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including regulation of consumer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third-party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changes in card association and debit network fees or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to comply with the rules established by payment networks or standards established by third-party processor;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proposed acquisitions or any risks associated with completed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set forth in the "Item 1A - Risk Factors" included in this Quarterly Report or our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Used in this Quarterly Report on Form 10-Q</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used in this Quarterly Report on Form 10-Q, unless the context otherwise requires, references to the terms "Company,"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section includes a summary of our results of operations for the periods presented followed by a detailed discussion of our results of operations for the three months ended March 31, 2020 (or first quarter 2020) compared to the three months ended March 31, 2019 (or first quarter 2019). We have derived this data, except key indicators for merchant bankcard processing dollar values and transaction volumes, from our unaudited condensed consolidated financial statements included elsewhere in this Quarterly Report on Form 10-Q and our audited consolidated financial statements included in our latest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58" w:lineRule="exact"/>
        <w:rPr>
          <w:sz w:val="20"/>
          <w:szCs w:val="20"/>
          <w:color w:val="auto"/>
        </w:rPr>
      </w:pPr>
    </w:p>
    <w:tbl>
      <w:tblPr>
        <w:tblLayout w:type="fixed"/>
        <w:tblInd w:w="240" w:type="dxa"/>
        <w:tblCellMar>
          <w:top w:w="0" w:type="dxa"/>
          <w:left w:w="0" w:type="dxa"/>
          <w:bottom w:w="0" w:type="dxa"/>
          <w:right w:w="0" w:type="dxa"/>
        </w:tblCellMar>
      </w:tblPr>
      <w:tr>
        <w:trPr>
          <w:trHeight w:val="26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shd w:val="clear" w:color="auto" w:fill="CCEEFF"/>
          </w:tcPr>
          <w:p>
            <w:pPr>
              <w:spacing w:after="0"/>
              <w:rPr>
                <w:sz w:val="22"/>
                <w:szCs w:val="22"/>
                <w:color w:val="auto"/>
              </w:rPr>
            </w:pPr>
          </w:p>
        </w:tc>
        <w:tc>
          <w:tcPr>
            <w:tcW w:w="330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43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4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96,933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87,646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9,287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10.6 %</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Costs of services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43"/>
        </w:trPr>
        <w:tc>
          <w:tcPr>
            <w:tcW w:w="4360" w:type="dxa"/>
            <w:vAlign w:val="bottom"/>
          </w:tcPr>
          <w:p>
            <w:pPr>
              <w:ind w:left="160"/>
              <w:spacing w:after="0"/>
              <w:rPr>
                <w:sz w:val="20"/>
                <w:szCs w:val="20"/>
                <w:color w:val="auto"/>
              </w:rPr>
            </w:pPr>
            <w:r>
              <w:rPr>
                <w:rFonts w:ascii="Arial" w:cs="Arial" w:eastAsia="Arial" w:hAnsi="Arial"/>
                <w:sz w:val="18"/>
                <w:szCs w:val="18"/>
                <w:color w:val="auto"/>
              </w:rPr>
              <w:t>Salary and employee benefits</w:t>
            </w: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10,129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r>
      <w:tr>
        <w:trPr>
          <w:trHeight w:val="243"/>
        </w:trPr>
        <w:tc>
          <w:tcPr>
            <w:tcW w:w="43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6,609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09"/>
        </w:trPr>
        <w:tc>
          <w:tcPr>
            <w:tcW w:w="4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268.4 %</w:t>
            </w:r>
          </w:p>
        </w:tc>
      </w:tr>
      <w:tr>
        <w:trPr>
          <w:trHeight w:val="318"/>
        </w:trPr>
        <w:tc>
          <w:tcPr>
            <w:tcW w:w="4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10.2 %</w:t>
            </w: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(252.4)%</w:t>
            </w:r>
          </w:p>
        </w:tc>
      </w:tr>
      <w:tr>
        <w:trPr>
          <w:trHeight w:val="237"/>
        </w:trPr>
        <w:tc>
          <w:tcPr>
            <w:tcW w:w="4360" w:type="dxa"/>
            <w:vAlign w:val="bottom"/>
          </w:tcPr>
          <w:p>
            <w:pPr>
              <w:ind w:left="360"/>
              <w:spacing w:after="0"/>
              <w:rPr>
                <w:sz w:val="20"/>
                <w:szCs w:val="20"/>
                <w:color w:val="auto"/>
              </w:rPr>
            </w:pPr>
            <w:r>
              <w:rPr>
                <w:rFonts w:ascii="Arial" w:cs="Arial" w:eastAsia="Arial" w:hAnsi="Arial"/>
                <w:sz w:val="18"/>
                <w:szCs w:val="18"/>
                <w:color w:val="auto"/>
              </w:rPr>
              <w:t>Total other expenses, net</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16.7 %</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10"/>
        </w:trPr>
        <w:tc>
          <w:tcPr>
            <w:tcW w:w="4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4360" w:type="dxa"/>
            <w:vAlign w:val="bottom"/>
          </w:tcPr>
          <w:p>
            <w:pPr>
              <w:ind w:left="360"/>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57"/>
        </w:trPr>
        <w:tc>
          <w:tcPr>
            <w:tcW w:w="4360" w:type="dxa"/>
            <w:vAlign w:val="bottom"/>
          </w:tcPr>
          <w:p>
            <w:pPr>
              <w:ind w:left="38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our reportable segments' financial performance data and selected performance measures for the three months ended March 31, 2020 compared to the three months ended March 31,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shd w:val="clear" w:color="auto" w:fill="CCEEFF"/>
          </w:tcPr>
          <w:p>
            <w:pPr>
              <w:spacing w:after="0"/>
              <w:rPr>
                <w:sz w:val="22"/>
                <w:szCs w:val="22"/>
                <w:color w:val="auto"/>
              </w:rPr>
            </w:pPr>
          </w:p>
        </w:tc>
        <w:tc>
          <w:tcPr>
            <w:tcW w:w="3320" w:type="dxa"/>
            <w:vAlign w:val="bottom"/>
            <w:gridSpan w:val="5"/>
            <w:shd w:val="clear" w:color="auto" w:fill="CCEEFF"/>
          </w:tcPr>
          <w:p>
            <w:pPr>
              <w:ind w:left="22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44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1"/>
                <w:szCs w:val="21"/>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Consumer Payments:</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86,031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79,009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78,879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71,290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7,589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10.6 %</w:t>
            </w:r>
          </w:p>
        </w:tc>
      </w:tr>
      <w:tr>
        <w:trPr>
          <w:trHeight w:val="27"/>
        </w:trPr>
        <w:tc>
          <w:tcPr>
            <w:tcW w:w="4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7,152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7,719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4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70"/>
        </w:trPr>
        <w:tc>
          <w:tcPr>
            <w:tcW w:w="4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10,386,748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10,210,755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175,993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119,431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120,884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Commercial Payments: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6,368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6,658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97"/>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1,215</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(269.4)%</w:t>
            </w:r>
          </w:p>
        </w:tc>
      </w:tr>
      <w:tr>
        <w:trPr>
          <w:trHeight w:val="237"/>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4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Key Indicators:</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72,677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69,897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4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Integrated Partners:</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129.1 %</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1,954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88.3 %</w:t>
            </w:r>
          </w:p>
        </w:tc>
      </w:tr>
      <w:tr>
        <w:trPr>
          <w:trHeight w:val="27"/>
        </w:trPr>
        <w:tc>
          <w:tcPr>
            <w:tcW w:w="4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(257.9)%</w:t>
            </w:r>
          </w:p>
        </w:tc>
      </w:tr>
      <w:tr>
        <w:trPr>
          <w:trHeight w:val="20"/>
        </w:trPr>
        <w:tc>
          <w:tcPr>
            <w:tcW w:w="4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16"/>
        </w:trPr>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Key Indicators: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124,518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33,985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90,533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266.4 %</w:t>
            </w:r>
          </w:p>
        </w:tc>
      </w:tr>
      <w:tr>
        <w:trPr>
          <w:trHeight w:val="27"/>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250.0 %</w:t>
            </w:r>
          </w:p>
        </w:tc>
      </w:tr>
      <w:tr>
        <w:trPr>
          <w:trHeight w:val="283"/>
        </w:trPr>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Less: Corporate expense</w:t>
            </w:r>
          </w:p>
        </w:tc>
        <w:tc>
          <w:tcPr>
            <w:tcW w:w="3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(6,069)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1,344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4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income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2,593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268.4 %</w:t>
            </w:r>
          </w:p>
        </w:tc>
      </w:tr>
      <w:tr>
        <w:trPr>
          <w:trHeight w:val="20"/>
        </w:trPr>
        <w:tc>
          <w:tcPr>
            <w:tcW w:w="4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400" w:type="dxa"/>
            <w:vAlign w:val="bottom"/>
          </w:tcPr>
          <w:p>
            <w:pPr>
              <w:ind w:left="40"/>
              <w:spacing w:after="0"/>
              <w:rPr>
                <w:sz w:val="20"/>
                <w:szCs w:val="20"/>
                <w:color w:val="auto"/>
              </w:rPr>
            </w:pPr>
            <w:r>
              <w:rPr>
                <w:rFonts w:ascii="Arial" w:cs="Arial" w:eastAsia="Arial" w:hAnsi="Arial"/>
                <w:sz w:val="18"/>
                <w:szCs w:val="18"/>
                <w:color w:val="auto"/>
              </w:rPr>
              <w:t>Corporate depreciation and amortization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10,583,943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10,314,637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269,306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119,904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121,042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459"/>
        </w:trPr>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060"/>
          </w:cols>
          <w:pgMar w:left="320" w:top="125" w:right="5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2020 Compared to Three Months Ended March 31, 2019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first three months of 2020, our consolidated revenue increased by $9.3 million, or 10.6%, from $87.6 million to $96.9 million. This revenue growth reflected increases of $7.0 million and $2.6 million in our Consumer Payments and Integrated Partners segments, respectively, partially offset by a decrease in our Commercial Payments segment of $0.3 million. Consolidated merchant bankcard processing dollar value increased 2.6% while merchant bankcard transactions decreased 0.9%.</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revenue for the first three months of 2020 in our Consumer Payments segment was due to a higher average ticket price and growth in processing volume of 1.7%, partially offset by a decline in merchant bankcard transactions of 1.2%. The lower merchant bankcard transaction volume for the first three months of 2020 was mainly due to the effects of the COVID-19 pandemic during the last half of March 2020, partially offset by the continuation of strong consumer spending trends from January through mid-March and positive net onboarding of new merchants. The average dollar amount per bankcard transaction (calculated by dividing bankcard processing volume by the associated number of transactions processed) of $86.97 increased 3.0% for the first three months of 2020 from $84.47 for the first three months of 2019.</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Commercial Payments segment revenue for the first three months of 2020 decreased by $0.3 million, or 4.4%, compared to the first three months of 2019. This decrease was due to lower revenue from our curated managed services program, partially offset by increases in our commercial payments exchange ("CPX") accounts payable automated solutions services, which grew by $0.4 million, or 31.4%, from $1.2 million to $1.6 million. Revenue from our curated managed services programs declined by $0.7 million from $5.4 million to $4.8 million, driven by lower program activity and incentive revenue in the first three months of 2020.</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 in our Integrated Partners reportable segment was $4.5 million for the first three months of 2020 compared to $2.0 million for the first three months of 2019. Priority Real Estate Technology ("PRET") comprised $4.0 million and $1.6 million of this reportable segment's revenue in the first three months of 2020 and 2019, respectively. PRET is comprised primarily of the assets acquired from YapStone in March 2019 and the net assets acquired from RadPad Holdings, Inc. Revenue from Priority PayRight Health Solutions and Priority Hospitality Technology, whose assets we acquired in April 2018 and February 2019, respectively, comprise the remainder of this reportable segment's revenue.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2020 Compared to Three Months Ended March 31, 2019</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consolidated operating expenses increased $6.7 million, or 7.7%, from $86.7 million for the first three months of 2019 to $93.4 million for the first three months of 2020. This overall increase was primarily due to the increase in costs of services of $6.3 million, or 10.4%, related to the corresponding 10.6% increase in revenues, and higher amortization expense of $1.3 million primarily for the acquired YapStone assets and internally developed software. This increase was partially offset by a $0.8 million decrease, or 7.1%, in salaries and employee benefits and a decrease of $0.1 million, or 2.1%, in selling, general, and administrative ("SG&amp;A") expenses. This decrease in salaries and employee benefits was related to lower incentive compensation and a decrease of $0.8 million in non-cash stock-based compensation for the first three months of 2020.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2020 Compared to Three Months Ended March 31, 2019</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income from operations increased by $2.6 million, or 268.4%, from $1.0 million for the first three months of 2019 to $3.6 million for the first three months of 2020. Our consolidated operating margin for the first three months of 2020 was 3.7% compared to 1.1% for the first three months of 2019. This margin increase was driven by profitability in our Commercial Payments and Integrated Partners segments, lower corporate expense, partially offset by the decrease in income from operations in our Consumer Payments segment attributable to additional amortization expense.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Consumer Payments reportable segment contributed $7.2 million in income from operations for the first three months of 2020, a decrease of $0.6 million, or 7.3%, from the $7.7 million for the first three months of 2019. This decrease largely reflected lower merchant bankcard transaction volume, higher residual expenses, and an increase in amortization expense primarily for residual rights in merchant portfolios acquired after the first quarter of 2019, partially offset by higher merchant bankcard processing dollar value due to the increase in the average dollar amount per bankcard transaction, as previously discussed.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Commercial Payments reportable segment earned income from operations of approximately $0.8 million for the first three months of 2020 compared to a loss from operations of approximately $0.5 million for the first three months of 2019. This improvement in 2020 was largely driven by growth in our CPX accounts payable automated solutions services, partially offset by a contraction in our curated managed services.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Integrated Partners reportable segment contributed $0.4 million in income from operations for the first three months of 2020 compared to a loss from operations of $0.2 million in the first three months of 2019. The growth in 2020 was largely attributable to the YapStone assets acquired in late first quarter of 2019. Operating results for first three months of 2020 included depreciation and amortization expense of $1.3 million primarily related to the YapStone assets acquired. Other operating expenses in the first quarters of 2020 included $0.9 million for transition services related to the acquired YapStone assets.</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Corporate expense was $4.7 million for the first three months of 2020, a decrease of $1.3 million, 22.1%, from expenses of $6.1 million for the first three months of 2019. Corporate expenses that we deem to be non-recurring in nature were $0.5 million in the first quarter of 2020 and $1.2 million in the first quarter 2019. The decline in Corporate expenses was also due to decreases in non-cash stock-based compensation expense and certain SG&amp;A costs.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first three months of 2020, interest expense increased by $1.0 million, or 10.2%, to $10.3 million from $9.4 million from the first three months of 2019. The increase in 2020 was primarily due to higher outstanding borrowings driven by draws on the revolving credit facility and a delayed draw on the term facility of our Senior Credit Agreement that occurred in March 2019. The amortization of deferred financing costs and debt discounts increased our reported interest expense, and such amortization resulted in an effective interest rate of 8.87% for our senior term loan and 12.91% for our subordinated term loan at March 31, 2020.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net resulted in an expense of $0.3 million in the first three months of 2020 compared to income of $0.2 million for the first three months of 2019. The first three months of 2020 included expenses of $0.4 million related to debt modifications and a $0.2 million non-cash write-off of an equity-method investment.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22222"/>
        </w:rPr>
        <w:t xml:space="preserve">We assess all available positive and negative evidence to estimate whether sufficient taxable income will be generated in the future to permit use of the existing deferred tax assets. ASC 740, </w:t>
      </w:r>
      <w:r>
        <w:rPr>
          <w:rFonts w:ascii="Arial" w:cs="Arial" w:eastAsia="Arial" w:hAnsi="Arial"/>
          <w:sz w:val="17"/>
          <w:szCs w:val="17"/>
          <w:i w:val="1"/>
          <w:iCs w:val="1"/>
          <w:color w:val="222222"/>
        </w:rPr>
        <w:t>Income Taxes</w:t>
      </w:r>
      <w:r>
        <w:rPr>
          <w:rFonts w:ascii="Arial" w:cs="Arial" w:eastAsia="Arial" w:hAnsi="Arial"/>
          <w:sz w:val="17"/>
          <w:szCs w:val="17"/>
          <w:color w:val="222222"/>
        </w:rPr>
        <w:t xml:space="preserve"> ("ASC 740"), requires that all sources of future taxable income be considered in making this determination. The Tax Cuts and Jobs Act of 2017 amended section 163(j) of the Internal Revenue Code. </w:t>
      </w:r>
      <w:r>
        <w:rPr>
          <w:rFonts w:ascii="Arial" w:cs="Arial" w:eastAsia="Arial" w:hAnsi="Arial"/>
          <w:sz w:val="17"/>
          <w:szCs w:val="17"/>
          <w:color w:val="000000"/>
        </w:rPr>
        <w:t>Section 163(j), as amended, limits the business</w:t>
      </w:r>
      <w:r>
        <w:rPr>
          <w:rFonts w:ascii="Arial" w:cs="Arial" w:eastAsia="Arial" w:hAnsi="Arial"/>
          <w:sz w:val="17"/>
          <w:szCs w:val="17"/>
          <w:color w:val="222222"/>
        </w:rPr>
        <w:t xml:space="preserve"> </w:t>
      </w:r>
      <w:r>
        <w:rPr>
          <w:rFonts w:ascii="Arial" w:cs="Arial" w:eastAsia="Arial" w:hAnsi="Arial"/>
          <w:sz w:val="17"/>
          <w:szCs w:val="17"/>
          <w:color w:val="000000"/>
        </w:rPr>
        <w:t>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 In March 2020, the Coronavirus Aid, Relief, and Economic Security Act ("CARES Act") was enacted, which among other provisions, provides for the increase of the 163(j) ATI limitation from 30% to 50% for tax years 2019 and 2020.</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 respect to recording a deferred tax benefit for the carryforward of business interest expense, GAAP applies a "more likely than not" threshold for assessing recoverability. </w:t>
      </w:r>
      <w:r>
        <w:rPr>
          <w:rFonts w:ascii="Arial" w:cs="Arial" w:eastAsia="Arial" w:hAnsi="Arial"/>
          <w:sz w:val="18"/>
          <w:szCs w:val="18"/>
          <w:color w:val="222222"/>
        </w:rPr>
        <w:t>On the basis of our assessment, during the first three months of 2020 we recorded an increase in the valuation allowance of $0.5</w:t>
      </w:r>
      <w:r>
        <w:rPr>
          <w:rFonts w:ascii="Arial" w:cs="Arial" w:eastAsia="Arial" w:hAnsi="Arial"/>
          <w:sz w:val="18"/>
          <w:szCs w:val="18"/>
          <w:color w:val="auto"/>
        </w:rPr>
        <w:t xml:space="preserve"> </w:t>
      </w:r>
      <w:r>
        <w:rPr>
          <w:rFonts w:ascii="Arial" w:cs="Arial" w:eastAsia="Arial" w:hAnsi="Arial"/>
          <w:sz w:val="18"/>
          <w:szCs w:val="18"/>
          <w:color w:val="222222"/>
        </w:rPr>
        <w:t xml:space="preserve">million </w:t>
      </w:r>
      <w:r>
        <w:rPr>
          <w:rFonts w:ascii="Arial" w:cs="Arial" w:eastAsia="Arial" w:hAnsi="Arial"/>
          <w:sz w:val="18"/>
          <w:szCs w:val="18"/>
          <w:color w:val="000000"/>
        </w:rPr>
        <w:t>for our business interest carryover comprised of (i) a discrete valuation allowance benefit of $1.5 million associated with our 2019 business interest</w:t>
      </w:r>
      <w:r>
        <w:rPr>
          <w:rFonts w:ascii="Arial" w:cs="Arial" w:eastAsia="Arial" w:hAnsi="Arial"/>
          <w:sz w:val="18"/>
          <w:szCs w:val="18"/>
          <w:color w:val="222222"/>
        </w:rPr>
        <w:t xml:space="preserve"> </w:t>
      </w:r>
      <w:r>
        <w:rPr>
          <w:rFonts w:ascii="Arial" w:cs="Arial" w:eastAsia="Arial" w:hAnsi="Arial"/>
          <w:sz w:val="18"/>
          <w:szCs w:val="18"/>
          <w:color w:val="000000"/>
        </w:rPr>
        <w:t>deferred tax asset as a result of the CARES Act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
        <w:spacing w:after="0" w:line="277" w:lineRule="auto"/>
        <w:tabs>
          <w:tab w:leader="none" w:pos="2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provision for the valuation allowance of $2.0 million associated with our 2020 excess business interest. These provisions are a component of our income tax benefit reported on our consolidated statements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22222"/>
        </w:rPr>
        <w:t>We will continue to evaluate the realizability of the net deferred tax asset on a quarterly basis and, as a result, the valuation allowance may change in future periods.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compute our interim period income tax expense or benefit by using a forecasted estimated annual effective tax rate ("EAETR") and adjust for any discrete items arising during the interim period and any changes in our projected full-year business interest expense and taxable income. The EAETR for 2020 is a tax benefit of 4.3% and includes the income tax benefit on pre-tax losses, offset by a tax provision related to establishment of a valuation allowance for deferred income tax on the 2020 portion of the Section 163(j) limitation, and a tax provision adjustment related to the release of a portion of our valuation allowance on our 2019 Section 163(j) limitation as a result of the CARES Act.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Certain Non-GAAP Financial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We periodically review the following key non-GAAP measures to evaluate our business and trends, measure our performance, prepare financial projections and make strategic decisions.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212529"/>
        </w:rPr>
        <w:t>EBITDA, which represents net loss before interest, income tax, and depreciation and amortization, is reconciled to net loss calculated under GAAP.</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Adjusted EBITDA starts with EBITDA and further adjusts for certain non-cash, non-recurring or non-core expenses including: 1) stock-based compensation; 2) debt modification expenses; 2) write-off of an equity-method investment; 3) certain legal expenses; 4) certain professional, accounting and consulting fees; and 5) temporary transition services related to the YapStone asset acquisition.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In addition, the financial covenants under the debt agreements of the Company's subsidiaries (the "Borrowers") are based on a non-GAAP measure referred to as Consolidated Adjusted EBITDA. The calculation of Consolidated Adjusted EBITDA starts with Adjusted EBITDA and further adjusts for the pro-forma impact of acquisitions and residual streams and run rate adjustments for certain contracted savings on an annualized basis, other consulting and professional fees, and other tax expenses and other adjustments, which are not included as adjustments to Adjusted EBITDA.</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We believe these non-GAAP measures illustrate the underlying financial and business trends relating to our results of operations and comparability between current and prior periods. We also use these non-GAAP measures to establish and monitor operational goals.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Adjusted EBITDA and Consolidated Adjusted EBITDA, to analyze our performance would have material limitations because their calculations are based on subjective determination regarding the nature and classification of events and circumstances that investors may find significant. We compensate for these limitations by presenting both the GAAP and non-GAAP measures of our operating results. Although other companies may report measures entitled "Adjusted EBITDA" or similar in nature, numerous methods may exist for calculating a company's Adjusted EBITDA or similar measures. As a result, the methods we use to calculate Adjusted EBITDA may differ from the methods used by other companies to calculate their non-GAAP measures.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income from operations for the three months ended March 31, 2020 and 2019 included SG&amp;A expenses that we consider to be non-recurring in nature. These expenses totaled $1.4 million and $1.2 million in the three months ended March 31, 2020 and 2019, respectively. In the first quarter of 2020, these expenses included $0.9 million associated with transition services from YapStone, Inc. related to integration of the March 2019 asset acquisition, and $0.5 million of certain legal expenses. In the first quarter of 2019, these expenses included $0.7 million of accounting services associated with the conversion to a public company and $0.5 million of certain legal expenses.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(expense) income, net in the first three months of 2020 included $0.6 million of non-operating expenses that we consider non-recurring in nature, which consisted of $0.4 million of debt modification expenses and a $0.2 million non-cash write-off of the carrying value of an equity method investment.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non-GAAP reconciliations of EBITDA, Adjusted EBITDA, and Consolidated Adjusted EBITDA to consolidated net loss, the most directly comparable financial measure calculated and presented in accordance with GAAP, include adjustments for these and certain other items, are shown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bottom w:val="single" w:sz="8" w:color="auto"/>
            </w:tcBorders>
            <w:shd w:val="clear" w:color="auto" w:fill="CCEEFF"/>
          </w:tcPr>
          <w:p>
            <w:pPr>
              <w:spacing w:after="0"/>
              <w:rPr>
                <w:sz w:val="22"/>
                <w:szCs w:val="22"/>
                <w:color w:val="auto"/>
              </w:rPr>
            </w:pPr>
          </w:p>
        </w:tc>
        <w:tc>
          <w:tcPr>
            <w:tcW w:w="3000" w:type="dxa"/>
            <w:vAlign w:val="bottom"/>
            <w:tcBorders>
              <w:bottom w:val="single" w:sz="8" w:color="auto"/>
            </w:tcBorders>
            <w:gridSpan w:val="4"/>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43"/>
        </w:trPr>
        <w:tc>
          <w:tcPr>
            <w:tcW w:w="6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6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Consolidated Net Loss (GAAP)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(6,446)</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9,363</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Add: Depreciation and amortization</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10,272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8,925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Income tax benefit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EBITDA (non-GAAP)</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13,485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10,118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Add: Non-cash stock-based compensation</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Non-recurring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Debt modification expenses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Write-off of an equity-method investment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Certain legal services (2)</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Professional, accounting and consulting fees (3)</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YapStone transition services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(non-GAAP)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12,463</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Further adjusted by:</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Pro-forma impact of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Add: Other professional and consulting fees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Other tax expenses and other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5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Consolidated Adjusted EBITDA (non-GAAP) (4)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16,179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15,684</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expense includes amortization of debt issuance costs and discount.</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Legal expenses related to business and asset acquisition activity, settlement negotiation and other litigation expenses.</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Primarily transaction-related, capital markets and accounting advisory services.</w:t>
      </w:r>
    </w:p>
    <w:p>
      <w:pPr>
        <w:spacing w:after="0" w:line="5" w:lineRule="exact"/>
        <w:rPr>
          <w:rFonts w:ascii="Arial" w:cs="Arial" w:eastAsia="Arial" w:hAnsi="Arial"/>
          <w:sz w:val="16"/>
          <w:szCs w:val="16"/>
          <w:color w:val="auto"/>
        </w:rPr>
      </w:pPr>
    </w:p>
    <w:p>
      <w:pPr>
        <w:jc w:val="both"/>
        <w:ind w:firstLine="8"/>
        <w:spacing w:after="0" w:line="248" w:lineRule="auto"/>
        <w:tabs>
          <w:tab w:leader="none" w:pos="2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Presented to reflect the definition in the Company's credit agreements, as amended. Until December 31, 2019, the Consolidated Adjusted EBITDA of the Borrowers under the credit agreements excluded expenses of Priority Technology Holdings, Inc., which is neither a Borrower nor a guarantor under the credit agreements, subsequent to the Business Combination. Effective December 31, 2019, in accordance with the Sixth Amendment to the Company's Credit and Guaranty Agreement, the Consolidated Adjusted EBITDA of the Borrowers under the credit agreements includes expenses of Priority Technology Holdings, Inc. Consolidated Adjusted EBITDA of the Borrowers was approximately $16.2 million and $19.4 million for the quarters ended March 31, 2020 and 2019, respectively. The 2019 amount excludes $3.7 million of expenses of Priority Technology Holdings, Inc.</w:t>
      </w:r>
    </w:p>
    <w:p>
      <w:pPr>
        <w:spacing w:after="0" w:line="190" w:lineRule="exact"/>
        <w:rPr>
          <w:rFonts w:ascii="Arial" w:cs="Arial" w:eastAsia="Arial" w:hAnsi="Arial"/>
          <w:sz w:val="16"/>
          <w:szCs w:val="16"/>
          <w:color w:val="auto"/>
        </w:rPr>
      </w:pPr>
    </w:p>
    <w:p>
      <w:pPr>
        <w:ind w:left="5540" w:hanging="111"/>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Compared to our consolidated balance sheet as of December 31, 2019, the following key changes have occurred as of March 31,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Cash decreased by $0.4 million. For an explanation of the key drivers of this change, see the subsequent section,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Intangible assets, net of accumulated amortization, decreased during the first three months of 2020 by $7.5 million due to amortization expense of $8.5 million, partially offset by $0.9 million payment for a portion of a contingent purchase price for a merchant portfolio intangible asset.</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Outstanding amounts for our debt obligations under our Senior Credit Agreement and our GS Credit Agreement increased by a net $3.9 million during the first three months of 2020. This increase was driven by additional borrowings of $3.5 million on the revolving facility under our Senior Credit Agreement and PIK interest of $1.4 million added to the amount outstanding under our GS Credit Agreement. These new borrowings were partially offset by $1.0 million of principal repayment on the term facility of our Senior Credit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Deficit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Stockholders' deficit attributable to the stockholders of the Company changed by $5.5 million, from a deficit of $126.3 million at December 31, 2019 to a deficit of $131.9 million at March 31, 2020. The primary driver of this change was the net loss of $5.9 million for the first three months of 2020 million, partially offset by a $0.3 million increase to additional paid-in capital for stock-based compensation.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facility are sufficient to meet our working capital requirements for at least the next twelve months. This is based upon </w:t>
      </w:r>
      <w:r>
        <w:rPr>
          <w:rFonts w:ascii="Arial" w:cs="Arial" w:eastAsia="Arial" w:hAnsi="Arial"/>
          <w:sz w:val="17"/>
          <w:szCs w:val="17"/>
          <w:color w:val="212529"/>
        </w:rPr>
        <w:t>management’s estimates and assumptions utilizing the most currently</w:t>
      </w:r>
      <w:r>
        <w:rPr>
          <w:rFonts w:ascii="Arial" w:cs="Arial" w:eastAsia="Arial" w:hAnsi="Arial"/>
          <w:sz w:val="17"/>
          <w:szCs w:val="17"/>
          <w:color w:val="auto"/>
        </w:rPr>
        <w:t xml:space="preserve"> </w:t>
      </w:r>
      <w:r>
        <w:rPr>
          <w:rFonts w:ascii="Arial" w:cs="Arial" w:eastAsia="Arial" w:hAnsi="Arial"/>
          <w:sz w:val="17"/>
          <w:szCs w:val="17"/>
          <w:color w:val="212529"/>
        </w:rPr>
        <w:t xml:space="preserve">available information </w:t>
      </w:r>
      <w:r>
        <w:rPr>
          <w:rFonts w:ascii="Arial" w:cs="Arial" w:eastAsia="Arial" w:hAnsi="Arial"/>
          <w:sz w:val="17"/>
          <w:szCs w:val="17"/>
          <w:color w:val="000000"/>
        </w:rPr>
        <w:t>regarding the</w:t>
      </w:r>
      <w:r>
        <w:rPr>
          <w:rFonts w:ascii="Arial" w:cs="Arial" w:eastAsia="Arial" w:hAnsi="Arial"/>
          <w:sz w:val="17"/>
          <w:szCs w:val="17"/>
          <w:color w:val="212529"/>
        </w:rPr>
        <w:t xml:space="preserve"> effects of the COVID-19 pandemic on our financial results. </w:t>
      </w:r>
      <w:r>
        <w:rPr>
          <w:rFonts w:ascii="Arial" w:cs="Arial" w:eastAsia="Arial" w:hAnsi="Arial"/>
          <w:sz w:val="17"/>
          <w:szCs w:val="17"/>
          <w:color w:val="000000"/>
        </w:rPr>
        <w:t>Actual future results could differ materially, as</w:t>
      </w:r>
      <w:r>
        <w:rPr>
          <w:rFonts w:ascii="Arial" w:cs="Arial" w:eastAsia="Arial" w:hAnsi="Arial"/>
          <w:sz w:val="17"/>
          <w:szCs w:val="17"/>
          <w:color w:val="212529"/>
        </w:rPr>
        <w:t xml:space="preserve"> the magnitude, duration and effects of the COVID-19 pandemic are difficult to predict, and ultimately could negatively impact our liquidity, capital resources, and debt covenant compliance.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uses of cash are to fund business operations, administrative costs, and debt service.</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working capital, defined as current assets less current liabilities, was $(2.3) million and $1.2 million at March 31, 2020 and December 31, 2019, respectively. As of March 31, 2020, we had cash totaling $2.9 million compared to $3.2 million at December 31, 2019. These balances do not include restricted cash, which reflects cash accounts holding customer settlement funds of $36.9 million at March 31, 2020 and $47.2 million at December 31,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approximately $10.0 million was available under the revolving credit facility of our Senior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narrative reflect our changes in cash flows for the comparative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ind w:left="40"/>
              <w:spacing w:after="0"/>
              <w:rPr>
                <w:sz w:val="20"/>
                <w:szCs w:val="20"/>
                <w:color w:val="auto"/>
              </w:rPr>
            </w:pPr>
            <w:r>
              <w:rPr>
                <w:rFonts w:ascii="Arial" w:cs="Arial" w:eastAsia="Arial" w:hAnsi="Arial"/>
                <w:sz w:val="18"/>
                <w:szCs w:val="18"/>
                <w:i w:val="1"/>
                <w:iCs w:val="1"/>
                <w:color w:val="auto"/>
              </w:rPr>
              <w:t>(dollars in thousands)</w:t>
            </w:r>
          </w:p>
        </w:tc>
        <w:tc>
          <w:tcPr>
            <w:tcW w:w="380" w:type="dxa"/>
            <w:vAlign w:val="bottom"/>
          </w:tcPr>
          <w:p>
            <w:pPr>
              <w:spacing w:after="0"/>
              <w:rPr>
                <w:sz w:val="20"/>
                <w:szCs w:val="20"/>
                <w:color w:val="auto"/>
              </w:rPr>
            </w:pPr>
          </w:p>
        </w:tc>
        <w:tc>
          <w:tcPr>
            <w:tcW w:w="33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5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56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63"/>
        </w:trPr>
        <w:tc>
          <w:tcPr>
            <w:tcW w:w="56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7"/>
        </w:trPr>
        <w:tc>
          <w:tcPr>
            <w:tcW w:w="5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(82,178)</w:t>
            </w:r>
          </w:p>
        </w:tc>
      </w:tr>
      <w:tr>
        <w:trPr>
          <w:trHeight w:val="243"/>
        </w:trPr>
        <w:tc>
          <w:tcPr>
            <w:tcW w:w="56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78,827</w:t>
            </w:r>
          </w:p>
        </w:tc>
      </w:tr>
      <w:tr>
        <w:trPr>
          <w:trHeight w:val="27"/>
        </w:trPr>
        <w:tc>
          <w:tcPr>
            <w:tcW w:w="5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restricted cash</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r>
      <w:tr>
        <w:trPr>
          <w:trHeight w:val="20"/>
        </w:trPr>
        <w:tc>
          <w:tcPr>
            <w:tcW w:w="5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which includes changes in restricted cash, in the first three months of 2020 was $7.3 million compared to net cash used of $1.2 million for the first three months of 2019. This $6.0 million decrease for the first three months of 2020 was principally the result of a decrease in restricted cash, partially offset by a lower net loss.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$3.2 million and $82.2 million for the first three months of 2020 and 2019, respectively. Cash used in investing activities for the first three months of 2019 included $15.8 million used for residual buyouts and $63.8 million used to acquire certain intangible assets from YapStone. Cash used to acquire property, equipment, and software amounted to $2.3 million and $2.4 million for the first three months of 2020 and 2019,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financing activities was $0.3 million for the first three months of 2020 compared to cash provided of $78.8 million in the first three months of 2019. The amount for the first three months of 2019 included new borrowings under our Senior Credit Agreement consisting of $10.0 million under the revolving facility and a $69.7 million delayed draw under the term facility that was used to acquire certain assets from YapStone, Inc.</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results of operations for the entire first quarter of 2020 were not significantly impacted by the COVID-19 pandemic since the economic consequences of the pandemic did not begin to materially impact consumer payment transactions in the United States until the last half of March 2020. However, starting in mid-March, the pandemic began to negatively impact our daily consumer payment processing volumes as the pandemic spread across the United States and restrictive shelter in place requirements were instituted. From mid-March 2020 through the end of April 2020, we experienced a significant decline of approximately 35% in consumer payment processing dollar volumes as compared with the comparable period in 2019. In May 2020, as shelter in place restrictions began to be removed, we have experienced a rebound in daily consumer payment processing dollar volumes, with a currently projected decline of 15% to 20% in May 2020 as compared with May 2019.</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mid-April 2020, we implemented several actions to reduce expenses and preserve cash in order to mitigate the financial impact of COVID-19, including the furlough of 47 employees, reduction of 21 full-time contractors, freezing of new hires, and postponement of certain capital expenditures. We continue to closely monitor the effects of the pandemic on our financial results, and will take additional cost-saving actions, if necessary, to further mitigate its impact.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current assessment is that we anticipate cash on hand, funds generated from operations and available borrowings under our revolving credit facility to be sufficient to meet our working capital requirements, and that we will remain in compliance with our debt covenants. However, </w:t>
      </w:r>
      <w:r>
        <w:rPr>
          <w:rFonts w:ascii="Arial" w:cs="Arial" w:eastAsia="Arial" w:hAnsi="Arial"/>
          <w:sz w:val="18"/>
          <w:szCs w:val="18"/>
          <w:color w:val="212529"/>
        </w:rPr>
        <w:t>the ongoing magnitude,</w:t>
      </w:r>
      <w:r>
        <w:rPr>
          <w:rFonts w:ascii="Arial" w:cs="Arial" w:eastAsia="Arial" w:hAnsi="Arial"/>
          <w:sz w:val="18"/>
          <w:szCs w:val="18"/>
          <w:color w:val="auto"/>
        </w:rPr>
        <w:t xml:space="preserve"> </w:t>
      </w:r>
      <w:r>
        <w:rPr>
          <w:rFonts w:ascii="Arial" w:cs="Arial" w:eastAsia="Arial" w:hAnsi="Arial"/>
          <w:sz w:val="18"/>
          <w:szCs w:val="18"/>
          <w:color w:val="212529"/>
        </w:rPr>
        <w:t>duration and effects of the COVID-19 pandemic on our future results of operation, cash flows, and financial condition are difficult to predict at this time, and our current assessment is subject to material revision.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other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unaudited condensed consolidated financial statements in Part I, Item 1 of this Quarterly Report on Form 10-Q for disclosure information about potential contingent payments that we may be required to make in future periods that are not required to be recognized in our consolidated balance sheets as of March 31, 2020 or December 31, 2019.</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There have been no significant changes to our contractual obligations and commitments compared to those disclosed in "Management's Discussion and Analysis of Financial Condition and Results of Operations of Priority" included in the Annual Report for the year ended December 31, 2019, except for changes in minimum principal repayments under our Senior Credit Agreement. For an updated schedule of debt repayments, see Note 8, </w:t>
      </w:r>
      <w:r>
        <w:rPr>
          <w:rFonts w:ascii="Arial" w:cs="Arial" w:eastAsia="Arial" w:hAnsi="Arial"/>
          <w:sz w:val="17"/>
          <w:szCs w:val="17"/>
          <w:i w:val="1"/>
          <w:iCs w:val="1"/>
          <w:color w:val="auto"/>
        </w:rPr>
        <w:t>Debt Obligations</w:t>
      </w:r>
      <w:r>
        <w:rPr>
          <w:rFonts w:ascii="Arial" w:cs="Arial" w:eastAsia="Arial" w:hAnsi="Arial"/>
          <w:sz w:val="17"/>
          <w:szCs w:val="17"/>
          <w:color w:val="auto"/>
        </w:rPr>
        <w:t>, to the unaudited condensed consolidated financial statements contained in Part 1, Item 1 of this Quarterly Report on Form 10-Q.</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to the unaudited condensed consolidated financial statements contained in Part I, Item 1 of this Quarterly Report on Form 10-Q.</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unaudited condensed consolidated financial statements have been prepared in accordance with U.S. generally accepted accounting principles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most recent Annual Report on Form 10-K. There have been no material changes to these critical accounting policies and estimates as of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From time to time, new accounting pronouncements are issued by the Financial Accounting Standards Board or other standards setting bodies that may affect our current and/or future financial statements. See Note 1, </w:t>
      </w:r>
      <w:r>
        <w:rPr>
          <w:rFonts w:ascii="Arial" w:cs="Arial" w:eastAsia="Arial" w:hAnsi="Arial"/>
          <w:sz w:val="18"/>
          <w:szCs w:val="18"/>
          <w:i w:val="1"/>
          <w:iCs w:val="1"/>
          <w:color w:val="auto"/>
        </w:rPr>
        <w:t>Basis of Presentation and Significant Accounting Policies</w:t>
      </w:r>
      <w:r>
        <w:rPr>
          <w:rFonts w:ascii="Arial" w:cs="Arial" w:eastAsia="Arial" w:hAnsi="Arial"/>
          <w:sz w:val="18"/>
          <w:szCs w:val="18"/>
          <w:color w:val="auto"/>
        </w:rPr>
        <w:t>, to our unaudited condensed consolidated financial statements included in Part 1, Item 1 of this Quarterly Report on Form 10-Q for a discussion of recently issued accounting pronouncements not yet adopted.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4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quantitative and qualitative disclosures about market risk, see Item 7A, "Quantitative and Qualitative Disclosures About Market Risk," of our Annual Report on Form 10-K for the year ended December 31, 2019. Our exposures to market risk have not changed materially since December 31, 2019.</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We maintain disclosure controls and procedures, as defined in Rules 13a-15(e) and 15d-15(e) of the Securities Exchange Act of 1934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and chief financial officer (CFO) and, as appropriate, to allow timely decisions regarding required disclosures.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Management, with the participation of the CEO and CFO, has evaluated the effectiveness of the Company's disclosure controls and procedures as of March 31, 2020. Based on that evaluation, the Company's CEO and CFO concluded that the Company's disclosure controls and procedures were not effective as of March 31, 2020 due to the material weaknesses in our internal control over financial reporting that were most recently described in the Report of Management on Internal Control Over Financial Reporting in Item 9A, "Controls and Procedures," of our Annual Report on Form 10-K for the year ended December 31, 2019.</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212529"/>
        </w:rPr>
        <w:t>b) Remediation of Material Weakness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As a result of these weaknesses, in December 2018 the Company hired an experienced Chief Financial Officer with significant public accounting and reporting experience and has hired additional accounting and finance staff with significant public accounting and reporting experience. We also engaged third party consultants to assist in the preparation of our financial statements and SEC disclosures.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Beginning in 2019, we also began to implement additional policies and procedures to enhance our internal controls with respect to timely reconciliations. As we continue to evaluate and improve our internal control over financial reporting, additional measures to remediate the material weaknesses or modifications to certain of the remediation procedures described above may be necessary, including improvements to, or replacement of, the accounting and financial reporting system.</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Management is committed to improving our internal control processes and meets with our Audit Committee on a regular basis to monitor the status of remediation activities. Management believes that, once fully completed, the measures described above should remediate the material weaknesses identified and strengthen our internal control over financial reporting.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212529"/>
        </w:rPr>
        <w:t>c) Changes in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In response to the COVID-19 pandemic, most of our employees have been working remotely since mid-March 2020. We have taken measures to ensure our internal control over financial reporting addressed risks of working in a remote environment. We are continually monitoring and assessing the COVID-19 potential effects on the design and operating effectiveness of our internal control over financial reporting. There were no other changes in the Company’s internal control over financial reporting during the first quarter of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certain legal proceedings and claims which occur in the normal course of our business. We are not currently a party to any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2020, there have been no material changes to the risk factors previously disclosed in our Annual Report on Form 10-K, except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Our business has been and is likely to continue to be negatively affected by the recent COVID-19 outbreak.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The recent outbreak of COVID-19 in the United States, which was declared a pandemic by the World Health Organization on March 11, 2020, continues to adversely affect commercial activity and has contributed to significant decline in economic activity. Starting in mid-March 2020, COVID-19 began to significantly affect our results. The deterioration accelerated toward the end of March and has adversely affected and is likely to have a further negative effect on our near-term financial results due to reduced consumer spending upon which our revenues depend.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12529"/>
        </w:rPr>
        <w:t>In particular, we may experience financial losses due to a number of operational factors, including:</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Merchant temporary closures and failures;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and/or worsening unemployment which may negatively influence consumer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Third-party disruptions, including potential outages at network providers, and other suppliers;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cyber and payment fraud risk.</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12529"/>
        </w:rPr>
        <w:t>These factors may remain prevalent for a significant period of time and may continue to adversely affect our business, results of operations and financial condition even after the COVID-19 pandemic has subsided. The full effects of the COVID-19 pandemic on our business, results of operations, financial condition and cash flows will depend on future developments, which are highly uncertain and difficult to predict at this time, including, but not limited to, the duration and spread of the pandemic, its severity, the restrictive actions taken to contain the virus or treat its effects, its effects on our customers and how quickly and to what extent normal economic and operating conditions, operations and demand for our services can resume. It is also likely that the current outbreak or continued spread of COVID-19 will cause an economic slowdown, and it is possible that it could cause a recession. Accordingly, the ultimate effects on our operations, financial condition and cash flows cannot be determined at this time. Nevertheless, despite the uncertainty of the COVID-19 situation, we expect that the COVID-19 pandemic will have an adverse effect on our revenues and financial results for the remainder of 2020.</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Furthermore, the COVID-19 pandemic and the resulting adverse and unpredictable economic conditions are likely to implicate or exacerbate other risks identified in our Annual Report on Form 10-K for the year ended December 31, 2019, which in turn could materially adversely affect our business, financial condition,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139"/>
          </w:cols>
          <w:pgMar w:left="320" w:top="125" w:right="1440"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5320" w:type="dxa"/>
            <w:vAlign w:val="bottom"/>
          </w:tcPr>
          <w:p>
            <w:pPr>
              <w:spacing w:after="0"/>
              <w:rPr>
                <w:sz w:val="17"/>
                <w:szCs w:val="17"/>
                <w:color w:val="auto"/>
              </w:rPr>
            </w:pPr>
          </w:p>
        </w:tc>
      </w:tr>
      <w:tr>
        <w:trPr>
          <w:trHeight w:val="519"/>
        </w:trPr>
        <w:tc>
          <w:tcPr>
            <w:tcW w:w="780" w:type="dxa"/>
            <w:vAlign w:val="bottom"/>
          </w:tcPr>
          <w:p>
            <w:pPr>
              <w:spacing w:after="0"/>
              <w:rPr>
                <w:rFonts w:ascii="Arial" w:cs="Arial" w:eastAsia="Arial" w:hAnsi="Arial"/>
                <w:sz w:val="18"/>
                <w:szCs w:val="18"/>
                <w:color w:val="0000FF"/>
              </w:rPr>
            </w:pPr>
            <w:hyperlink r:id="rId15">
              <w:r>
                <w:rPr>
                  <w:rFonts w:ascii="Arial" w:cs="Arial" w:eastAsia="Arial" w:hAnsi="Arial"/>
                  <w:sz w:val="18"/>
                  <w:szCs w:val="18"/>
                  <w:color w:val="0000FF"/>
                </w:rPr>
                <w:t>10.1</w:t>
              </w:r>
            </w:hyperlink>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20" w:type="dxa"/>
            <w:vAlign w:val="bottom"/>
            <w:gridSpan w:val="2"/>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Sixth Amendment to the Credit and Guaranty Agreement dated as of March 18, 2020</w:t>
              </w:r>
            </w:hyperlink>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2"/>
          </w:tcPr>
          <w:p>
            <w:pPr>
              <w:spacing w:after="0"/>
              <w:rPr>
                <w:rFonts w:ascii="Arial" w:cs="Arial" w:eastAsia="Arial" w:hAnsi="Arial"/>
                <w:sz w:val="18"/>
                <w:szCs w:val="18"/>
                <w:color w:val="0000FF"/>
                <w:w w:val="92"/>
              </w:rPr>
            </w:pPr>
            <w:hyperlink r:id="rId15">
              <w:r>
                <w:rPr>
                  <w:rFonts w:ascii="Arial" w:cs="Arial" w:eastAsia="Arial" w:hAnsi="Arial"/>
                  <w:sz w:val="18"/>
                  <w:szCs w:val="18"/>
                  <w:color w:val="0000FF"/>
                  <w:w w:val="92"/>
                </w:rPr>
                <w:t>by and among Pipeline Cynergy Holdings LLC, Priority Institutional Partner Services</w:t>
              </w:r>
            </w:hyperlink>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2"/>
          </w:tcPr>
          <w:p>
            <w:pPr>
              <w:spacing w:after="0"/>
              <w:rPr>
                <w:rFonts w:ascii="Arial" w:cs="Arial" w:eastAsia="Arial" w:hAnsi="Arial"/>
                <w:sz w:val="18"/>
                <w:szCs w:val="18"/>
                <w:color w:val="0000FF"/>
                <w:w w:val="98"/>
              </w:rPr>
            </w:pPr>
            <w:hyperlink r:id="rId15">
              <w:r>
                <w:rPr>
                  <w:rFonts w:ascii="Arial" w:cs="Arial" w:eastAsia="Arial" w:hAnsi="Arial"/>
                  <w:sz w:val="18"/>
                  <w:szCs w:val="18"/>
                  <w:color w:val="0000FF"/>
                  <w:w w:val="98"/>
                </w:rPr>
                <w:t>LLC, Priority Payment Systems Holdings LLC, Priority Holdings LLC, the others</w:t>
              </w:r>
            </w:hyperlink>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2"/>
          </w:tcPr>
          <w:p>
            <w:pPr>
              <w:spacing w:after="0"/>
              <w:rPr>
                <w:rFonts w:ascii="Arial" w:cs="Arial" w:eastAsia="Arial" w:hAnsi="Arial"/>
                <w:sz w:val="18"/>
                <w:szCs w:val="18"/>
                <w:color w:val="0000FF"/>
                <w:w w:val="92"/>
              </w:rPr>
            </w:pPr>
            <w:hyperlink r:id="rId15">
              <w:r>
                <w:rPr>
                  <w:rFonts w:ascii="Arial" w:cs="Arial" w:eastAsia="Arial" w:hAnsi="Arial"/>
                  <w:sz w:val="18"/>
                  <w:szCs w:val="18"/>
                  <w:color w:val="0000FF"/>
                  <w:w w:val="92"/>
                </w:rPr>
                <w:t>Guarantors, and Truist Bank (successor by merger to SunTrust Bank), (incorporated</w:t>
              </w:r>
            </w:hyperlink>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2"/>
          </w:tcPr>
          <w:p>
            <w:pPr>
              <w:spacing w:after="0"/>
              <w:rPr>
                <w:rFonts w:ascii="Arial" w:cs="Arial" w:eastAsia="Arial" w:hAnsi="Arial"/>
                <w:sz w:val="18"/>
                <w:szCs w:val="18"/>
                <w:color w:val="0000FF"/>
                <w:w w:val="97"/>
              </w:rPr>
            </w:pPr>
            <w:hyperlink r:id="rId15">
              <w:r>
                <w:rPr>
                  <w:rFonts w:ascii="Arial" w:cs="Arial" w:eastAsia="Arial" w:hAnsi="Arial"/>
                  <w:sz w:val="18"/>
                  <w:szCs w:val="18"/>
                  <w:color w:val="0000FF"/>
                  <w:w w:val="97"/>
                </w:rPr>
                <w:t>by reference to Exhibit 10.1 to the Company's Current Report on Form 8-K, filed</w:t>
              </w:r>
            </w:hyperlink>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rFonts w:ascii="Arial" w:cs="Arial" w:eastAsia="Arial" w:hAnsi="Arial"/>
                <w:sz w:val="18"/>
                <w:szCs w:val="18"/>
                <w:color w:val="0000FF"/>
              </w:rPr>
            </w:pPr>
            <w:hyperlink r:id="rId15">
              <w:r>
                <w:rPr>
                  <w:rFonts w:ascii="Arial" w:cs="Arial" w:eastAsia="Arial" w:hAnsi="Arial"/>
                  <w:sz w:val="18"/>
                  <w:szCs w:val="18"/>
                  <w:color w:val="0000FF"/>
                </w:rPr>
                <w:t>March 23, 2020).</w:t>
              </w:r>
            </w:hyperlink>
          </w:p>
        </w:tc>
      </w:tr>
      <w:tr>
        <w:trPr>
          <w:trHeight w:val="256"/>
        </w:trPr>
        <w:tc>
          <w:tcPr>
            <w:tcW w:w="780" w:type="dxa"/>
            <w:vAlign w:val="bottom"/>
          </w:tcPr>
          <w:p>
            <w:pPr>
              <w:spacing w:after="0"/>
              <w:rPr>
                <w:rFonts w:ascii="Arial" w:cs="Arial" w:eastAsia="Arial" w:hAnsi="Arial"/>
                <w:sz w:val="18"/>
                <w:szCs w:val="18"/>
                <w:color w:val="0000FF"/>
              </w:rPr>
            </w:pPr>
            <w:hyperlink r:id="rId16">
              <w:r>
                <w:rPr>
                  <w:rFonts w:ascii="Arial" w:cs="Arial" w:eastAsia="Arial" w:hAnsi="Arial"/>
                  <w:sz w:val="18"/>
                  <w:szCs w:val="18"/>
                  <w:color w:val="0000FF"/>
                </w:rPr>
                <w:t>10.2</w:t>
              </w:r>
            </w:hyperlink>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220" w:type="dxa"/>
            <w:vAlign w:val="bottom"/>
            <w:gridSpan w:val="2"/>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Consent and Sixth Amendment to Credit and Guaranty Agreement, dated as of March</w:t>
              </w:r>
            </w:hyperlink>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2"/>
          </w:tcPr>
          <w:p>
            <w:pPr>
              <w:spacing w:after="0"/>
              <w:rPr>
                <w:rFonts w:ascii="Arial" w:cs="Arial" w:eastAsia="Arial" w:hAnsi="Arial"/>
                <w:sz w:val="18"/>
                <w:szCs w:val="18"/>
                <w:color w:val="0000FF"/>
                <w:w w:val="97"/>
              </w:rPr>
            </w:pPr>
            <w:hyperlink r:id="rId16">
              <w:r>
                <w:rPr>
                  <w:rFonts w:ascii="Arial" w:cs="Arial" w:eastAsia="Arial" w:hAnsi="Arial"/>
                  <w:sz w:val="18"/>
                  <w:szCs w:val="18"/>
                  <w:color w:val="0000FF"/>
                  <w:w w:val="97"/>
                </w:rPr>
                <w:t>18, 2020 by and among Priority Holdings LLC, the Guarantors, the Lenders and</w:t>
              </w:r>
            </w:hyperlink>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2"/>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Goldman Sachs Specialty Group LP (incorporated by reference to Exhibit 10.2 to the</w:t>
              </w:r>
            </w:hyperlink>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rFonts w:ascii="Arial" w:cs="Arial" w:eastAsia="Arial" w:hAnsi="Arial"/>
                <w:sz w:val="18"/>
                <w:szCs w:val="18"/>
                <w:color w:val="0000FF"/>
              </w:rPr>
            </w:pPr>
            <w:hyperlink r:id="rId16">
              <w:r>
                <w:rPr>
                  <w:rFonts w:ascii="Arial" w:cs="Arial" w:eastAsia="Arial" w:hAnsi="Arial"/>
                  <w:sz w:val="18"/>
                  <w:szCs w:val="18"/>
                  <w:color w:val="0000FF"/>
                </w:rPr>
                <w:t>Company's Current Report on Form 8-K, filed March 23, 2020).</w:t>
              </w:r>
            </w:hyperlink>
          </w:p>
        </w:tc>
      </w:tr>
      <w:tr>
        <w:trPr>
          <w:trHeight w:val="256"/>
        </w:trPr>
        <w:tc>
          <w:tcPr>
            <w:tcW w:w="780" w:type="dxa"/>
            <w:vAlign w:val="bottom"/>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10.3</w:t>
              </w:r>
            </w:hyperlink>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rFonts w:ascii="Arial" w:cs="Arial" w:eastAsia="Arial" w:hAnsi="Arial"/>
                <w:sz w:val="18"/>
                <w:szCs w:val="18"/>
                <w:color w:val="0000FF"/>
                <w:w w:val="93"/>
              </w:rPr>
            </w:pPr>
            <w:hyperlink w:anchor="page44">
              <w:r>
                <w:rPr>
                  <w:rFonts w:ascii="Arial" w:cs="Arial" w:eastAsia="Arial" w:hAnsi="Arial"/>
                  <w:sz w:val="18"/>
                  <w:szCs w:val="18"/>
                  <w:color w:val="0000FF"/>
                  <w:w w:val="93"/>
                </w:rPr>
                <w:t>Restricted Stock Unit Award Agreement dated April 1, 2020 between the Registrant</w:t>
              </w:r>
            </w:hyperlink>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and Matthew Kearney, Director</w:t>
              </w:r>
            </w:hyperlink>
          </w:p>
        </w:tc>
      </w:tr>
      <w:tr>
        <w:trPr>
          <w:trHeight w:val="256"/>
        </w:trPr>
        <w:tc>
          <w:tcPr>
            <w:tcW w:w="780" w:type="dxa"/>
            <w:vAlign w:val="bottom"/>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10.4</w:t>
              </w:r>
            </w:hyperlink>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rFonts w:ascii="Arial" w:cs="Arial" w:eastAsia="Arial" w:hAnsi="Arial"/>
                <w:sz w:val="18"/>
                <w:szCs w:val="18"/>
                <w:color w:val="0000FF"/>
                <w:w w:val="93"/>
              </w:rPr>
            </w:pPr>
            <w:hyperlink w:anchor="page49">
              <w:r>
                <w:rPr>
                  <w:rFonts w:ascii="Arial" w:cs="Arial" w:eastAsia="Arial" w:hAnsi="Arial"/>
                  <w:sz w:val="18"/>
                  <w:szCs w:val="18"/>
                  <w:color w:val="0000FF"/>
                  <w:w w:val="93"/>
                </w:rPr>
                <w:t>Restricted Stock Unit Award Agreement dated April 1, 2020 between the Registrant</w:t>
              </w:r>
            </w:hyperlink>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and Michael Passilla, Director</w:t>
              </w:r>
            </w:hyperlink>
          </w:p>
        </w:tc>
      </w:tr>
      <w:tr>
        <w:trPr>
          <w:trHeight w:val="256"/>
        </w:trPr>
        <w:tc>
          <w:tcPr>
            <w:tcW w:w="780" w:type="dxa"/>
            <w:vAlign w:val="bottom"/>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10.5</w:t>
              </w:r>
            </w:hyperlink>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rFonts w:ascii="Arial" w:cs="Arial" w:eastAsia="Arial" w:hAnsi="Arial"/>
                <w:sz w:val="18"/>
                <w:szCs w:val="18"/>
                <w:color w:val="0000FF"/>
                <w:w w:val="93"/>
              </w:rPr>
            </w:pPr>
            <w:hyperlink w:anchor="page54">
              <w:r>
                <w:rPr>
                  <w:rFonts w:ascii="Arial" w:cs="Arial" w:eastAsia="Arial" w:hAnsi="Arial"/>
                  <w:sz w:val="18"/>
                  <w:szCs w:val="18"/>
                  <w:color w:val="0000FF"/>
                  <w:w w:val="93"/>
                </w:rPr>
                <w:t>Restricted Stock Unit Award Agreement dated April 1, 2020 between the Registrant</w:t>
              </w:r>
            </w:hyperlink>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and Christina Favilla, Director</w:t>
              </w:r>
            </w:hyperlink>
          </w:p>
        </w:tc>
      </w:tr>
      <w:tr>
        <w:trPr>
          <w:trHeight w:val="256"/>
        </w:trPr>
        <w:tc>
          <w:tcPr>
            <w:tcW w:w="780" w:type="dxa"/>
            <w:vAlign w:val="bottom"/>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10.6</w:t>
              </w:r>
            </w:hyperlink>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rFonts w:ascii="Arial" w:cs="Arial" w:eastAsia="Arial" w:hAnsi="Arial"/>
                <w:sz w:val="18"/>
                <w:szCs w:val="18"/>
                <w:color w:val="0000FF"/>
                <w:w w:val="93"/>
              </w:rPr>
            </w:pPr>
            <w:hyperlink w:anchor="page59">
              <w:r>
                <w:rPr>
                  <w:rFonts w:ascii="Arial" w:cs="Arial" w:eastAsia="Arial" w:hAnsi="Arial"/>
                  <w:sz w:val="18"/>
                  <w:szCs w:val="18"/>
                  <w:color w:val="0000FF"/>
                  <w:w w:val="93"/>
                </w:rPr>
                <w:t>Restricted Stock Unit Award Agreement dated April 1, 2020 between the Registrant</w:t>
              </w:r>
            </w:hyperlink>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and William Gahan, Director</w:t>
              </w:r>
            </w:hyperlink>
          </w:p>
        </w:tc>
      </w:tr>
      <w:tr>
        <w:trPr>
          <w:trHeight w:val="256"/>
        </w:trPr>
        <w:tc>
          <w:tcPr>
            <w:tcW w:w="780" w:type="dxa"/>
            <w:vAlign w:val="bottom"/>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31.1</w:t>
              </w:r>
            </w:hyperlink>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rFonts w:ascii="Arial" w:cs="Arial" w:eastAsia="Arial" w:hAnsi="Arial"/>
                <w:sz w:val="18"/>
                <w:szCs w:val="18"/>
                <w:color w:val="0000FF"/>
                <w:w w:val="93"/>
              </w:rPr>
            </w:pPr>
            <w:hyperlink w:anchor="page64">
              <w:r>
                <w:rPr>
                  <w:rFonts w:ascii="Arial" w:cs="Arial" w:eastAsia="Arial" w:hAnsi="Arial"/>
                  <w:sz w:val="18"/>
                  <w:szCs w:val="18"/>
                  <w:color w:val="0000FF"/>
                  <w:w w:val="93"/>
                </w:rPr>
                <w:t>Certification of Chief Executive Officer pursuant to Rule 13a-14 and Rule 15d-14(a),</w:t>
              </w:r>
            </w:hyperlink>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promulgated under the Securities and Exchange Act of 1934, as amended.</w:t>
              </w:r>
            </w:hyperlink>
          </w:p>
        </w:tc>
      </w:tr>
      <w:tr>
        <w:trPr>
          <w:trHeight w:val="256"/>
        </w:trPr>
        <w:tc>
          <w:tcPr>
            <w:tcW w:w="780" w:type="dxa"/>
            <w:vAlign w:val="bottom"/>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31.2</w:t>
              </w:r>
            </w:hyperlink>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rFonts w:ascii="Arial" w:cs="Arial" w:eastAsia="Arial" w:hAnsi="Arial"/>
                <w:sz w:val="18"/>
                <w:szCs w:val="18"/>
                <w:color w:val="0000FF"/>
                <w:w w:val="93"/>
              </w:rPr>
            </w:pPr>
            <w:hyperlink w:anchor="page65">
              <w:r>
                <w:rPr>
                  <w:rFonts w:ascii="Arial" w:cs="Arial" w:eastAsia="Arial" w:hAnsi="Arial"/>
                  <w:sz w:val="18"/>
                  <w:szCs w:val="18"/>
                  <w:color w:val="0000FF"/>
                  <w:w w:val="93"/>
                </w:rPr>
                <w:t>Certification of Chief Financial Officer pursuant to Rule 13a-14 and Rule 15d-14(a),</w:t>
              </w:r>
            </w:hyperlink>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promulgated under the Securities and Exchange Act of 1934, as amended.</w:t>
              </w:r>
            </w:hyperlink>
          </w:p>
        </w:tc>
      </w:tr>
      <w:tr>
        <w:trPr>
          <w:trHeight w:val="256"/>
        </w:trPr>
        <w:tc>
          <w:tcPr>
            <w:tcW w:w="780" w:type="dxa"/>
            <w:vAlign w:val="bottom"/>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32</w:t>
              </w:r>
            </w:hyperlink>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rFonts w:ascii="Arial" w:cs="Arial" w:eastAsia="Arial" w:hAnsi="Arial"/>
                <w:sz w:val="18"/>
                <w:szCs w:val="18"/>
                <w:color w:val="0000FF"/>
                <w:w w:val="96"/>
              </w:rPr>
            </w:pPr>
            <w:hyperlink w:anchor="page66">
              <w:r>
                <w:rPr>
                  <w:rFonts w:ascii="Arial" w:cs="Arial" w:eastAsia="Arial" w:hAnsi="Arial"/>
                  <w:sz w:val="18"/>
                  <w:szCs w:val="18"/>
                  <w:color w:val="0000FF"/>
                  <w:w w:val="96"/>
                </w:rPr>
                <w:t>Certification of Chief Executive Officer and Chief Financial Officer pursuant to 18</w:t>
              </w:r>
            </w:hyperlink>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2"/>
          </w:tcPr>
          <w:p>
            <w:pPr>
              <w:spacing w:after="0"/>
              <w:rPr>
                <w:rFonts w:ascii="Arial" w:cs="Arial" w:eastAsia="Arial" w:hAnsi="Arial"/>
                <w:sz w:val="18"/>
                <w:szCs w:val="18"/>
                <w:color w:val="0000FF"/>
                <w:w w:val="92"/>
              </w:rPr>
            </w:pPr>
            <w:hyperlink w:anchor="page66">
              <w:r>
                <w:rPr>
                  <w:rFonts w:ascii="Arial" w:cs="Arial" w:eastAsia="Arial" w:hAnsi="Arial"/>
                  <w:sz w:val="18"/>
                  <w:szCs w:val="18"/>
                  <w:color w:val="0000FF"/>
                  <w:w w:val="92"/>
                </w:rPr>
                <w:t>U.S.C. Section 1350, as adopted pursuant to Section 906 of the Sarbanes-Oxley Act</w:t>
              </w:r>
            </w:hyperlink>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of 2002.</w:t>
              </w:r>
            </w:hyperlink>
          </w:p>
        </w:tc>
      </w:tr>
      <w:tr>
        <w:trPr>
          <w:trHeight w:val="256"/>
        </w:trPr>
        <w:tc>
          <w:tcPr>
            <w:tcW w:w="17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w:t>
            </w: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w w:val="95"/>
              </w:rPr>
              <w:t>Data File because its XBRL tags are embedded within the Inline XBRL document.</w:t>
            </w:r>
          </w:p>
        </w:tc>
      </w:tr>
      <w:tr>
        <w:trPr>
          <w:trHeight w:val="270"/>
        </w:trPr>
        <w:tc>
          <w:tcPr>
            <w:tcW w:w="17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7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7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7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7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w:t>
            </w:r>
          </w:p>
        </w:tc>
        <w:tc>
          <w:tcPr>
            <w:tcW w:w="6220" w:type="dxa"/>
            <w:vAlign w:val="bottom"/>
            <w:gridSpan w:val="2"/>
          </w:tcPr>
          <w:p>
            <w:pPr>
              <w:spacing w:after="0"/>
              <w:rPr>
                <w:sz w:val="20"/>
                <w:szCs w:val="20"/>
                <w:color w:val="auto"/>
              </w:rPr>
            </w:pPr>
            <w:r>
              <w:rPr>
                <w:rFonts w:ascii="Arial" w:cs="Arial" w:eastAsia="Arial" w:hAnsi="Arial"/>
                <w:sz w:val="18"/>
                <w:szCs w:val="18"/>
                <w:color w:val="auto"/>
                <w:w w:val="92"/>
              </w:rPr>
              <w:t>Cover Page Interactive Data File (formatted as Inline XBRL and contained in Exhibit</w:t>
            </w: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532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exhibits that constitute management contracts or compensation plans or arrangements.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hanging="111"/>
        <w:spacing w:after="0"/>
        <w:tabs>
          <w:tab w:leader="none" w:pos="5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0140"/>
          </w:cols>
          <w:pgMar w:left="320" w:top="125" w:right="14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3760" w:type="dxa"/>
            <w:vAlign w:val="bottom"/>
            <w:gridSpan w:val="3"/>
          </w:tcPr>
          <w:p>
            <w:pPr>
              <w:ind w:left="260"/>
              <w:spacing w:after="0"/>
              <w:rPr>
                <w:sz w:val="20"/>
                <w:szCs w:val="20"/>
                <w:color w:val="auto"/>
              </w:rPr>
            </w:pPr>
            <w:r>
              <w:rPr>
                <w:rFonts w:ascii="Arial" w:cs="Arial" w:eastAsia="Arial" w:hAnsi="Arial"/>
                <w:sz w:val="18"/>
                <w:szCs w:val="18"/>
                <w:color w:val="auto"/>
                <w:w w:val="96"/>
              </w:rPr>
              <w:t>PRIORITY TECHNOLOGY HOLDINGS, INC.</w:t>
            </w:r>
          </w:p>
        </w:tc>
      </w:tr>
      <w:tr>
        <w:trPr>
          <w:trHeight w:val="553"/>
        </w:trPr>
        <w:tc>
          <w:tcPr>
            <w:tcW w:w="5840" w:type="dxa"/>
            <w:vAlign w:val="bottom"/>
          </w:tcPr>
          <w:p>
            <w:pPr>
              <w:spacing w:after="0"/>
              <w:rPr>
                <w:sz w:val="20"/>
                <w:szCs w:val="20"/>
                <w:color w:val="auto"/>
              </w:rPr>
            </w:pPr>
            <w:r>
              <w:rPr>
                <w:rFonts w:ascii="Arial" w:cs="Arial" w:eastAsia="Arial" w:hAnsi="Arial"/>
                <w:sz w:val="18"/>
                <w:szCs w:val="18"/>
                <w:color w:val="auto"/>
              </w:rPr>
              <w:t>May 13, 2020</w:t>
            </w: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THOMAS C. PRIORE</w:t>
            </w:r>
          </w:p>
        </w:tc>
        <w:tc>
          <w:tcPr>
            <w:tcW w:w="1880" w:type="dxa"/>
            <w:vAlign w:val="bottom"/>
            <w:gridSpan w:val="2"/>
          </w:tcPr>
          <w:p>
            <w:pPr>
              <w:spacing w:after="0"/>
              <w:rPr>
                <w:sz w:val="24"/>
                <w:szCs w:val="24"/>
                <w:color w:val="auto"/>
              </w:rPr>
            </w:pPr>
          </w:p>
        </w:tc>
      </w:tr>
      <w:tr>
        <w:trPr>
          <w:trHeight w:val="222"/>
        </w:trPr>
        <w:tc>
          <w:tcPr>
            <w:tcW w:w="584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Thomas C. Priore</w:t>
            </w:r>
          </w:p>
        </w:tc>
      </w:tr>
      <w:tr>
        <w:trPr>
          <w:trHeight w:val="216"/>
        </w:trPr>
        <w:tc>
          <w:tcPr>
            <w:tcW w:w="58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Chief Executive Officer and Chairman</w:t>
            </w:r>
          </w:p>
        </w:tc>
      </w:tr>
      <w:tr>
        <w:trPr>
          <w:trHeight w:val="230"/>
        </w:trPr>
        <w:tc>
          <w:tcPr>
            <w:tcW w:w="584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83"/>
        </w:trPr>
        <w:tc>
          <w:tcPr>
            <w:tcW w:w="5840" w:type="dxa"/>
            <w:vAlign w:val="bottom"/>
          </w:tcPr>
          <w:p>
            <w:pPr>
              <w:spacing w:after="0"/>
              <w:rPr>
                <w:sz w:val="20"/>
                <w:szCs w:val="20"/>
                <w:color w:val="auto"/>
              </w:rPr>
            </w:pPr>
            <w:r>
              <w:rPr>
                <w:rFonts w:ascii="Arial" w:cs="Arial" w:eastAsia="Arial" w:hAnsi="Arial"/>
                <w:sz w:val="18"/>
                <w:szCs w:val="18"/>
                <w:color w:val="auto"/>
              </w:rPr>
              <w:t>May 13, 2020</w:t>
            </w:r>
          </w:p>
        </w:tc>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MICHAEL T. VOLLKOMMER</w:t>
            </w:r>
          </w:p>
        </w:tc>
        <w:tc>
          <w:tcPr>
            <w:tcW w:w="1200" w:type="dxa"/>
            <w:vAlign w:val="bottom"/>
          </w:tcPr>
          <w:p>
            <w:pPr>
              <w:spacing w:after="0"/>
              <w:rPr>
                <w:sz w:val="24"/>
                <w:szCs w:val="24"/>
                <w:color w:val="auto"/>
              </w:rPr>
            </w:pPr>
          </w:p>
        </w:tc>
      </w:tr>
      <w:tr>
        <w:trPr>
          <w:trHeight w:val="222"/>
        </w:trPr>
        <w:tc>
          <w:tcPr>
            <w:tcW w:w="584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Michael T. Vollkommer</w:t>
            </w:r>
          </w:p>
        </w:tc>
      </w:tr>
      <w:tr>
        <w:trPr>
          <w:trHeight w:val="216"/>
        </w:trPr>
        <w:tc>
          <w:tcPr>
            <w:tcW w:w="58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84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0500"/>
          </w:cols>
          <w:pgMar w:left="320" w:top="125" w:right="10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10.3</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PRIORITY TECHNOLOGY HOLDINGS,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EQUITY INCENTIVE PLAN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510" w:type="dxa"/>
        <w:tblCellMar>
          <w:top w:w="0" w:type="dxa"/>
          <w:left w:w="0" w:type="dxa"/>
          <w:bottom w:w="0" w:type="dxa"/>
          <w:right w:w="0" w:type="dxa"/>
        </w:tblCellMar>
      </w:tblPr>
      <w:tr>
        <w:trPr>
          <w:trHeight w:val="256"/>
        </w:trPr>
        <w:tc>
          <w:tcPr>
            <w:tcW w:w="5040" w:type="dxa"/>
            <w:vAlign w:val="bottom"/>
          </w:tcPr>
          <w:p>
            <w:pPr>
              <w:ind w:left="60"/>
              <w:spacing w:after="0"/>
              <w:rPr>
                <w:sz w:val="20"/>
                <w:szCs w:val="20"/>
                <w:color w:val="auto"/>
              </w:rPr>
            </w:pPr>
            <w:r>
              <w:rPr>
                <w:rFonts w:ascii="Arial" w:cs="Arial" w:eastAsia="Arial" w:hAnsi="Arial"/>
                <w:sz w:val="20"/>
                <w:szCs w:val="20"/>
                <w:b w:val="1"/>
                <w:bCs w:val="1"/>
                <w:color w:val="auto"/>
              </w:rPr>
              <w:t>Grantee:</w:t>
            </w:r>
          </w:p>
        </w:tc>
        <w:tc>
          <w:tcPr>
            <w:tcW w:w="5240" w:type="dxa"/>
            <w:vAlign w:val="bottom"/>
          </w:tcPr>
          <w:p>
            <w:pPr>
              <w:ind w:left="40"/>
              <w:spacing w:after="0"/>
              <w:rPr>
                <w:sz w:val="20"/>
                <w:szCs w:val="20"/>
                <w:color w:val="auto"/>
              </w:rPr>
            </w:pPr>
            <w:r>
              <w:rPr>
                <w:rFonts w:ascii="Arial" w:cs="Arial" w:eastAsia="Arial" w:hAnsi="Arial"/>
                <w:sz w:val="20"/>
                <w:szCs w:val="20"/>
                <w:color w:val="auto"/>
              </w:rPr>
              <w:t>Matthew Kearney</w:t>
            </w:r>
          </w:p>
        </w:tc>
        <w:tc>
          <w:tcPr>
            <w:tcW w:w="0" w:type="dxa"/>
            <w:vAlign w:val="bottom"/>
          </w:tcPr>
          <w:p>
            <w:pPr>
              <w:spacing w:after="0"/>
              <w:rPr>
                <w:sz w:val="1"/>
                <w:szCs w:val="1"/>
                <w:color w:val="auto"/>
              </w:rPr>
            </w:pPr>
          </w:p>
        </w:tc>
      </w:tr>
      <w:tr>
        <w:trPr>
          <w:trHeight w:val="347"/>
        </w:trPr>
        <w:tc>
          <w:tcPr>
            <w:tcW w:w="504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Number of RSUs:</w:t>
            </w: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40" w:type="dxa"/>
            <w:vAlign w:val="bottom"/>
            <w:vMerge w:val="continue"/>
          </w:tcPr>
          <w:p>
            <w:pPr>
              <w:spacing w:after="0"/>
              <w:rPr>
                <w:sz w:val="20"/>
                <w:szCs w:val="20"/>
                <w:color w:val="auto"/>
              </w:rPr>
            </w:pPr>
          </w:p>
        </w:tc>
        <w:tc>
          <w:tcPr>
            <w:tcW w:w="5240" w:type="dxa"/>
            <w:vAlign w:val="bottom"/>
            <w:vMerge w:val="restart"/>
          </w:tcPr>
          <w:p>
            <w:pPr>
              <w:ind w:left="40"/>
              <w:spacing w:after="0"/>
              <w:rPr>
                <w:sz w:val="20"/>
                <w:szCs w:val="20"/>
                <w:color w:val="auto"/>
              </w:rPr>
            </w:pPr>
            <w:r>
              <w:rPr>
                <w:rFonts w:ascii="Arial" w:cs="Arial" w:eastAsia="Arial" w:hAnsi="Arial"/>
                <w:sz w:val="20"/>
                <w:szCs w:val="20"/>
                <w:color w:val="auto"/>
              </w:rPr>
              <w:t>53,192 RSUs</w:t>
            </w:r>
          </w:p>
        </w:tc>
        <w:tc>
          <w:tcPr>
            <w:tcW w:w="0" w:type="dxa"/>
            <w:vAlign w:val="bottom"/>
          </w:tcPr>
          <w:p>
            <w:pPr>
              <w:spacing w:after="0"/>
              <w:rPr>
                <w:sz w:val="1"/>
                <w:szCs w:val="1"/>
                <w:color w:val="auto"/>
              </w:rPr>
            </w:pPr>
          </w:p>
        </w:tc>
      </w:tr>
      <w:tr>
        <w:trPr>
          <w:trHeight w:val="310"/>
        </w:trPr>
        <w:tc>
          <w:tcPr>
            <w:tcW w:w="504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04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Date of Grant:</w:t>
            </w:r>
          </w:p>
        </w:tc>
        <w:tc>
          <w:tcPr>
            <w:tcW w:w="5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vMerge w:val="continue"/>
          </w:tcPr>
          <w:p>
            <w:pPr>
              <w:spacing w:after="0"/>
              <w:rPr>
                <w:sz w:val="22"/>
                <w:szCs w:val="22"/>
                <w:color w:val="auto"/>
              </w:rPr>
            </w:pPr>
          </w:p>
        </w:tc>
        <w:tc>
          <w:tcPr>
            <w:tcW w:w="5240" w:type="dxa"/>
            <w:vAlign w:val="bottom"/>
          </w:tcPr>
          <w:p>
            <w:pPr>
              <w:ind w:left="40"/>
              <w:spacing w:after="0"/>
              <w:rPr>
                <w:sz w:val="20"/>
                <w:szCs w:val="20"/>
                <w:color w:val="auto"/>
              </w:rPr>
            </w:pPr>
            <w:r>
              <w:rPr>
                <w:rFonts w:ascii="Arial" w:cs="Arial" w:eastAsia="Arial" w:hAnsi="Arial"/>
                <w:sz w:val="20"/>
                <w:szCs w:val="20"/>
                <w:color w:val="auto"/>
              </w:rPr>
              <w:t>April 1, 2020</w:t>
            </w:r>
          </w:p>
        </w:tc>
        <w:tc>
          <w:tcPr>
            <w:tcW w:w="0" w:type="dxa"/>
            <w:vAlign w:val="bottom"/>
          </w:tcPr>
          <w:p>
            <w:pPr>
              <w:spacing w:after="0"/>
              <w:rPr>
                <w:sz w:val="1"/>
                <w:szCs w:val="1"/>
                <w:color w:val="auto"/>
              </w:rPr>
            </w:pPr>
          </w:p>
        </w:tc>
      </w:tr>
      <w:tr>
        <w:trPr>
          <w:trHeight w:val="347"/>
        </w:trPr>
        <w:tc>
          <w:tcPr>
            <w:tcW w:w="504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Vesting Schedule:</w:t>
            </w: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40" w:type="dxa"/>
            <w:vAlign w:val="bottom"/>
            <w:vMerge w:val="continue"/>
          </w:tcPr>
          <w:p>
            <w:pPr>
              <w:spacing w:after="0"/>
              <w:rPr>
                <w:sz w:val="20"/>
                <w:szCs w:val="20"/>
                <w:color w:val="auto"/>
              </w:rPr>
            </w:pP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504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tcBorders>
              <w:left w:val="single" w:sz="8" w:color="auto"/>
              <w:right w:val="single" w:sz="8" w:color="auto"/>
            </w:tcBorders>
          </w:tcPr>
          <w:p>
            <w:pPr>
              <w:ind w:left="2000"/>
              <w:spacing w:after="0"/>
              <w:rPr>
                <w:sz w:val="20"/>
                <w:szCs w:val="20"/>
                <w:color w:val="auto"/>
              </w:rPr>
            </w:pPr>
            <w:r>
              <w:rPr>
                <w:rFonts w:ascii="Arial" w:cs="Arial" w:eastAsia="Arial" w:hAnsi="Arial"/>
                <w:sz w:val="20"/>
                <w:szCs w:val="20"/>
                <w:b w:val="1"/>
                <w:bCs w:val="1"/>
                <w:color w:val="auto"/>
              </w:rPr>
              <w:t>Vesting Date</w:t>
            </w:r>
          </w:p>
        </w:tc>
        <w:tc>
          <w:tcPr>
            <w:tcW w:w="5240" w:type="dxa"/>
            <w:vAlign w:val="bottom"/>
            <w:tcBorders>
              <w:right w:val="single" w:sz="8" w:color="auto"/>
            </w:tcBorders>
          </w:tcPr>
          <w:p>
            <w:pPr>
              <w:ind w:left="1900"/>
              <w:spacing w:after="0"/>
              <w:rPr>
                <w:sz w:val="20"/>
                <w:szCs w:val="20"/>
                <w:color w:val="auto"/>
              </w:rPr>
            </w:pPr>
            <w:r>
              <w:rPr>
                <w:rFonts w:ascii="Arial" w:cs="Arial" w:eastAsia="Arial" w:hAnsi="Arial"/>
                <w:sz w:val="20"/>
                <w:szCs w:val="20"/>
                <w:b w:val="1"/>
                <w:bCs w:val="1"/>
                <w:color w:val="auto"/>
              </w:rPr>
              <w:t>Vesting Quantity</w:t>
            </w:r>
          </w:p>
        </w:tc>
        <w:tc>
          <w:tcPr>
            <w:tcW w:w="0" w:type="dxa"/>
            <w:vAlign w:val="bottom"/>
          </w:tcPr>
          <w:p>
            <w:pPr>
              <w:spacing w:after="0"/>
              <w:rPr>
                <w:sz w:val="1"/>
                <w:szCs w:val="1"/>
                <w:color w:val="auto"/>
              </w:rPr>
            </w:pPr>
          </w:p>
        </w:tc>
      </w:tr>
      <w:tr>
        <w:trPr>
          <w:trHeight w:val="50"/>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April 1, 2020</w:t>
            </w: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5040" w:type="dxa"/>
            <w:vAlign w:val="bottom"/>
            <w:tcBorders>
              <w:left w:val="single" w:sz="8" w:color="auto"/>
              <w:right w:val="single" w:sz="8" w:color="auto"/>
            </w:tcBorders>
          </w:tcPr>
          <w:p>
            <w:pPr>
              <w:spacing w:after="0"/>
              <w:rPr>
                <w:sz w:val="24"/>
                <w:szCs w:val="24"/>
                <w:color w:val="auto"/>
              </w:rPr>
            </w:pP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4"/>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4"/>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July 1, 2020</w:t>
            </w: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040" w:type="dxa"/>
            <w:vAlign w:val="bottom"/>
            <w:tcBorders>
              <w:left w:val="single" w:sz="8" w:color="auto"/>
              <w:right w:val="single" w:sz="8" w:color="auto"/>
            </w:tcBorders>
          </w:tcPr>
          <w:p>
            <w:pPr>
              <w:spacing w:after="0"/>
              <w:rPr>
                <w:sz w:val="24"/>
                <w:szCs w:val="24"/>
                <w:color w:val="auto"/>
              </w:rPr>
            </w:pP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4"/>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October 1, 2020</w:t>
            </w: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0"/>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January 1, 2021</w:t>
            </w: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0"/>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04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the 1</w:t>
      </w:r>
      <w:r>
        <w:rPr>
          <w:rFonts w:ascii="Arial" w:cs="Arial" w:eastAsia="Arial" w:hAnsi="Arial"/>
          <w:sz w:val="24"/>
          <w:szCs w:val="24"/>
          <w:color w:val="auto"/>
          <w:vertAlign w:val="superscript"/>
        </w:rPr>
        <w:t>st</w:t>
      </w:r>
      <w:r>
        <w:rPr>
          <w:rFonts w:ascii="Arial" w:cs="Arial" w:eastAsia="Arial" w:hAnsi="Arial"/>
          <w:sz w:val="19"/>
          <w:szCs w:val="19"/>
          <w:b w:val="1"/>
          <w:bCs w:val="1"/>
          <w:color w:val="auto"/>
        </w:rPr>
        <w:t xml:space="preserve"> </w:t>
      </w:r>
      <w:r>
        <w:rPr>
          <w:rFonts w:ascii="Arial" w:cs="Arial" w:eastAsia="Arial" w:hAnsi="Arial"/>
          <w:sz w:val="19"/>
          <w:szCs w:val="19"/>
          <w:color w:val="auto"/>
        </w:rPr>
        <w:t>day of April, 2020, by and between</w:t>
      </w:r>
      <w:r>
        <w:rPr>
          <w:rFonts w:ascii="Arial" w:cs="Arial" w:eastAsia="Arial" w:hAnsi="Arial"/>
          <w:sz w:val="19"/>
          <w:szCs w:val="19"/>
          <w:b w:val="1"/>
          <w:bCs w:val="1"/>
          <w:color w:val="auto"/>
        </w:rPr>
        <w:t xml:space="preserve"> PRIORITY TECHNOLOGY HOLDINGS, INC..</w:t>
      </w:r>
      <w:r>
        <w:rPr>
          <w:rFonts w:ascii="Arial" w:cs="Arial" w:eastAsia="Arial" w:hAnsi="Arial"/>
          <w:sz w:val="19"/>
          <w:szCs w:val="19"/>
          <w:color w:val="auto"/>
        </w:rPr>
        <w:t>,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the individual designated above (the “</w:t>
      </w:r>
      <w:r>
        <w:rPr>
          <w:rFonts w:ascii="Arial" w:cs="Arial" w:eastAsia="Arial" w:hAnsi="Arial"/>
          <w:sz w:val="19"/>
          <w:szCs w:val="19"/>
          <w:b w:val="1"/>
          <w:bCs w:val="1"/>
          <w:i w:val="1"/>
          <w:iCs w:val="1"/>
          <w:color w:val="auto"/>
        </w:rPr>
        <w:t>Grantee</w:t>
      </w:r>
      <w:r>
        <w:rPr>
          <w:rFonts w:ascii="Arial" w:cs="Arial" w:eastAsia="Arial" w:hAnsi="Arial"/>
          <w:sz w:val="19"/>
          <w:szCs w:val="19"/>
          <w:color w:val="auto"/>
        </w:rPr>
        <w:t>”).</w:t>
      </w:r>
    </w:p>
    <w:p>
      <w:pPr>
        <w:jc w:val="both"/>
        <w:ind w:firstLine="648"/>
        <w:spacing w:after="0" w:line="30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maintains the Priority Technology Holdings, Inc.. 2018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has been selected by the Committee to receive a Restricted Stock Unit Award under the Plan in connection with Grantee’s service as a member of the Board of Directors of the Company;</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 IT IS AGREED</w:t>
      </w:r>
      <w:r>
        <w:rPr>
          <w:rFonts w:ascii="Arial" w:cs="Arial" w:eastAsia="Arial" w:hAnsi="Arial"/>
          <w:sz w:val="20"/>
          <w:szCs w:val="20"/>
          <w:color w:val="auto"/>
        </w:rPr>
        <w:t>, by and between the Company and the Grantee, as follows: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 Award of Restricted Stock Units</w:t>
      </w:r>
    </w:p>
    <w:p>
      <w:pPr>
        <w:spacing w:after="0" w:line="60"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20"/>
          <w:szCs w:val="20"/>
          <w:color w:val="auto"/>
        </w:rPr>
        <w:t>1.1.</w:t>
      </w: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the Grantee an award of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20"/>
          <w:szCs w:val="20"/>
          <w:b w:val="1"/>
          <w:bCs w:val="1"/>
          <w:i w:val="1"/>
          <w:iCs w:val="1"/>
          <w:color w:val="auto"/>
        </w:rPr>
        <w:t>Date of Grant</w:t>
      </w:r>
      <w:r>
        <w:rPr>
          <w:rFonts w:ascii="Arial" w:cs="Arial" w:eastAsia="Arial" w:hAnsi="Arial"/>
          <w:sz w:val="20"/>
          <w:szCs w:val="20"/>
          <w:color w:val="auto"/>
        </w:rPr>
        <w:t>”).</w:t>
      </w:r>
    </w:p>
    <w:p>
      <w:pPr>
        <w:sectPr>
          <w:pgSz w:w="11900" w:h="16838" w:orient="portrait"/>
          <w:cols w:equalWidth="0" w:num="1">
            <w:col w:w="11240"/>
          </w:cols>
          <w:pgMar w:left="320" w:top="341" w:right="339" w:bottom="1440" w:gutter="0" w:footer="0" w:header="0"/>
        </w:sectPr>
      </w:pPr>
    </w:p>
    <w:bookmarkStart w:id="44" w:name="page45"/>
    <w:bookmarkEnd w:id="44"/>
    <w:p>
      <w:pPr>
        <w:jc w:val="both"/>
        <w:ind w:firstLine="1296"/>
        <w:spacing w:after="0" w:line="295" w:lineRule="auto"/>
        <w:rPr>
          <w:sz w:val="20"/>
          <w:szCs w:val="20"/>
          <w:color w:val="auto"/>
        </w:rPr>
      </w:pPr>
      <w:r>
        <w:rPr>
          <w:rFonts w:ascii="Arial" w:cs="Arial" w:eastAsia="Arial" w:hAnsi="Arial"/>
          <w:sz w:val="20"/>
          <w:szCs w:val="20"/>
          <w:color w:val="auto"/>
        </w:rPr>
        <w:t>1.2.</w:t>
      </w:r>
      <w:r>
        <w:rPr>
          <w:rFonts w:ascii="Arial" w:cs="Arial" w:eastAsia="Arial" w:hAnsi="Arial"/>
          <w:sz w:val="20"/>
          <w:szCs w:val="20"/>
          <w:u w:val="single" w:color="auto"/>
          <w:color w:val="auto"/>
        </w:rPr>
        <w:t>Construction</w:t>
      </w:r>
      <w:r>
        <w:rPr>
          <w:rFonts w:ascii="Arial" w:cs="Arial" w:eastAsia="Arial" w:hAnsi="Arial"/>
          <w:sz w:val="20"/>
          <w:szCs w:val="20"/>
          <w:color w:val="auto"/>
        </w:rPr>
        <w:t>. This Agreement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2"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20"/>
          <w:szCs w:val="20"/>
          <w:color w:val="auto"/>
        </w:rPr>
        <w:t>1.3.</w:t>
      </w:r>
      <w:r>
        <w:rPr>
          <w:rFonts w:ascii="Arial" w:cs="Arial" w:eastAsia="Arial" w:hAnsi="Arial"/>
          <w:sz w:val="20"/>
          <w:szCs w:val="20"/>
          <w:u w:val="single" w:color="auto"/>
          <w:color w:val="auto"/>
        </w:rPr>
        <w:t>Execution of the Agreement</w:t>
      </w:r>
      <w:r>
        <w:rPr>
          <w:rFonts w:ascii="Arial" w:cs="Arial" w:eastAsia="Arial" w:hAnsi="Arial"/>
          <w:sz w:val="20"/>
          <w:szCs w:val="20"/>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seven days of the Date of Grant, it may be canceled by the Committee resulting in the immediate forfeiture of all RSUs granted hereunder.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 Vesting and Termination of Service</w:t>
      </w:r>
    </w:p>
    <w:p>
      <w:pPr>
        <w:spacing w:after="0" w:line="60" w:lineRule="exact"/>
        <w:rPr>
          <w:sz w:val="20"/>
          <w:szCs w:val="20"/>
          <w:color w:val="auto"/>
        </w:rPr>
      </w:pPr>
    </w:p>
    <w:p>
      <w:pPr>
        <w:jc w:val="both"/>
        <w:ind w:firstLine="1296"/>
        <w:spacing w:after="0" w:line="369" w:lineRule="auto"/>
        <w:rPr>
          <w:sz w:val="20"/>
          <w:szCs w:val="20"/>
          <w:color w:val="auto"/>
        </w:rPr>
      </w:pPr>
      <w:r>
        <w:rPr>
          <w:rFonts w:ascii="Arial" w:cs="Arial" w:eastAsia="Arial" w:hAnsi="Arial"/>
          <w:sz w:val="16"/>
          <w:szCs w:val="16"/>
          <w:color w:val="auto"/>
        </w:rPr>
        <w:t>2.1.</w:t>
      </w: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Subject to this Section 2 and Section 7, if the Grantee continues to serve as a member of the Board of Directors of the Company, the RSUs shall vest in accordance with the vesting schedule set forth above. Each date on which the RSUs vest is hereinafter referred to as a “</w:t>
      </w:r>
      <w:r>
        <w:rPr>
          <w:rFonts w:ascii="Arial" w:cs="Arial" w:eastAsia="Arial" w:hAnsi="Arial"/>
          <w:sz w:val="16"/>
          <w:szCs w:val="16"/>
          <w:b w:val="1"/>
          <w:bCs w:val="1"/>
          <w:i w:val="1"/>
          <w:iCs w:val="1"/>
          <w:color w:val="auto"/>
        </w:rPr>
        <w:t>Vesting Date</w:t>
      </w:r>
      <w:r>
        <w:rPr>
          <w:rFonts w:ascii="Arial" w:cs="Arial" w:eastAsia="Arial" w:hAnsi="Arial"/>
          <w:sz w:val="16"/>
          <w:szCs w:val="16"/>
          <w:color w:val="auto"/>
        </w:rPr>
        <w:t>”. Except as otherwise provided herein, on the Vesting Date, a number of Shares equal to the number of vested RSUs shall be issued to the Grantee free and clear of all restrictions imposed by this Agreement (except those imposed by Sections 3.3 and 7 below). As soon as practicable (and no later than thirty (30) days) after the Vesting Date, the Company shall transfer such Shares to an unrestricted account in the name of the Grantee (or, if the Grantee has died, to his or her surviving spouse or, if none, to the Grantee’s estate). For purposes of this Agreement, employment with the Company or a Subsidiary of the Company or service as a member of the Board of Directors of a Subsidiary of the Company shall be considered continued service as a member of the Board of Directors of the Company.</w:t>
      </w:r>
    </w:p>
    <w:p>
      <w:pPr>
        <w:spacing w:after="0" w:line="5"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20"/>
          <w:szCs w:val="20"/>
          <w:color w:val="auto"/>
        </w:rPr>
        <w:t>2.2.</w:t>
      </w:r>
      <w:r>
        <w:rPr>
          <w:rFonts w:ascii="Arial" w:cs="Arial" w:eastAsia="Arial" w:hAnsi="Arial"/>
          <w:sz w:val="20"/>
          <w:szCs w:val="20"/>
          <w:u w:val="single" w:color="auto"/>
          <w:color w:val="auto"/>
        </w:rPr>
        <w:t>Termination of Service Due to Death or Disability</w:t>
      </w:r>
      <w:r>
        <w:rPr>
          <w:rFonts w:ascii="Arial" w:cs="Arial" w:eastAsia="Arial" w:hAnsi="Arial"/>
          <w:sz w:val="20"/>
          <w:szCs w:val="20"/>
          <w:color w:val="auto"/>
        </w:rPr>
        <w:t>. If the Grantee’s service as a member of the Board of Directors of the Company is terminated as a result of the Grantee’s death or Disability (as defined in the Plan), the unvested RSUs shall immediately vest on such Date of Termination, and a number of Shares equal to such vested RSUs shall be issued to the Grantee (or the Grantee’s surviving spouse or estate) in the manner described in Section 2.1.</w:t>
      </w:r>
    </w:p>
    <w:p>
      <w:pPr>
        <w:spacing w:after="0" w:line="3"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20"/>
          <w:szCs w:val="20"/>
          <w:color w:val="auto"/>
        </w:rPr>
        <w:t>2.3.</w:t>
      </w:r>
      <w:r>
        <w:rPr>
          <w:rFonts w:ascii="Arial" w:cs="Arial" w:eastAsia="Arial" w:hAnsi="Arial"/>
          <w:sz w:val="20"/>
          <w:szCs w:val="20"/>
          <w:u w:val="single" w:color="auto"/>
          <w:color w:val="auto"/>
        </w:rPr>
        <w:t>Termination of Service by the Company for Cause</w:t>
      </w:r>
      <w:r>
        <w:rPr>
          <w:rFonts w:ascii="Arial" w:cs="Arial" w:eastAsia="Arial" w:hAnsi="Arial"/>
          <w:sz w:val="20"/>
          <w:szCs w:val="20"/>
          <w:color w:val="auto"/>
        </w:rPr>
        <w:t>. If the Grantee’s service as a member of the Board of Directors of the Company is terminated by the Company, the Board or otherwise for Cause (as defined in the Plan), the unvested RSUs shall be forfeited immediately as of the Date of Termination.</w:t>
      </w:r>
    </w:p>
    <w:p>
      <w:pPr>
        <w:spacing w:after="0" w:line="2"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20"/>
          <w:szCs w:val="20"/>
          <w:color w:val="auto"/>
        </w:rPr>
        <w:t>2.4.</w:t>
      </w:r>
      <w:r>
        <w:rPr>
          <w:rFonts w:ascii="Arial" w:cs="Arial" w:eastAsia="Arial" w:hAnsi="Arial"/>
          <w:sz w:val="20"/>
          <w:szCs w:val="20"/>
          <w:u w:val="single" w:color="auto"/>
          <w:color w:val="auto"/>
        </w:rPr>
        <w:t>Termination of Service by the Company Following a Change in Control</w:t>
      </w:r>
      <w:r>
        <w:rPr>
          <w:rFonts w:ascii="Arial" w:cs="Arial" w:eastAsia="Arial" w:hAnsi="Arial"/>
          <w:sz w:val="20"/>
          <w:szCs w:val="20"/>
          <w:color w:val="auto"/>
        </w:rPr>
        <w:t>. If the Grantee’s service as a member of the Board of Directors of the Company is terminated by the Company, by the Board or otherwise (x) on or within 18 months after a Change in Control (as defined in the Plan) (other than for Cause or due to death or Disability) and (y) after the expiration of the Initial Restriction Period, the unvested RSUs shall immediately vest on such Date of Termination, and a number of Shares equal to the number of such vested RSUs shall be issued to the Grantee as described in Section 2.1.</w:t>
      </w:r>
    </w:p>
    <w:p>
      <w:pPr>
        <w:spacing w:after="0" w:line="4"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20"/>
          <w:szCs w:val="20"/>
          <w:color w:val="auto"/>
        </w:rPr>
        <w:t>2.5.</w:t>
      </w:r>
      <w:r>
        <w:rPr>
          <w:rFonts w:ascii="Arial" w:cs="Arial" w:eastAsia="Arial" w:hAnsi="Arial"/>
          <w:sz w:val="20"/>
          <w:szCs w:val="20"/>
          <w:u w:val="single" w:color="auto"/>
          <w:color w:val="auto"/>
        </w:rPr>
        <w:t>Termination of Service for Other Reasons</w:t>
      </w:r>
      <w:r>
        <w:rPr>
          <w:rFonts w:ascii="Arial" w:cs="Arial" w:eastAsia="Arial" w:hAnsi="Arial"/>
          <w:sz w:val="20"/>
          <w:szCs w:val="20"/>
          <w:color w:val="auto"/>
        </w:rPr>
        <w:t>. If the Grantee’s service as a member of the Board of Directors of the Company is terminated by the Company or the Grantee under circumstances other than those outlined above in Sections 2.2, 2.3 or 2.4, the unvested RSUs shall immediately be forfeited as of the Date of Termination.</w:t>
      </w:r>
    </w:p>
    <w:p>
      <w:pPr>
        <w:sectPr>
          <w:pgSz w:w="11900" w:h="16838" w:orient="portrait"/>
          <w:cols w:equalWidth="0" w:num="1">
            <w:col w:w="11240"/>
          </w:cols>
          <w:pgMar w:left="320" w:top="366" w:right="339" w:bottom="1440" w:gutter="0" w:footer="0" w:header="0"/>
        </w:sectPr>
      </w:pPr>
    </w:p>
    <w:bookmarkStart w:id="45" w:name="page46"/>
    <w:bookmarkEnd w:id="45"/>
    <w:p>
      <w:pPr>
        <w:jc w:val="both"/>
        <w:ind w:firstLine="1296"/>
        <w:spacing w:after="0" w:line="295" w:lineRule="auto"/>
        <w:rPr>
          <w:sz w:val="20"/>
          <w:szCs w:val="20"/>
          <w:color w:val="auto"/>
        </w:rPr>
      </w:pPr>
      <w:r>
        <w:rPr>
          <w:rFonts w:ascii="Arial" w:cs="Arial" w:eastAsia="Arial" w:hAnsi="Arial"/>
          <w:sz w:val="20"/>
          <w:szCs w:val="20"/>
          <w:color w:val="auto"/>
        </w:rPr>
        <w:t>2.6.</w:t>
      </w:r>
      <w:r>
        <w:rPr>
          <w:rFonts w:ascii="Arial" w:cs="Arial" w:eastAsia="Arial" w:hAnsi="Arial"/>
          <w:sz w:val="20"/>
          <w:szCs w:val="20"/>
          <w:u w:val="single" w:color="auto"/>
          <w:color w:val="auto"/>
        </w:rPr>
        <w:t>Nontransferability</w:t>
      </w:r>
      <w:r>
        <w:rPr>
          <w:rFonts w:ascii="Arial" w:cs="Arial" w:eastAsia="Arial" w:hAnsi="Arial"/>
          <w:sz w:val="20"/>
          <w:szCs w:val="20"/>
          <w:color w:val="auto"/>
        </w:rPr>
        <w:t>. The RSUs may not be sold, assigned, transferred, pledged, or otherwise encumbered prior to the date the Grantee becomes vested in the RSUs and the Shares are issued.</w:t>
      </w:r>
    </w:p>
    <w:p>
      <w:pPr>
        <w:spacing w:after="0" w:line="2" w:lineRule="exact"/>
        <w:rPr>
          <w:sz w:val="20"/>
          <w:szCs w:val="20"/>
          <w:color w:val="auto"/>
        </w:rPr>
      </w:pPr>
    </w:p>
    <w:p>
      <w:pPr>
        <w:jc w:val="both"/>
        <w:ind w:firstLine="1296"/>
        <w:spacing w:after="0" w:line="332" w:lineRule="auto"/>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Section 409A Compliance</w:t>
      </w:r>
      <w:r>
        <w:rPr>
          <w:rFonts w:ascii="Arial" w:cs="Arial" w:eastAsia="Arial" w:hAnsi="Arial"/>
          <w:sz w:val="18"/>
          <w:szCs w:val="18"/>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the Grantee upon his separation from service if the Grantee is a “key employee” of the Company (as determined by the Company in accordance with procedures established by the Company that are consistent with Section 409A) to the date which is immediately following the earlier of (i) six months after the date of the Grantee’s separation from service or (ii) the Grantee’s death, to the extent such delay is required under the provisions of Section 409A to avoid imposition of additional income and other taxes, provided that the Company and the Grantee agree to take into account any exemptions available under Section 409A. For purposes of this Agreement, termination of service shall be construed consistent with the meaning of a separation from service within the meaning of Section 409A.</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No Right to Continued Service</w:t>
      </w:r>
    </w:p>
    <w:p>
      <w:pPr>
        <w:spacing w:after="0" w:line="33" w:lineRule="exact"/>
        <w:rPr>
          <w:sz w:val="20"/>
          <w:szCs w:val="20"/>
          <w:color w:val="auto"/>
        </w:rPr>
      </w:pPr>
    </w:p>
    <w:p>
      <w:pPr>
        <w:jc w:val="both"/>
        <w:ind w:firstLine="1296"/>
        <w:spacing w:after="0" w:line="309" w:lineRule="auto"/>
        <w:rPr>
          <w:sz w:val="20"/>
          <w:szCs w:val="20"/>
          <w:color w:val="auto"/>
        </w:rPr>
      </w:pPr>
      <w:r>
        <w:rPr>
          <w:rFonts w:ascii="Arial" w:cs="Arial" w:eastAsia="Arial" w:hAnsi="Arial"/>
          <w:sz w:val="19"/>
          <w:szCs w:val="19"/>
          <w:color w:val="auto"/>
        </w:rPr>
        <w:t>Nothing in this Agreement or the Plan shall be interpreted or construed to confer upon the Grantee any right with respect to continuance of service as a member of the Board of Directors of the Company, nor shall this Agreement or the Plan interfere in any way with the right of the Company, the shareholders or others to terminate the Grantee’s service as a member of the Board of Directors of the Company at any time in accordance with applicable law and/or the governing documents of the Company.</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4. Taxes and Withholding</w:t>
      </w:r>
    </w:p>
    <w:p>
      <w:pPr>
        <w:spacing w:after="0" w:line="6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0"/>
          <w:szCs w:val="20"/>
          <w:color w:val="auto"/>
        </w:rPr>
        <w:t>The Grantee shall be responsible for all federal, state, and local income taxes payable with respect to this award of RSUs and any dividends or dividend equivalents paid on such RSUs. The Company and the Grantee agree to report the value of the RSUs in a consistent manner for federal income tax purposes.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5. The Grantee Bound by The Plan</w:t>
      </w:r>
    </w:p>
    <w:p>
      <w:pPr>
        <w:spacing w:after="0" w:line="6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20"/>
          <w:szCs w:val="20"/>
          <w:color w:val="auto"/>
        </w:rPr>
        <w:t>The Grantee hereby acknowledges receipt of a copy of the Plan and the prospectus for the Plan, and agrees to be bound by all the terms and provisions thereof.</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6. Modification of Agreement; Severability</w:t>
      </w:r>
    </w:p>
    <w:p>
      <w:pPr>
        <w:spacing w:after="0" w:line="60" w:lineRule="exact"/>
        <w:rPr>
          <w:sz w:val="20"/>
          <w:szCs w:val="20"/>
          <w:color w:val="auto"/>
        </w:rPr>
      </w:pPr>
    </w:p>
    <w:p>
      <w:pPr>
        <w:jc w:val="both"/>
        <w:ind w:firstLine="1296"/>
        <w:spacing w:after="0" w:line="345" w:lineRule="auto"/>
        <w:rPr>
          <w:sz w:val="20"/>
          <w:szCs w:val="20"/>
          <w:color w:val="auto"/>
        </w:rPr>
      </w:pPr>
      <w:r>
        <w:rPr>
          <w:rFonts w:ascii="Arial" w:cs="Arial" w:eastAsia="Arial" w:hAnsi="Arial"/>
          <w:sz w:val="18"/>
          <w:szCs w:val="18"/>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w:t>
      </w:r>
    </w:p>
    <w:p>
      <w:pPr>
        <w:sectPr>
          <w:pgSz w:w="11900" w:h="16838" w:orient="portrait"/>
          <w:cols w:equalWidth="0" w:num="1">
            <w:col w:w="11240"/>
          </w:cols>
          <w:pgMar w:left="320" w:top="366" w:right="339" w:bottom="1440" w:gutter="0" w:footer="0" w:header="0"/>
        </w:sectPr>
      </w:pPr>
    </w:p>
    <w:bookmarkStart w:id="46" w:name="page47"/>
    <w:bookmarkEnd w:id="46"/>
    <w:p>
      <w:pPr>
        <w:jc w:val="both"/>
        <w:spacing w:after="0" w:line="317" w:lineRule="auto"/>
        <w:rPr>
          <w:sz w:val="20"/>
          <w:szCs w:val="20"/>
          <w:color w:val="auto"/>
        </w:rPr>
      </w:pPr>
      <w:r>
        <w:rPr>
          <w:rFonts w:ascii="Arial" w:cs="Arial" w:eastAsia="Arial" w:hAnsi="Arial"/>
          <w:sz w:val="20"/>
          <w:szCs w:val="20"/>
          <w:color w:val="auto"/>
        </w:rPr>
        <w:t>or terminate this Agreement or may waive any terms or conditions of this Agreement but only by a written instrument executed by the parties hereto.</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7. Governing Law and Forum</w:t>
      </w:r>
    </w:p>
    <w:p>
      <w:pPr>
        <w:spacing w:after="0" w:line="6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20"/>
          <w:szCs w:val="20"/>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8. Successors in Interest</w:t>
      </w:r>
    </w:p>
    <w:p>
      <w:pPr>
        <w:spacing w:after="0" w:line="6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20"/>
          <w:szCs w:val="20"/>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9. Entire Agreement</w:t>
      </w:r>
    </w:p>
    <w:p>
      <w:pPr>
        <w:spacing w:after="0" w:line="6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20"/>
          <w:szCs w:val="20"/>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10. Resolution of Disputes</w:t>
      </w:r>
    </w:p>
    <w:p>
      <w:pPr>
        <w:spacing w:after="0" w:line="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color w:val="auto"/>
        </w:rPr>
        <w:t>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[EXECUTION PAGE FOLLOWS]</w:t>
      </w:r>
    </w:p>
    <w:p>
      <w:pPr>
        <w:sectPr>
          <w:pgSz w:w="11900" w:h="16838" w:orient="portrait"/>
          <w:cols w:equalWidth="0" w:num="1">
            <w:col w:w="11240"/>
          </w:cols>
          <w:pgMar w:left="320" w:top="366"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as of the date first above written.</w:t>
      </w:r>
    </w:p>
    <w:p>
      <w:pPr>
        <w:spacing w:after="0" w:line="3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C. Priore</w:t>
      </w:r>
    </w:p>
    <w:p>
      <w:pPr>
        <w:spacing w:after="0" w:line="33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Thomas C. Priore</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Executive Chairman and CEO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By accepting this Agreement, the Grantee hereby accepts the RSU grant subject to all its terms and provisions and agrees to be bound by the terms and provisions of this Agreement, including Section 7, and the Plan.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241" w:lineRule="exact"/>
        <w:rPr>
          <w:sz w:val="20"/>
          <w:szCs w:val="20"/>
          <w:color w:val="auto"/>
        </w:rPr>
      </w:pPr>
    </w:p>
    <w:p>
      <w:pPr>
        <w:jc w:val="both"/>
        <w:spacing w:after="0" w:line="345" w:lineRule="auto"/>
        <w:rPr>
          <w:sz w:val="20"/>
          <w:szCs w:val="20"/>
          <w:color w:val="auto"/>
        </w:rPr>
      </w:pPr>
      <w:r>
        <w:rPr>
          <w:rFonts w:ascii="Arial" w:cs="Arial" w:eastAsia="Arial" w:hAnsi="Arial"/>
          <w:sz w:val="18"/>
          <w:szCs w:val="18"/>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227"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By accepting this Agreement, the Grantee hereby consents to the holding and processing of personal data provided by him to the Company for all purposes necessary for the operation of the Plan. These include, but are not limited to:</w:t>
      </w:r>
    </w:p>
    <w:p>
      <w:pPr>
        <w:spacing w:after="0" w:line="243" w:lineRule="exact"/>
        <w:rPr>
          <w:sz w:val="20"/>
          <w:szCs w:val="20"/>
          <w:color w:val="auto"/>
        </w:rPr>
      </w:pPr>
    </w:p>
    <w:p>
      <w:pPr>
        <w:ind w:left="920" w:hanging="264"/>
        <w:spacing w:after="0"/>
        <w:tabs>
          <w:tab w:leader="none" w:pos="9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administering and maintaining Plan records;</w:t>
      </w:r>
    </w:p>
    <w:p>
      <w:pPr>
        <w:spacing w:after="0" w:line="53" w:lineRule="exact"/>
        <w:rPr>
          <w:rFonts w:ascii="Arial" w:cs="Arial" w:eastAsia="Arial" w:hAnsi="Arial"/>
          <w:sz w:val="20"/>
          <w:szCs w:val="20"/>
          <w:color w:val="auto"/>
        </w:rPr>
      </w:pPr>
    </w:p>
    <w:p>
      <w:pPr>
        <w:ind w:left="940" w:hanging="284"/>
        <w:spacing w:after="0"/>
        <w:tabs>
          <w:tab w:leader="none" w:pos="9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providing information to any registrars, brokers or third party administrators of the Plan; and</w:t>
      </w:r>
    </w:p>
    <w:p>
      <w:pPr>
        <w:spacing w:after="0" w:line="53" w:lineRule="exact"/>
        <w:rPr>
          <w:rFonts w:ascii="Arial" w:cs="Arial" w:eastAsia="Arial" w:hAnsi="Arial"/>
          <w:sz w:val="20"/>
          <w:szCs w:val="20"/>
          <w:color w:val="auto"/>
        </w:rPr>
      </w:pPr>
    </w:p>
    <w:p>
      <w:pPr>
        <w:ind w:left="920" w:hanging="264"/>
        <w:spacing w:after="0"/>
        <w:tabs>
          <w:tab w:leader="none" w:pos="9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providing information to future purchasers of the Company or the business in which the Grantee works.</w:t>
      </w:r>
    </w:p>
    <w:p>
      <w:pPr>
        <w:spacing w:after="0" w:line="33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GRANTEE</w:t>
      </w:r>
    </w:p>
    <w:p>
      <w:pPr>
        <w:spacing w:after="0" w:line="3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u w:val="single" w:color="auto"/>
          <w:color w:val="auto"/>
        </w:rPr>
        <w:t>/s/ Matthew Kearney</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Matthew Kearney</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Date: April 1, 2020</w:t>
      </w:r>
    </w:p>
    <w:p>
      <w:pPr>
        <w:sectPr>
          <w:pgSz w:w="11900" w:h="16838" w:orient="portrait"/>
          <w:cols w:equalWidth="0" w:num="1">
            <w:col w:w="11240"/>
          </w:cols>
          <w:pgMar w:left="320" w:top="36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10.4</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PRIORITY TECHNOLOGY HOLDINGS,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EQUITY INCENTIVE PLAN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510" w:type="dxa"/>
        <w:tblCellMar>
          <w:top w:w="0" w:type="dxa"/>
          <w:left w:w="0" w:type="dxa"/>
          <w:bottom w:w="0" w:type="dxa"/>
          <w:right w:w="0" w:type="dxa"/>
        </w:tblCellMar>
      </w:tblPr>
      <w:tr>
        <w:trPr>
          <w:trHeight w:val="256"/>
        </w:trPr>
        <w:tc>
          <w:tcPr>
            <w:tcW w:w="5040" w:type="dxa"/>
            <w:vAlign w:val="bottom"/>
          </w:tcPr>
          <w:p>
            <w:pPr>
              <w:ind w:left="60"/>
              <w:spacing w:after="0"/>
              <w:rPr>
                <w:sz w:val="20"/>
                <w:szCs w:val="20"/>
                <w:color w:val="auto"/>
              </w:rPr>
            </w:pPr>
            <w:r>
              <w:rPr>
                <w:rFonts w:ascii="Arial" w:cs="Arial" w:eastAsia="Arial" w:hAnsi="Arial"/>
                <w:sz w:val="20"/>
                <w:szCs w:val="20"/>
                <w:b w:val="1"/>
                <w:bCs w:val="1"/>
                <w:color w:val="auto"/>
              </w:rPr>
              <w:t>Grantee:</w:t>
            </w:r>
          </w:p>
        </w:tc>
        <w:tc>
          <w:tcPr>
            <w:tcW w:w="5240" w:type="dxa"/>
            <w:vAlign w:val="bottom"/>
          </w:tcPr>
          <w:p>
            <w:pPr>
              <w:ind w:left="40"/>
              <w:spacing w:after="0"/>
              <w:rPr>
                <w:sz w:val="20"/>
                <w:szCs w:val="20"/>
                <w:color w:val="auto"/>
              </w:rPr>
            </w:pPr>
            <w:r>
              <w:rPr>
                <w:rFonts w:ascii="Arial" w:cs="Arial" w:eastAsia="Arial" w:hAnsi="Arial"/>
                <w:sz w:val="20"/>
                <w:szCs w:val="20"/>
                <w:color w:val="auto"/>
              </w:rPr>
              <w:t>Michael Passilla</w:t>
            </w:r>
          </w:p>
        </w:tc>
        <w:tc>
          <w:tcPr>
            <w:tcW w:w="0" w:type="dxa"/>
            <w:vAlign w:val="bottom"/>
          </w:tcPr>
          <w:p>
            <w:pPr>
              <w:spacing w:after="0"/>
              <w:rPr>
                <w:sz w:val="1"/>
                <w:szCs w:val="1"/>
                <w:color w:val="auto"/>
              </w:rPr>
            </w:pPr>
          </w:p>
        </w:tc>
      </w:tr>
      <w:tr>
        <w:trPr>
          <w:trHeight w:val="347"/>
        </w:trPr>
        <w:tc>
          <w:tcPr>
            <w:tcW w:w="504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Number of RSUs:</w:t>
            </w: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40" w:type="dxa"/>
            <w:vAlign w:val="bottom"/>
            <w:vMerge w:val="continue"/>
          </w:tcPr>
          <w:p>
            <w:pPr>
              <w:spacing w:after="0"/>
              <w:rPr>
                <w:sz w:val="20"/>
                <w:szCs w:val="20"/>
                <w:color w:val="auto"/>
              </w:rPr>
            </w:pPr>
          </w:p>
        </w:tc>
        <w:tc>
          <w:tcPr>
            <w:tcW w:w="5240" w:type="dxa"/>
            <w:vAlign w:val="bottom"/>
            <w:vMerge w:val="restart"/>
          </w:tcPr>
          <w:p>
            <w:pPr>
              <w:ind w:left="40"/>
              <w:spacing w:after="0"/>
              <w:rPr>
                <w:sz w:val="20"/>
                <w:szCs w:val="20"/>
                <w:color w:val="auto"/>
              </w:rPr>
            </w:pPr>
            <w:r>
              <w:rPr>
                <w:rFonts w:ascii="Arial" w:cs="Arial" w:eastAsia="Arial" w:hAnsi="Arial"/>
                <w:sz w:val="20"/>
                <w:szCs w:val="20"/>
                <w:color w:val="auto"/>
              </w:rPr>
              <w:t>53,192 RSUs</w:t>
            </w:r>
          </w:p>
        </w:tc>
        <w:tc>
          <w:tcPr>
            <w:tcW w:w="0" w:type="dxa"/>
            <w:vAlign w:val="bottom"/>
          </w:tcPr>
          <w:p>
            <w:pPr>
              <w:spacing w:after="0"/>
              <w:rPr>
                <w:sz w:val="1"/>
                <w:szCs w:val="1"/>
                <w:color w:val="auto"/>
              </w:rPr>
            </w:pPr>
          </w:p>
        </w:tc>
      </w:tr>
      <w:tr>
        <w:trPr>
          <w:trHeight w:val="310"/>
        </w:trPr>
        <w:tc>
          <w:tcPr>
            <w:tcW w:w="504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04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Date of Grant:</w:t>
            </w:r>
          </w:p>
        </w:tc>
        <w:tc>
          <w:tcPr>
            <w:tcW w:w="5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vMerge w:val="continue"/>
          </w:tcPr>
          <w:p>
            <w:pPr>
              <w:spacing w:after="0"/>
              <w:rPr>
                <w:sz w:val="22"/>
                <w:szCs w:val="22"/>
                <w:color w:val="auto"/>
              </w:rPr>
            </w:pPr>
          </w:p>
        </w:tc>
        <w:tc>
          <w:tcPr>
            <w:tcW w:w="5240" w:type="dxa"/>
            <w:vAlign w:val="bottom"/>
          </w:tcPr>
          <w:p>
            <w:pPr>
              <w:ind w:left="40"/>
              <w:spacing w:after="0"/>
              <w:rPr>
                <w:sz w:val="20"/>
                <w:szCs w:val="20"/>
                <w:color w:val="auto"/>
              </w:rPr>
            </w:pPr>
            <w:r>
              <w:rPr>
                <w:rFonts w:ascii="Arial" w:cs="Arial" w:eastAsia="Arial" w:hAnsi="Arial"/>
                <w:sz w:val="20"/>
                <w:szCs w:val="20"/>
                <w:color w:val="auto"/>
              </w:rPr>
              <w:t>April 1, 2020</w:t>
            </w:r>
          </w:p>
        </w:tc>
        <w:tc>
          <w:tcPr>
            <w:tcW w:w="0" w:type="dxa"/>
            <w:vAlign w:val="bottom"/>
          </w:tcPr>
          <w:p>
            <w:pPr>
              <w:spacing w:after="0"/>
              <w:rPr>
                <w:sz w:val="1"/>
                <w:szCs w:val="1"/>
                <w:color w:val="auto"/>
              </w:rPr>
            </w:pPr>
          </w:p>
        </w:tc>
      </w:tr>
      <w:tr>
        <w:trPr>
          <w:trHeight w:val="347"/>
        </w:trPr>
        <w:tc>
          <w:tcPr>
            <w:tcW w:w="504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Vesting Schedule:</w:t>
            </w: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40" w:type="dxa"/>
            <w:vAlign w:val="bottom"/>
            <w:vMerge w:val="continue"/>
          </w:tcPr>
          <w:p>
            <w:pPr>
              <w:spacing w:after="0"/>
              <w:rPr>
                <w:sz w:val="20"/>
                <w:szCs w:val="20"/>
                <w:color w:val="auto"/>
              </w:rPr>
            </w:pP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504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tcBorders>
              <w:left w:val="single" w:sz="8" w:color="auto"/>
              <w:right w:val="single" w:sz="8" w:color="auto"/>
            </w:tcBorders>
          </w:tcPr>
          <w:p>
            <w:pPr>
              <w:ind w:left="2000"/>
              <w:spacing w:after="0"/>
              <w:rPr>
                <w:sz w:val="20"/>
                <w:szCs w:val="20"/>
                <w:color w:val="auto"/>
              </w:rPr>
            </w:pPr>
            <w:r>
              <w:rPr>
                <w:rFonts w:ascii="Arial" w:cs="Arial" w:eastAsia="Arial" w:hAnsi="Arial"/>
                <w:sz w:val="20"/>
                <w:szCs w:val="20"/>
                <w:b w:val="1"/>
                <w:bCs w:val="1"/>
                <w:color w:val="auto"/>
              </w:rPr>
              <w:t>Vesting Date</w:t>
            </w:r>
          </w:p>
        </w:tc>
        <w:tc>
          <w:tcPr>
            <w:tcW w:w="5240" w:type="dxa"/>
            <w:vAlign w:val="bottom"/>
            <w:tcBorders>
              <w:right w:val="single" w:sz="8" w:color="auto"/>
            </w:tcBorders>
          </w:tcPr>
          <w:p>
            <w:pPr>
              <w:ind w:left="1900"/>
              <w:spacing w:after="0"/>
              <w:rPr>
                <w:sz w:val="20"/>
                <w:szCs w:val="20"/>
                <w:color w:val="auto"/>
              </w:rPr>
            </w:pPr>
            <w:r>
              <w:rPr>
                <w:rFonts w:ascii="Arial" w:cs="Arial" w:eastAsia="Arial" w:hAnsi="Arial"/>
                <w:sz w:val="20"/>
                <w:szCs w:val="20"/>
                <w:b w:val="1"/>
                <w:bCs w:val="1"/>
                <w:color w:val="auto"/>
              </w:rPr>
              <w:t>Vesting Quantity</w:t>
            </w:r>
          </w:p>
        </w:tc>
        <w:tc>
          <w:tcPr>
            <w:tcW w:w="0" w:type="dxa"/>
            <w:vAlign w:val="bottom"/>
          </w:tcPr>
          <w:p>
            <w:pPr>
              <w:spacing w:after="0"/>
              <w:rPr>
                <w:sz w:val="1"/>
                <w:szCs w:val="1"/>
                <w:color w:val="auto"/>
              </w:rPr>
            </w:pPr>
          </w:p>
        </w:tc>
      </w:tr>
      <w:tr>
        <w:trPr>
          <w:trHeight w:val="50"/>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April 1, 2020</w:t>
            </w: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5040" w:type="dxa"/>
            <w:vAlign w:val="bottom"/>
            <w:tcBorders>
              <w:left w:val="single" w:sz="8" w:color="auto"/>
              <w:right w:val="single" w:sz="8" w:color="auto"/>
            </w:tcBorders>
          </w:tcPr>
          <w:p>
            <w:pPr>
              <w:spacing w:after="0"/>
              <w:rPr>
                <w:sz w:val="24"/>
                <w:szCs w:val="24"/>
                <w:color w:val="auto"/>
              </w:rPr>
            </w:pP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4"/>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5"/>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July 1, 2020</w:t>
            </w: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040" w:type="dxa"/>
            <w:vAlign w:val="bottom"/>
            <w:tcBorders>
              <w:left w:val="single" w:sz="8" w:color="auto"/>
              <w:right w:val="single" w:sz="8" w:color="auto"/>
            </w:tcBorders>
          </w:tcPr>
          <w:p>
            <w:pPr>
              <w:spacing w:after="0"/>
              <w:rPr>
                <w:sz w:val="24"/>
                <w:szCs w:val="24"/>
                <w:color w:val="auto"/>
              </w:rPr>
            </w:pP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4"/>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October 1, 2020</w:t>
            </w: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0"/>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January 1, 2021</w:t>
            </w: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0"/>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04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the 1</w:t>
      </w:r>
      <w:r>
        <w:rPr>
          <w:rFonts w:ascii="Arial" w:cs="Arial" w:eastAsia="Arial" w:hAnsi="Arial"/>
          <w:sz w:val="24"/>
          <w:szCs w:val="24"/>
          <w:color w:val="auto"/>
          <w:vertAlign w:val="superscript"/>
        </w:rPr>
        <w:t>st</w:t>
      </w:r>
      <w:r>
        <w:rPr>
          <w:rFonts w:ascii="Arial" w:cs="Arial" w:eastAsia="Arial" w:hAnsi="Arial"/>
          <w:sz w:val="19"/>
          <w:szCs w:val="19"/>
          <w:b w:val="1"/>
          <w:bCs w:val="1"/>
          <w:color w:val="auto"/>
        </w:rPr>
        <w:t xml:space="preserve"> </w:t>
      </w:r>
      <w:r>
        <w:rPr>
          <w:rFonts w:ascii="Arial" w:cs="Arial" w:eastAsia="Arial" w:hAnsi="Arial"/>
          <w:sz w:val="19"/>
          <w:szCs w:val="19"/>
          <w:color w:val="auto"/>
        </w:rPr>
        <w:t>day of April, 2020, by and between</w:t>
      </w:r>
      <w:r>
        <w:rPr>
          <w:rFonts w:ascii="Arial" w:cs="Arial" w:eastAsia="Arial" w:hAnsi="Arial"/>
          <w:sz w:val="19"/>
          <w:szCs w:val="19"/>
          <w:b w:val="1"/>
          <w:bCs w:val="1"/>
          <w:color w:val="auto"/>
        </w:rPr>
        <w:t xml:space="preserve"> PRIORITY TECHNOLOGY HOLDINGS, INC..</w:t>
      </w:r>
      <w:r>
        <w:rPr>
          <w:rFonts w:ascii="Arial" w:cs="Arial" w:eastAsia="Arial" w:hAnsi="Arial"/>
          <w:sz w:val="19"/>
          <w:szCs w:val="19"/>
          <w:color w:val="auto"/>
        </w:rPr>
        <w:t>,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the individual designated above (the “</w:t>
      </w:r>
      <w:r>
        <w:rPr>
          <w:rFonts w:ascii="Arial" w:cs="Arial" w:eastAsia="Arial" w:hAnsi="Arial"/>
          <w:sz w:val="19"/>
          <w:szCs w:val="19"/>
          <w:b w:val="1"/>
          <w:bCs w:val="1"/>
          <w:i w:val="1"/>
          <w:iCs w:val="1"/>
          <w:color w:val="auto"/>
        </w:rPr>
        <w:t>Grantee</w:t>
      </w:r>
      <w:r>
        <w:rPr>
          <w:rFonts w:ascii="Arial" w:cs="Arial" w:eastAsia="Arial" w:hAnsi="Arial"/>
          <w:sz w:val="19"/>
          <w:szCs w:val="19"/>
          <w:color w:val="auto"/>
        </w:rPr>
        <w:t>”).</w:t>
      </w:r>
    </w:p>
    <w:p>
      <w:pPr>
        <w:jc w:val="both"/>
        <w:ind w:firstLine="648"/>
        <w:spacing w:after="0" w:line="30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maintains the Priority Technology Holdings, Inc.. 2018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has been selected by the Committee to receive a Restricted Stock Unit Award under the Plan in connection with Grantee’s service as a member of the Board of Directors of the Company;</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 IT IS AGREED</w:t>
      </w:r>
      <w:r>
        <w:rPr>
          <w:rFonts w:ascii="Arial" w:cs="Arial" w:eastAsia="Arial" w:hAnsi="Arial"/>
          <w:sz w:val="20"/>
          <w:szCs w:val="20"/>
          <w:color w:val="auto"/>
        </w:rPr>
        <w:t>, by and between the Company and the Grantee, as follows: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 Award of Restricted Stock Units</w:t>
      </w:r>
    </w:p>
    <w:p>
      <w:pPr>
        <w:spacing w:after="0" w:line="60"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20"/>
          <w:szCs w:val="20"/>
          <w:color w:val="auto"/>
        </w:rPr>
        <w:t>1.1.</w:t>
      </w: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the Grantee an award of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20"/>
          <w:szCs w:val="20"/>
          <w:b w:val="1"/>
          <w:bCs w:val="1"/>
          <w:i w:val="1"/>
          <w:iCs w:val="1"/>
          <w:color w:val="auto"/>
        </w:rPr>
        <w:t>Date of Grant</w:t>
      </w:r>
      <w:r>
        <w:rPr>
          <w:rFonts w:ascii="Arial" w:cs="Arial" w:eastAsia="Arial" w:hAnsi="Arial"/>
          <w:sz w:val="20"/>
          <w:szCs w:val="20"/>
          <w:color w:val="auto"/>
        </w:rPr>
        <w:t>”).</w:t>
      </w:r>
    </w:p>
    <w:p>
      <w:pPr>
        <w:sectPr>
          <w:pgSz w:w="11900" w:h="16838" w:orient="portrait"/>
          <w:cols w:equalWidth="0" w:num="1">
            <w:col w:w="11240"/>
          </w:cols>
          <w:pgMar w:left="320" w:top="341" w:right="339" w:bottom="1440" w:gutter="0" w:footer="0" w:header="0"/>
        </w:sectPr>
      </w:pPr>
    </w:p>
    <w:bookmarkStart w:id="49" w:name="page50"/>
    <w:bookmarkEnd w:id="49"/>
    <w:p>
      <w:pPr>
        <w:jc w:val="both"/>
        <w:ind w:firstLine="1296"/>
        <w:spacing w:after="0" w:line="295" w:lineRule="auto"/>
        <w:rPr>
          <w:sz w:val="20"/>
          <w:szCs w:val="20"/>
          <w:color w:val="auto"/>
        </w:rPr>
      </w:pPr>
      <w:r>
        <w:rPr>
          <w:rFonts w:ascii="Arial" w:cs="Arial" w:eastAsia="Arial" w:hAnsi="Arial"/>
          <w:sz w:val="20"/>
          <w:szCs w:val="20"/>
          <w:color w:val="auto"/>
        </w:rPr>
        <w:t>1.2.</w:t>
      </w:r>
      <w:r>
        <w:rPr>
          <w:rFonts w:ascii="Arial" w:cs="Arial" w:eastAsia="Arial" w:hAnsi="Arial"/>
          <w:sz w:val="20"/>
          <w:szCs w:val="20"/>
          <w:u w:val="single" w:color="auto"/>
          <w:color w:val="auto"/>
        </w:rPr>
        <w:t>Construction</w:t>
      </w:r>
      <w:r>
        <w:rPr>
          <w:rFonts w:ascii="Arial" w:cs="Arial" w:eastAsia="Arial" w:hAnsi="Arial"/>
          <w:sz w:val="20"/>
          <w:szCs w:val="20"/>
          <w:color w:val="auto"/>
        </w:rPr>
        <w:t>. This Agreement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2"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20"/>
          <w:szCs w:val="20"/>
          <w:color w:val="auto"/>
        </w:rPr>
        <w:t>1.3.</w:t>
      </w:r>
      <w:r>
        <w:rPr>
          <w:rFonts w:ascii="Arial" w:cs="Arial" w:eastAsia="Arial" w:hAnsi="Arial"/>
          <w:sz w:val="20"/>
          <w:szCs w:val="20"/>
          <w:u w:val="single" w:color="auto"/>
          <w:color w:val="auto"/>
        </w:rPr>
        <w:t>Execution of the Agreement</w:t>
      </w:r>
      <w:r>
        <w:rPr>
          <w:rFonts w:ascii="Arial" w:cs="Arial" w:eastAsia="Arial" w:hAnsi="Arial"/>
          <w:sz w:val="20"/>
          <w:szCs w:val="20"/>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seven days of the Date of Grant, it may be canceled by the Committee resulting in the immediate forfeiture of all RSUs granted hereunder.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 Vesting and Termination of Service</w:t>
      </w:r>
    </w:p>
    <w:p>
      <w:pPr>
        <w:spacing w:after="0" w:line="60" w:lineRule="exact"/>
        <w:rPr>
          <w:sz w:val="20"/>
          <w:szCs w:val="20"/>
          <w:color w:val="auto"/>
        </w:rPr>
      </w:pPr>
    </w:p>
    <w:p>
      <w:pPr>
        <w:jc w:val="both"/>
        <w:ind w:firstLine="1296"/>
        <w:spacing w:after="0" w:line="369" w:lineRule="auto"/>
        <w:rPr>
          <w:sz w:val="20"/>
          <w:szCs w:val="20"/>
          <w:color w:val="auto"/>
        </w:rPr>
      </w:pPr>
      <w:r>
        <w:rPr>
          <w:rFonts w:ascii="Arial" w:cs="Arial" w:eastAsia="Arial" w:hAnsi="Arial"/>
          <w:sz w:val="16"/>
          <w:szCs w:val="16"/>
          <w:color w:val="auto"/>
        </w:rPr>
        <w:t>2.1.</w:t>
      </w: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Subject to this Section 2 and Section 7, if the Grantee continues to serve as a member of the Board of Directors of the Company, the RSUs shall vest in accordance with the vesting schedule set forth above. Each date on which the RSUs vest is hereinafter referred to as a “</w:t>
      </w:r>
      <w:r>
        <w:rPr>
          <w:rFonts w:ascii="Arial" w:cs="Arial" w:eastAsia="Arial" w:hAnsi="Arial"/>
          <w:sz w:val="16"/>
          <w:szCs w:val="16"/>
          <w:b w:val="1"/>
          <w:bCs w:val="1"/>
          <w:i w:val="1"/>
          <w:iCs w:val="1"/>
          <w:color w:val="auto"/>
        </w:rPr>
        <w:t>Vesting Date</w:t>
      </w:r>
      <w:r>
        <w:rPr>
          <w:rFonts w:ascii="Arial" w:cs="Arial" w:eastAsia="Arial" w:hAnsi="Arial"/>
          <w:sz w:val="16"/>
          <w:szCs w:val="16"/>
          <w:color w:val="auto"/>
        </w:rPr>
        <w:t>”. Except as otherwise provided herein, on the Vesting Date, a number of Shares equal to the number of vested RSUs shall be issued to the Grantee free and clear of all restrictions imposed by this Agreement (except those imposed by Sections 3.3 and 7 below). As soon as practicable (and no later than thirty (30) days) after the Vesting Date, the Company shall transfer such Shares to an unrestricted account in the name of the Grantee (or, if the Grantee has died, to his or her surviving spouse or, if none, to the Grantee’s estate). For purposes of this Agreement, employment with the Company or a Subsidiary of the Company or service as a member of the Board of Directors of a Subsidiary of the Company shall be considered continued service as a member of the Board of Directors of the Company.</w:t>
      </w:r>
    </w:p>
    <w:p>
      <w:pPr>
        <w:spacing w:after="0" w:line="5"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20"/>
          <w:szCs w:val="20"/>
          <w:color w:val="auto"/>
        </w:rPr>
        <w:t>2.2.</w:t>
      </w:r>
      <w:r>
        <w:rPr>
          <w:rFonts w:ascii="Arial" w:cs="Arial" w:eastAsia="Arial" w:hAnsi="Arial"/>
          <w:sz w:val="20"/>
          <w:szCs w:val="20"/>
          <w:u w:val="single" w:color="auto"/>
          <w:color w:val="auto"/>
        </w:rPr>
        <w:t>Termination of Service Due to Death or Disability</w:t>
      </w:r>
      <w:r>
        <w:rPr>
          <w:rFonts w:ascii="Arial" w:cs="Arial" w:eastAsia="Arial" w:hAnsi="Arial"/>
          <w:sz w:val="20"/>
          <w:szCs w:val="20"/>
          <w:color w:val="auto"/>
        </w:rPr>
        <w:t>. If the Grantee’s service as a member of the Board of Directors of the Company is terminated as a result of the Grantee’s death or Disability (as defined in the Plan), the unvested RSUs shall immediately vest on such Date of Termination, and a number of Shares equal to such vested RSUs shall be issued to the Grantee (or the Grantee’s surviving spouse or estate) in the manner described in Section 2.1.</w:t>
      </w:r>
    </w:p>
    <w:p>
      <w:pPr>
        <w:spacing w:after="0" w:line="3"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20"/>
          <w:szCs w:val="20"/>
          <w:color w:val="auto"/>
        </w:rPr>
        <w:t>2.3.</w:t>
      </w:r>
      <w:r>
        <w:rPr>
          <w:rFonts w:ascii="Arial" w:cs="Arial" w:eastAsia="Arial" w:hAnsi="Arial"/>
          <w:sz w:val="20"/>
          <w:szCs w:val="20"/>
          <w:u w:val="single" w:color="auto"/>
          <w:color w:val="auto"/>
        </w:rPr>
        <w:t>Termination of Service by the Company for Cause</w:t>
      </w:r>
      <w:r>
        <w:rPr>
          <w:rFonts w:ascii="Arial" w:cs="Arial" w:eastAsia="Arial" w:hAnsi="Arial"/>
          <w:sz w:val="20"/>
          <w:szCs w:val="20"/>
          <w:color w:val="auto"/>
        </w:rPr>
        <w:t>. If the Grantee’s service as a member of the Board of Directors of the Company is terminated by the Company, the Board or otherwise for Cause (as defined in the Plan), the unvested RSUs shall be forfeited immediately as of the Date of Termination.</w:t>
      </w:r>
    </w:p>
    <w:p>
      <w:pPr>
        <w:spacing w:after="0" w:line="2"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20"/>
          <w:szCs w:val="20"/>
          <w:color w:val="auto"/>
        </w:rPr>
        <w:t>2.4.</w:t>
      </w:r>
      <w:r>
        <w:rPr>
          <w:rFonts w:ascii="Arial" w:cs="Arial" w:eastAsia="Arial" w:hAnsi="Arial"/>
          <w:sz w:val="20"/>
          <w:szCs w:val="20"/>
          <w:u w:val="single" w:color="auto"/>
          <w:color w:val="auto"/>
        </w:rPr>
        <w:t>Termination of Service by the Company Following a Change in Control</w:t>
      </w:r>
      <w:r>
        <w:rPr>
          <w:rFonts w:ascii="Arial" w:cs="Arial" w:eastAsia="Arial" w:hAnsi="Arial"/>
          <w:sz w:val="20"/>
          <w:szCs w:val="20"/>
          <w:color w:val="auto"/>
        </w:rPr>
        <w:t>. If the Grantee’s service as a member of the Board of Directors of the Company is terminated by the Company, by the Board or otherwise (x) on or within 18 months after a Change in Control (as defined in the Plan) (other than for Cause or due to death or Disability) and (y) after the expiration of the Initial Restriction Period, the unvested RSUs shall immediately vest on such Date of Termination, and a number of Shares equal to the number of such vested RSUs shall be issued to the Grantee as described in Section 2.1.</w:t>
      </w:r>
    </w:p>
    <w:p>
      <w:pPr>
        <w:spacing w:after="0" w:line="4"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20"/>
          <w:szCs w:val="20"/>
          <w:color w:val="auto"/>
        </w:rPr>
        <w:t>2.5.</w:t>
      </w:r>
      <w:r>
        <w:rPr>
          <w:rFonts w:ascii="Arial" w:cs="Arial" w:eastAsia="Arial" w:hAnsi="Arial"/>
          <w:sz w:val="20"/>
          <w:szCs w:val="20"/>
          <w:u w:val="single" w:color="auto"/>
          <w:color w:val="auto"/>
        </w:rPr>
        <w:t>Termination of Service for Other Reasons</w:t>
      </w:r>
      <w:r>
        <w:rPr>
          <w:rFonts w:ascii="Arial" w:cs="Arial" w:eastAsia="Arial" w:hAnsi="Arial"/>
          <w:sz w:val="20"/>
          <w:szCs w:val="20"/>
          <w:color w:val="auto"/>
        </w:rPr>
        <w:t>. If the Grantee’s service as a member of the Board of Directors of the Company is terminated by the Company or the Grantee under circumstances other than those outlined above in Sections 2.2, 2.3 or 2.4, the unvested RSUs shall immediately be forfeited as of the Date of Termination.</w:t>
      </w:r>
    </w:p>
    <w:p>
      <w:pPr>
        <w:sectPr>
          <w:pgSz w:w="11900" w:h="16838" w:orient="portrait"/>
          <w:cols w:equalWidth="0" w:num="1">
            <w:col w:w="11240"/>
          </w:cols>
          <w:pgMar w:left="320" w:top="366" w:right="339" w:bottom="1440" w:gutter="0" w:footer="0" w:header="0"/>
        </w:sectPr>
      </w:pPr>
    </w:p>
    <w:bookmarkStart w:id="50" w:name="page51"/>
    <w:bookmarkEnd w:id="50"/>
    <w:p>
      <w:pPr>
        <w:jc w:val="both"/>
        <w:ind w:firstLine="1296"/>
        <w:spacing w:after="0" w:line="295" w:lineRule="auto"/>
        <w:rPr>
          <w:sz w:val="20"/>
          <w:szCs w:val="20"/>
          <w:color w:val="auto"/>
        </w:rPr>
      </w:pPr>
      <w:r>
        <w:rPr>
          <w:rFonts w:ascii="Arial" w:cs="Arial" w:eastAsia="Arial" w:hAnsi="Arial"/>
          <w:sz w:val="20"/>
          <w:szCs w:val="20"/>
          <w:color w:val="auto"/>
        </w:rPr>
        <w:t>2.6.</w:t>
      </w:r>
      <w:r>
        <w:rPr>
          <w:rFonts w:ascii="Arial" w:cs="Arial" w:eastAsia="Arial" w:hAnsi="Arial"/>
          <w:sz w:val="20"/>
          <w:szCs w:val="20"/>
          <w:u w:val="single" w:color="auto"/>
          <w:color w:val="auto"/>
        </w:rPr>
        <w:t>Nontransferability</w:t>
      </w:r>
      <w:r>
        <w:rPr>
          <w:rFonts w:ascii="Arial" w:cs="Arial" w:eastAsia="Arial" w:hAnsi="Arial"/>
          <w:sz w:val="20"/>
          <w:szCs w:val="20"/>
          <w:color w:val="auto"/>
        </w:rPr>
        <w:t>. The RSUs may not be sold, assigned, transferred, pledged, or otherwise encumbered prior to the date the Grantee becomes vested in the RSUs and the Shares are issued.</w:t>
      </w:r>
    </w:p>
    <w:p>
      <w:pPr>
        <w:spacing w:after="0" w:line="2" w:lineRule="exact"/>
        <w:rPr>
          <w:sz w:val="20"/>
          <w:szCs w:val="20"/>
          <w:color w:val="auto"/>
        </w:rPr>
      </w:pPr>
    </w:p>
    <w:p>
      <w:pPr>
        <w:jc w:val="both"/>
        <w:ind w:firstLine="1296"/>
        <w:spacing w:after="0" w:line="332" w:lineRule="auto"/>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Section 409A Compliance</w:t>
      </w:r>
      <w:r>
        <w:rPr>
          <w:rFonts w:ascii="Arial" w:cs="Arial" w:eastAsia="Arial" w:hAnsi="Arial"/>
          <w:sz w:val="18"/>
          <w:szCs w:val="18"/>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the Grantee upon his separation from service if the Grantee is a “key employee” of the Company (as determined by the Company in accordance with procedures established by the Company that are consistent with Section 409A) to the date which is immediately following the earlier of (i) six months after the date of the Grantee’s separation from service or (ii) the Grantee’s death, to the extent such delay is required under the provisions of Section 409A to avoid imposition of additional income and other taxes, provided that the Company and the Grantee agree to take into account any exemptions available under Section 409A. For purposes of this Agreement, termination of service shall be construed consistent with the meaning of a separation from service within the meaning of Section 409A.</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No Right to Continued Service</w:t>
      </w:r>
    </w:p>
    <w:p>
      <w:pPr>
        <w:spacing w:after="0" w:line="33" w:lineRule="exact"/>
        <w:rPr>
          <w:sz w:val="20"/>
          <w:szCs w:val="20"/>
          <w:color w:val="auto"/>
        </w:rPr>
      </w:pPr>
    </w:p>
    <w:p>
      <w:pPr>
        <w:jc w:val="both"/>
        <w:ind w:firstLine="1296"/>
        <w:spacing w:after="0" w:line="309" w:lineRule="auto"/>
        <w:rPr>
          <w:sz w:val="20"/>
          <w:szCs w:val="20"/>
          <w:color w:val="auto"/>
        </w:rPr>
      </w:pPr>
      <w:r>
        <w:rPr>
          <w:rFonts w:ascii="Arial" w:cs="Arial" w:eastAsia="Arial" w:hAnsi="Arial"/>
          <w:sz w:val="19"/>
          <w:szCs w:val="19"/>
          <w:color w:val="auto"/>
        </w:rPr>
        <w:t>Nothing in this Agreement or the Plan shall be interpreted or construed to confer upon the Grantee any right with respect to continuance of service as a member of the Board of Directors of the Company, nor shall this Agreement or the Plan interfere in any way with the right of the Company, the shareholders or others to terminate the Grantee’s service as a member of the Board of Directors of the Company at any time in accordance with applicable law and/or the governing documents of the Company.</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4. Taxes and Withholding</w:t>
      </w:r>
    </w:p>
    <w:p>
      <w:pPr>
        <w:spacing w:after="0" w:line="6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0"/>
          <w:szCs w:val="20"/>
          <w:color w:val="auto"/>
        </w:rPr>
        <w:t>The Grantee shall be responsible for all federal, state, and local income taxes payable with respect to this award of RSUs and any dividends or dividend equivalents paid on such RSUs. The Company and the Grantee agree to report the value of the RSUs in a consistent manner for federal income tax purposes.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5. The Grantee Bound by The Plan</w:t>
      </w:r>
    </w:p>
    <w:p>
      <w:pPr>
        <w:spacing w:after="0" w:line="6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20"/>
          <w:szCs w:val="20"/>
          <w:color w:val="auto"/>
        </w:rPr>
        <w:t>The Grantee hereby acknowledges receipt of a copy of the Plan and the prospectus for the Plan, and agrees to be bound by all the terms and provisions thereof.</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6. Modification of Agreement; Severability</w:t>
      </w:r>
    </w:p>
    <w:p>
      <w:pPr>
        <w:spacing w:after="0" w:line="60" w:lineRule="exact"/>
        <w:rPr>
          <w:sz w:val="20"/>
          <w:szCs w:val="20"/>
          <w:color w:val="auto"/>
        </w:rPr>
      </w:pPr>
    </w:p>
    <w:p>
      <w:pPr>
        <w:jc w:val="both"/>
        <w:ind w:firstLine="1296"/>
        <w:spacing w:after="0" w:line="345" w:lineRule="auto"/>
        <w:rPr>
          <w:sz w:val="20"/>
          <w:szCs w:val="20"/>
          <w:color w:val="auto"/>
        </w:rPr>
      </w:pPr>
      <w:r>
        <w:rPr>
          <w:rFonts w:ascii="Arial" w:cs="Arial" w:eastAsia="Arial" w:hAnsi="Arial"/>
          <w:sz w:val="18"/>
          <w:szCs w:val="18"/>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w:t>
      </w:r>
    </w:p>
    <w:p>
      <w:pPr>
        <w:sectPr>
          <w:pgSz w:w="11900" w:h="16838" w:orient="portrait"/>
          <w:cols w:equalWidth="0" w:num="1">
            <w:col w:w="11240"/>
          </w:cols>
          <w:pgMar w:left="320" w:top="366" w:right="339" w:bottom="1440" w:gutter="0" w:footer="0" w:header="0"/>
        </w:sectPr>
      </w:pPr>
    </w:p>
    <w:bookmarkStart w:id="51" w:name="page52"/>
    <w:bookmarkEnd w:id="51"/>
    <w:p>
      <w:pPr>
        <w:jc w:val="both"/>
        <w:spacing w:after="0" w:line="317" w:lineRule="auto"/>
        <w:rPr>
          <w:sz w:val="20"/>
          <w:szCs w:val="20"/>
          <w:color w:val="auto"/>
        </w:rPr>
      </w:pPr>
      <w:r>
        <w:rPr>
          <w:rFonts w:ascii="Arial" w:cs="Arial" w:eastAsia="Arial" w:hAnsi="Arial"/>
          <w:sz w:val="20"/>
          <w:szCs w:val="20"/>
          <w:color w:val="auto"/>
        </w:rPr>
        <w:t>or terminate this Agreement or may waive any terms or conditions of this Agreement but only by a written instrument executed by the parties hereto.</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7. Governing Law and Forum</w:t>
      </w:r>
    </w:p>
    <w:p>
      <w:pPr>
        <w:spacing w:after="0" w:line="6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20"/>
          <w:szCs w:val="20"/>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8. Successors in Interest</w:t>
      </w:r>
    </w:p>
    <w:p>
      <w:pPr>
        <w:spacing w:after="0" w:line="6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20"/>
          <w:szCs w:val="20"/>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9. Entire Agreement</w:t>
      </w:r>
    </w:p>
    <w:p>
      <w:pPr>
        <w:spacing w:after="0" w:line="6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20"/>
          <w:szCs w:val="20"/>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10. Resolution of Disputes</w:t>
      </w:r>
    </w:p>
    <w:p>
      <w:pPr>
        <w:spacing w:after="0" w:line="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color w:val="auto"/>
        </w:rPr>
        <w:t>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[EXECUTION PAGE FOLLOWS]</w:t>
      </w:r>
    </w:p>
    <w:p>
      <w:pPr>
        <w:sectPr>
          <w:pgSz w:w="11900" w:h="16838" w:orient="portrait"/>
          <w:cols w:equalWidth="0" w:num="1">
            <w:col w:w="11240"/>
          </w:cols>
          <w:pgMar w:left="320" w:top="366"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as of the date first above written.</w:t>
      </w:r>
    </w:p>
    <w:p>
      <w:pPr>
        <w:spacing w:after="0" w:line="3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C. Priore</w:t>
      </w:r>
    </w:p>
    <w:p>
      <w:pPr>
        <w:spacing w:after="0" w:line="33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Thomas C. Priore</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Executive Chairman and CEO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By accepting this Agreement, the Grantee hereby accepts the RSU grant subject to all its terms and provisions and agrees to be bound by the terms and provisions of this Agreement, including Section 7, and the Plan.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241" w:lineRule="exact"/>
        <w:rPr>
          <w:sz w:val="20"/>
          <w:szCs w:val="20"/>
          <w:color w:val="auto"/>
        </w:rPr>
      </w:pPr>
    </w:p>
    <w:p>
      <w:pPr>
        <w:jc w:val="both"/>
        <w:spacing w:after="0" w:line="345" w:lineRule="auto"/>
        <w:rPr>
          <w:sz w:val="20"/>
          <w:szCs w:val="20"/>
          <w:color w:val="auto"/>
        </w:rPr>
      </w:pPr>
      <w:r>
        <w:rPr>
          <w:rFonts w:ascii="Arial" w:cs="Arial" w:eastAsia="Arial" w:hAnsi="Arial"/>
          <w:sz w:val="18"/>
          <w:szCs w:val="18"/>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227"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By accepting this Agreement, the Grantee hereby consents to the holding and processing of personal data provided by him to the Company for all purposes necessary for the operation of the Plan. These include, but are not limited to:</w:t>
      </w:r>
    </w:p>
    <w:p>
      <w:pPr>
        <w:spacing w:after="0" w:line="243" w:lineRule="exact"/>
        <w:rPr>
          <w:sz w:val="20"/>
          <w:szCs w:val="20"/>
          <w:color w:val="auto"/>
        </w:rPr>
      </w:pPr>
    </w:p>
    <w:p>
      <w:pPr>
        <w:ind w:left="920" w:hanging="264"/>
        <w:spacing w:after="0"/>
        <w:tabs>
          <w:tab w:leader="none" w:pos="9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administering and maintaining Plan records;</w:t>
      </w:r>
    </w:p>
    <w:p>
      <w:pPr>
        <w:spacing w:after="0" w:line="53" w:lineRule="exact"/>
        <w:rPr>
          <w:rFonts w:ascii="Arial" w:cs="Arial" w:eastAsia="Arial" w:hAnsi="Arial"/>
          <w:sz w:val="20"/>
          <w:szCs w:val="20"/>
          <w:color w:val="auto"/>
        </w:rPr>
      </w:pPr>
    </w:p>
    <w:p>
      <w:pPr>
        <w:ind w:left="940" w:hanging="284"/>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providing information to any registrars, brokers or third party administrators of the Plan; and</w:t>
      </w:r>
    </w:p>
    <w:p>
      <w:pPr>
        <w:spacing w:after="0" w:line="53" w:lineRule="exact"/>
        <w:rPr>
          <w:rFonts w:ascii="Arial" w:cs="Arial" w:eastAsia="Arial" w:hAnsi="Arial"/>
          <w:sz w:val="20"/>
          <w:szCs w:val="20"/>
          <w:color w:val="auto"/>
        </w:rPr>
      </w:pPr>
    </w:p>
    <w:p>
      <w:pPr>
        <w:ind w:left="920" w:hanging="264"/>
        <w:spacing w:after="0"/>
        <w:tabs>
          <w:tab w:leader="none" w:pos="9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providing information to future purchasers of the Company or the business in which the Grantee works.</w:t>
      </w:r>
    </w:p>
    <w:p>
      <w:pPr>
        <w:spacing w:after="0" w:line="33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GRANTEE</w:t>
      </w:r>
    </w:p>
    <w:p>
      <w:pPr>
        <w:spacing w:after="0" w:line="3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u w:val="single" w:color="auto"/>
          <w:color w:val="auto"/>
        </w:rPr>
        <w:t>/s/ Michael Passilla</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Michael Passilla</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Date: April 1, 2020</w:t>
      </w:r>
    </w:p>
    <w:p>
      <w:pPr>
        <w:sectPr>
          <w:pgSz w:w="11900" w:h="16838" w:orient="portrait"/>
          <w:cols w:equalWidth="0" w:num="1">
            <w:col w:w="11240"/>
          </w:cols>
          <w:pgMar w:left="320" w:top="36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10.5</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PRIORITY TECHNOLOGY HOLDINGS,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EQUITY INCENTIVE PLAN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510" w:type="dxa"/>
        <w:tblCellMar>
          <w:top w:w="0" w:type="dxa"/>
          <w:left w:w="0" w:type="dxa"/>
          <w:bottom w:w="0" w:type="dxa"/>
          <w:right w:w="0" w:type="dxa"/>
        </w:tblCellMar>
      </w:tblPr>
      <w:tr>
        <w:trPr>
          <w:trHeight w:val="256"/>
        </w:trPr>
        <w:tc>
          <w:tcPr>
            <w:tcW w:w="5040" w:type="dxa"/>
            <w:vAlign w:val="bottom"/>
          </w:tcPr>
          <w:p>
            <w:pPr>
              <w:ind w:left="60"/>
              <w:spacing w:after="0"/>
              <w:rPr>
                <w:sz w:val="20"/>
                <w:szCs w:val="20"/>
                <w:color w:val="auto"/>
              </w:rPr>
            </w:pPr>
            <w:r>
              <w:rPr>
                <w:rFonts w:ascii="Arial" w:cs="Arial" w:eastAsia="Arial" w:hAnsi="Arial"/>
                <w:sz w:val="20"/>
                <w:szCs w:val="20"/>
                <w:b w:val="1"/>
                <w:bCs w:val="1"/>
                <w:color w:val="auto"/>
              </w:rPr>
              <w:t>Grantee:</w:t>
            </w:r>
          </w:p>
        </w:tc>
        <w:tc>
          <w:tcPr>
            <w:tcW w:w="5240" w:type="dxa"/>
            <w:vAlign w:val="bottom"/>
          </w:tcPr>
          <w:p>
            <w:pPr>
              <w:ind w:left="40"/>
              <w:spacing w:after="0"/>
              <w:rPr>
                <w:sz w:val="20"/>
                <w:szCs w:val="20"/>
                <w:color w:val="auto"/>
              </w:rPr>
            </w:pPr>
            <w:r>
              <w:rPr>
                <w:rFonts w:ascii="Arial" w:cs="Arial" w:eastAsia="Arial" w:hAnsi="Arial"/>
                <w:sz w:val="20"/>
                <w:szCs w:val="20"/>
                <w:color w:val="auto"/>
              </w:rPr>
              <w:t>Christina Favilla</w:t>
            </w:r>
          </w:p>
        </w:tc>
        <w:tc>
          <w:tcPr>
            <w:tcW w:w="0" w:type="dxa"/>
            <w:vAlign w:val="bottom"/>
          </w:tcPr>
          <w:p>
            <w:pPr>
              <w:spacing w:after="0"/>
              <w:rPr>
                <w:sz w:val="1"/>
                <w:szCs w:val="1"/>
                <w:color w:val="auto"/>
              </w:rPr>
            </w:pPr>
          </w:p>
        </w:tc>
      </w:tr>
      <w:tr>
        <w:trPr>
          <w:trHeight w:val="347"/>
        </w:trPr>
        <w:tc>
          <w:tcPr>
            <w:tcW w:w="504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Number of RSUs:</w:t>
            </w: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40" w:type="dxa"/>
            <w:vAlign w:val="bottom"/>
            <w:vMerge w:val="continue"/>
          </w:tcPr>
          <w:p>
            <w:pPr>
              <w:spacing w:after="0"/>
              <w:rPr>
                <w:sz w:val="20"/>
                <w:szCs w:val="20"/>
                <w:color w:val="auto"/>
              </w:rPr>
            </w:pPr>
          </w:p>
        </w:tc>
        <w:tc>
          <w:tcPr>
            <w:tcW w:w="5240" w:type="dxa"/>
            <w:vAlign w:val="bottom"/>
            <w:vMerge w:val="restart"/>
          </w:tcPr>
          <w:p>
            <w:pPr>
              <w:ind w:left="40"/>
              <w:spacing w:after="0"/>
              <w:rPr>
                <w:sz w:val="20"/>
                <w:szCs w:val="20"/>
                <w:color w:val="auto"/>
              </w:rPr>
            </w:pPr>
            <w:r>
              <w:rPr>
                <w:rFonts w:ascii="Arial" w:cs="Arial" w:eastAsia="Arial" w:hAnsi="Arial"/>
                <w:sz w:val="20"/>
                <w:szCs w:val="20"/>
                <w:color w:val="auto"/>
              </w:rPr>
              <w:t>53,192 RSUs</w:t>
            </w:r>
          </w:p>
        </w:tc>
        <w:tc>
          <w:tcPr>
            <w:tcW w:w="0" w:type="dxa"/>
            <w:vAlign w:val="bottom"/>
          </w:tcPr>
          <w:p>
            <w:pPr>
              <w:spacing w:after="0"/>
              <w:rPr>
                <w:sz w:val="1"/>
                <w:szCs w:val="1"/>
                <w:color w:val="auto"/>
              </w:rPr>
            </w:pPr>
          </w:p>
        </w:tc>
      </w:tr>
      <w:tr>
        <w:trPr>
          <w:trHeight w:val="310"/>
        </w:trPr>
        <w:tc>
          <w:tcPr>
            <w:tcW w:w="504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04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Date of Grant:</w:t>
            </w:r>
          </w:p>
        </w:tc>
        <w:tc>
          <w:tcPr>
            <w:tcW w:w="5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vMerge w:val="continue"/>
          </w:tcPr>
          <w:p>
            <w:pPr>
              <w:spacing w:after="0"/>
              <w:rPr>
                <w:sz w:val="22"/>
                <w:szCs w:val="22"/>
                <w:color w:val="auto"/>
              </w:rPr>
            </w:pPr>
          </w:p>
        </w:tc>
        <w:tc>
          <w:tcPr>
            <w:tcW w:w="5240" w:type="dxa"/>
            <w:vAlign w:val="bottom"/>
          </w:tcPr>
          <w:p>
            <w:pPr>
              <w:ind w:left="40"/>
              <w:spacing w:after="0"/>
              <w:rPr>
                <w:sz w:val="20"/>
                <w:szCs w:val="20"/>
                <w:color w:val="auto"/>
              </w:rPr>
            </w:pPr>
            <w:r>
              <w:rPr>
                <w:rFonts w:ascii="Arial" w:cs="Arial" w:eastAsia="Arial" w:hAnsi="Arial"/>
                <w:sz w:val="20"/>
                <w:szCs w:val="20"/>
                <w:color w:val="auto"/>
              </w:rPr>
              <w:t>April 1, 2020</w:t>
            </w:r>
          </w:p>
        </w:tc>
        <w:tc>
          <w:tcPr>
            <w:tcW w:w="0" w:type="dxa"/>
            <w:vAlign w:val="bottom"/>
          </w:tcPr>
          <w:p>
            <w:pPr>
              <w:spacing w:after="0"/>
              <w:rPr>
                <w:sz w:val="1"/>
                <w:szCs w:val="1"/>
                <w:color w:val="auto"/>
              </w:rPr>
            </w:pPr>
          </w:p>
        </w:tc>
      </w:tr>
      <w:tr>
        <w:trPr>
          <w:trHeight w:val="347"/>
        </w:trPr>
        <w:tc>
          <w:tcPr>
            <w:tcW w:w="504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Vesting Schedule:</w:t>
            </w: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40" w:type="dxa"/>
            <w:vAlign w:val="bottom"/>
            <w:vMerge w:val="continue"/>
          </w:tcPr>
          <w:p>
            <w:pPr>
              <w:spacing w:after="0"/>
              <w:rPr>
                <w:sz w:val="20"/>
                <w:szCs w:val="20"/>
                <w:color w:val="auto"/>
              </w:rPr>
            </w:pP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504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tcBorders>
              <w:left w:val="single" w:sz="8" w:color="auto"/>
              <w:right w:val="single" w:sz="8" w:color="auto"/>
            </w:tcBorders>
          </w:tcPr>
          <w:p>
            <w:pPr>
              <w:ind w:left="2000"/>
              <w:spacing w:after="0"/>
              <w:rPr>
                <w:sz w:val="20"/>
                <w:szCs w:val="20"/>
                <w:color w:val="auto"/>
              </w:rPr>
            </w:pPr>
            <w:r>
              <w:rPr>
                <w:rFonts w:ascii="Arial" w:cs="Arial" w:eastAsia="Arial" w:hAnsi="Arial"/>
                <w:sz w:val="20"/>
                <w:szCs w:val="20"/>
                <w:b w:val="1"/>
                <w:bCs w:val="1"/>
                <w:color w:val="auto"/>
              </w:rPr>
              <w:t>Vesting Date</w:t>
            </w:r>
          </w:p>
        </w:tc>
        <w:tc>
          <w:tcPr>
            <w:tcW w:w="5240" w:type="dxa"/>
            <w:vAlign w:val="bottom"/>
            <w:tcBorders>
              <w:right w:val="single" w:sz="8" w:color="auto"/>
            </w:tcBorders>
          </w:tcPr>
          <w:p>
            <w:pPr>
              <w:ind w:left="1900"/>
              <w:spacing w:after="0"/>
              <w:rPr>
                <w:sz w:val="20"/>
                <w:szCs w:val="20"/>
                <w:color w:val="auto"/>
              </w:rPr>
            </w:pPr>
            <w:r>
              <w:rPr>
                <w:rFonts w:ascii="Arial" w:cs="Arial" w:eastAsia="Arial" w:hAnsi="Arial"/>
                <w:sz w:val="20"/>
                <w:szCs w:val="20"/>
                <w:b w:val="1"/>
                <w:bCs w:val="1"/>
                <w:color w:val="auto"/>
              </w:rPr>
              <w:t>Vesting Quantity</w:t>
            </w:r>
          </w:p>
        </w:tc>
        <w:tc>
          <w:tcPr>
            <w:tcW w:w="0" w:type="dxa"/>
            <w:vAlign w:val="bottom"/>
          </w:tcPr>
          <w:p>
            <w:pPr>
              <w:spacing w:after="0"/>
              <w:rPr>
                <w:sz w:val="1"/>
                <w:szCs w:val="1"/>
                <w:color w:val="auto"/>
              </w:rPr>
            </w:pPr>
          </w:p>
        </w:tc>
      </w:tr>
      <w:tr>
        <w:trPr>
          <w:trHeight w:val="50"/>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April 1, 2020</w:t>
            </w: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5040" w:type="dxa"/>
            <w:vAlign w:val="bottom"/>
            <w:tcBorders>
              <w:left w:val="single" w:sz="8" w:color="auto"/>
              <w:right w:val="single" w:sz="8" w:color="auto"/>
            </w:tcBorders>
          </w:tcPr>
          <w:p>
            <w:pPr>
              <w:spacing w:after="0"/>
              <w:rPr>
                <w:sz w:val="24"/>
                <w:szCs w:val="24"/>
                <w:color w:val="auto"/>
              </w:rPr>
            </w:pP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4"/>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5"/>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July 1, 2020</w:t>
            </w: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040" w:type="dxa"/>
            <w:vAlign w:val="bottom"/>
            <w:tcBorders>
              <w:left w:val="single" w:sz="8" w:color="auto"/>
              <w:right w:val="single" w:sz="8" w:color="auto"/>
            </w:tcBorders>
          </w:tcPr>
          <w:p>
            <w:pPr>
              <w:spacing w:after="0"/>
              <w:rPr>
                <w:sz w:val="24"/>
                <w:szCs w:val="24"/>
                <w:color w:val="auto"/>
              </w:rPr>
            </w:pP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4"/>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October 1, 2020</w:t>
            </w: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0"/>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January 1, 2021</w:t>
            </w: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0"/>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04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the 1</w:t>
      </w:r>
      <w:r>
        <w:rPr>
          <w:rFonts w:ascii="Arial" w:cs="Arial" w:eastAsia="Arial" w:hAnsi="Arial"/>
          <w:sz w:val="24"/>
          <w:szCs w:val="24"/>
          <w:color w:val="auto"/>
          <w:vertAlign w:val="superscript"/>
        </w:rPr>
        <w:t>st</w:t>
      </w:r>
      <w:r>
        <w:rPr>
          <w:rFonts w:ascii="Arial" w:cs="Arial" w:eastAsia="Arial" w:hAnsi="Arial"/>
          <w:sz w:val="19"/>
          <w:szCs w:val="19"/>
          <w:b w:val="1"/>
          <w:bCs w:val="1"/>
          <w:color w:val="auto"/>
        </w:rPr>
        <w:t xml:space="preserve"> </w:t>
      </w:r>
      <w:r>
        <w:rPr>
          <w:rFonts w:ascii="Arial" w:cs="Arial" w:eastAsia="Arial" w:hAnsi="Arial"/>
          <w:sz w:val="19"/>
          <w:szCs w:val="19"/>
          <w:color w:val="auto"/>
        </w:rPr>
        <w:t>day of April, 2020, by and between</w:t>
      </w:r>
      <w:r>
        <w:rPr>
          <w:rFonts w:ascii="Arial" w:cs="Arial" w:eastAsia="Arial" w:hAnsi="Arial"/>
          <w:sz w:val="19"/>
          <w:szCs w:val="19"/>
          <w:b w:val="1"/>
          <w:bCs w:val="1"/>
          <w:color w:val="auto"/>
        </w:rPr>
        <w:t xml:space="preserve"> PRIORITY TECHNOLOGY HOLDINGS, INC..</w:t>
      </w:r>
      <w:r>
        <w:rPr>
          <w:rFonts w:ascii="Arial" w:cs="Arial" w:eastAsia="Arial" w:hAnsi="Arial"/>
          <w:sz w:val="19"/>
          <w:szCs w:val="19"/>
          <w:color w:val="auto"/>
        </w:rPr>
        <w:t>,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the individual designated above (the “</w:t>
      </w:r>
      <w:r>
        <w:rPr>
          <w:rFonts w:ascii="Arial" w:cs="Arial" w:eastAsia="Arial" w:hAnsi="Arial"/>
          <w:sz w:val="19"/>
          <w:szCs w:val="19"/>
          <w:b w:val="1"/>
          <w:bCs w:val="1"/>
          <w:i w:val="1"/>
          <w:iCs w:val="1"/>
          <w:color w:val="auto"/>
        </w:rPr>
        <w:t>Grantee</w:t>
      </w:r>
      <w:r>
        <w:rPr>
          <w:rFonts w:ascii="Arial" w:cs="Arial" w:eastAsia="Arial" w:hAnsi="Arial"/>
          <w:sz w:val="19"/>
          <w:szCs w:val="19"/>
          <w:color w:val="auto"/>
        </w:rPr>
        <w:t>”).</w:t>
      </w:r>
    </w:p>
    <w:p>
      <w:pPr>
        <w:jc w:val="both"/>
        <w:ind w:firstLine="648"/>
        <w:spacing w:after="0" w:line="30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maintains the Priority Technology Holdings, Inc.. 2018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has been selected by the Committee to receive a Restricted Stock Unit Award under the Plan in connection with Grantee’s service as a member of the Board of Directors of the Company;</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 IT IS AGREED</w:t>
      </w:r>
      <w:r>
        <w:rPr>
          <w:rFonts w:ascii="Arial" w:cs="Arial" w:eastAsia="Arial" w:hAnsi="Arial"/>
          <w:sz w:val="20"/>
          <w:szCs w:val="20"/>
          <w:color w:val="auto"/>
        </w:rPr>
        <w:t>, by and between the Company and the Grantee, as follows: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 Award of Restricted Stock Units</w:t>
      </w:r>
    </w:p>
    <w:p>
      <w:pPr>
        <w:spacing w:after="0" w:line="60"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20"/>
          <w:szCs w:val="20"/>
          <w:color w:val="auto"/>
        </w:rPr>
        <w:t>1.1.</w:t>
      </w: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the Grantee an award of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20"/>
          <w:szCs w:val="20"/>
          <w:b w:val="1"/>
          <w:bCs w:val="1"/>
          <w:i w:val="1"/>
          <w:iCs w:val="1"/>
          <w:color w:val="auto"/>
        </w:rPr>
        <w:t>Date of Grant</w:t>
      </w:r>
      <w:r>
        <w:rPr>
          <w:rFonts w:ascii="Arial" w:cs="Arial" w:eastAsia="Arial" w:hAnsi="Arial"/>
          <w:sz w:val="20"/>
          <w:szCs w:val="20"/>
          <w:color w:val="auto"/>
        </w:rPr>
        <w:t>”).</w:t>
      </w:r>
    </w:p>
    <w:p>
      <w:pPr>
        <w:sectPr>
          <w:pgSz w:w="11900" w:h="16838" w:orient="portrait"/>
          <w:cols w:equalWidth="0" w:num="1">
            <w:col w:w="11240"/>
          </w:cols>
          <w:pgMar w:left="320" w:top="341" w:right="339" w:bottom="1440" w:gutter="0" w:footer="0" w:header="0"/>
        </w:sectPr>
      </w:pPr>
    </w:p>
    <w:bookmarkStart w:id="54" w:name="page55"/>
    <w:bookmarkEnd w:id="54"/>
    <w:p>
      <w:pPr>
        <w:jc w:val="both"/>
        <w:ind w:firstLine="1296"/>
        <w:spacing w:after="0" w:line="295" w:lineRule="auto"/>
        <w:rPr>
          <w:sz w:val="20"/>
          <w:szCs w:val="20"/>
          <w:color w:val="auto"/>
        </w:rPr>
      </w:pPr>
      <w:r>
        <w:rPr>
          <w:rFonts w:ascii="Arial" w:cs="Arial" w:eastAsia="Arial" w:hAnsi="Arial"/>
          <w:sz w:val="20"/>
          <w:szCs w:val="20"/>
          <w:color w:val="auto"/>
        </w:rPr>
        <w:t>1.2.</w:t>
      </w:r>
      <w:r>
        <w:rPr>
          <w:rFonts w:ascii="Arial" w:cs="Arial" w:eastAsia="Arial" w:hAnsi="Arial"/>
          <w:sz w:val="20"/>
          <w:szCs w:val="20"/>
          <w:u w:val="single" w:color="auto"/>
          <w:color w:val="auto"/>
        </w:rPr>
        <w:t>Construction</w:t>
      </w:r>
      <w:r>
        <w:rPr>
          <w:rFonts w:ascii="Arial" w:cs="Arial" w:eastAsia="Arial" w:hAnsi="Arial"/>
          <w:sz w:val="20"/>
          <w:szCs w:val="20"/>
          <w:color w:val="auto"/>
        </w:rPr>
        <w:t>. This Agreement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2"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20"/>
          <w:szCs w:val="20"/>
          <w:color w:val="auto"/>
        </w:rPr>
        <w:t>1.3.</w:t>
      </w:r>
      <w:r>
        <w:rPr>
          <w:rFonts w:ascii="Arial" w:cs="Arial" w:eastAsia="Arial" w:hAnsi="Arial"/>
          <w:sz w:val="20"/>
          <w:szCs w:val="20"/>
          <w:u w:val="single" w:color="auto"/>
          <w:color w:val="auto"/>
        </w:rPr>
        <w:t>Execution of the Agreement</w:t>
      </w:r>
      <w:r>
        <w:rPr>
          <w:rFonts w:ascii="Arial" w:cs="Arial" w:eastAsia="Arial" w:hAnsi="Arial"/>
          <w:sz w:val="20"/>
          <w:szCs w:val="20"/>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seven days of the Date of Grant, it may be canceled by the Committee resulting in the immediate forfeiture of all RSUs granted hereunder.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 Vesting and Termination of Service</w:t>
      </w:r>
    </w:p>
    <w:p>
      <w:pPr>
        <w:spacing w:after="0" w:line="60" w:lineRule="exact"/>
        <w:rPr>
          <w:sz w:val="20"/>
          <w:szCs w:val="20"/>
          <w:color w:val="auto"/>
        </w:rPr>
      </w:pPr>
    </w:p>
    <w:p>
      <w:pPr>
        <w:jc w:val="both"/>
        <w:ind w:firstLine="1296"/>
        <w:spacing w:after="0" w:line="369" w:lineRule="auto"/>
        <w:rPr>
          <w:sz w:val="20"/>
          <w:szCs w:val="20"/>
          <w:color w:val="auto"/>
        </w:rPr>
      </w:pPr>
      <w:r>
        <w:rPr>
          <w:rFonts w:ascii="Arial" w:cs="Arial" w:eastAsia="Arial" w:hAnsi="Arial"/>
          <w:sz w:val="16"/>
          <w:szCs w:val="16"/>
          <w:color w:val="auto"/>
        </w:rPr>
        <w:t>2.1.</w:t>
      </w: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Subject to this Section 2 and Section 7, if the Grantee continues to serve as a member of the Board of Directors of the Company, the RSUs shall vest in accordance with the vesting schedule set forth above. Each date on which the RSUs vest is hereinafter referred to as a “</w:t>
      </w:r>
      <w:r>
        <w:rPr>
          <w:rFonts w:ascii="Arial" w:cs="Arial" w:eastAsia="Arial" w:hAnsi="Arial"/>
          <w:sz w:val="16"/>
          <w:szCs w:val="16"/>
          <w:b w:val="1"/>
          <w:bCs w:val="1"/>
          <w:i w:val="1"/>
          <w:iCs w:val="1"/>
          <w:color w:val="auto"/>
        </w:rPr>
        <w:t>Vesting Date</w:t>
      </w:r>
      <w:r>
        <w:rPr>
          <w:rFonts w:ascii="Arial" w:cs="Arial" w:eastAsia="Arial" w:hAnsi="Arial"/>
          <w:sz w:val="16"/>
          <w:szCs w:val="16"/>
          <w:color w:val="auto"/>
        </w:rPr>
        <w:t>”. Except as otherwise provided herein, on the Vesting Date, a number of Shares equal to the number of vested RSUs shall be issued to the Grantee free and clear of all restrictions imposed by this Agreement (except those imposed by Sections 3.3 and 7 below). As soon as practicable (and no later than thirty (30) days) after the Vesting Date, the Company shall transfer such Shares to an unrestricted account in the name of the Grantee (or, if the Grantee has died, to his or her surviving spouse or, if none, to the Grantee’s estate). For purposes of this Agreement, employment with the Company or a Subsidiary of the Company or service as a member of the Board of Directors of a Subsidiary of the Company shall be considered continued service as a member of the Board of Directors of the Company.</w:t>
      </w:r>
    </w:p>
    <w:p>
      <w:pPr>
        <w:spacing w:after="0" w:line="5"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20"/>
          <w:szCs w:val="20"/>
          <w:color w:val="auto"/>
        </w:rPr>
        <w:t>2.2.</w:t>
      </w:r>
      <w:r>
        <w:rPr>
          <w:rFonts w:ascii="Arial" w:cs="Arial" w:eastAsia="Arial" w:hAnsi="Arial"/>
          <w:sz w:val="20"/>
          <w:szCs w:val="20"/>
          <w:u w:val="single" w:color="auto"/>
          <w:color w:val="auto"/>
        </w:rPr>
        <w:t>Termination of Service Due to Death or Disability</w:t>
      </w:r>
      <w:r>
        <w:rPr>
          <w:rFonts w:ascii="Arial" w:cs="Arial" w:eastAsia="Arial" w:hAnsi="Arial"/>
          <w:sz w:val="20"/>
          <w:szCs w:val="20"/>
          <w:color w:val="auto"/>
        </w:rPr>
        <w:t>. If the Grantee’s service as a member of the Board of Directors of the Company is terminated as a result of the Grantee’s death or Disability (as defined in the Plan), the unvested RSUs shall immediately vest on such Date of Termination, and a number of Shares equal to such vested RSUs shall be issued to the Grantee (or the Grantee’s surviving spouse or estate) in the manner described in Section 2.1.</w:t>
      </w:r>
    </w:p>
    <w:p>
      <w:pPr>
        <w:spacing w:after="0" w:line="3"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20"/>
          <w:szCs w:val="20"/>
          <w:color w:val="auto"/>
        </w:rPr>
        <w:t>2.3.</w:t>
      </w:r>
      <w:r>
        <w:rPr>
          <w:rFonts w:ascii="Arial" w:cs="Arial" w:eastAsia="Arial" w:hAnsi="Arial"/>
          <w:sz w:val="20"/>
          <w:szCs w:val="20"/>
          <w:u w:val="single" w:color="auto"/>
          <w:color w:val="auto"/>
        </w:rPr>
        <w:t>Termination of Service by the Company for Cause</w:t>
      </w:r>
      <w:r>
        <w:rPr>
          <w:rFonts w:ascii="Arial" w:cs="Arial" w:eastAsia="Arial" w:hAnsi="Arial"/>
          <w:sz w:val="20"/>
          <w:szCs w:val="20"/>
          <w:color w:val="auto"/>
        </w:rPr>
        <w:t>. If the Grantee’s service as a member of the Board of Directors of the Company is terminated by the Company, the Board or otherwise for Cause (as defined in the Plan), the unvested RSUs shall be forfeited immediately as of the Date of Termination.</w:t>
      </w:r>
    </w:p>
    <w:p>
      <w:pPr>
        <w:spacing w:after="0" w:line="2"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20"/>
          <w:szCs w:val="20"/>
          <w:color w:val="auto"/>
        </w:rPr>
        <w:t>2.4.</w:t>
      </w:r>
      <w:r>
        <w:rPr>
          <w:rFonts w:ascii="Arial" w:cs="Arial" w:eastAsia="Arial" w:hAnsi="Arial"/>
          <w:sz w:val="20"/>
          <w:szCs w:val="20"/>
          <w:u w:val="single" w:color="auto"/>
          <w:color w:val="auto"/>
        </w:rPr>
        <w:t>Termination of Service by the Company Following a Change in Control</w:t>
      </w:r>
      <w:r>
        <w:rPr>
          <w:rFonts w:ascii="Arial" w:cs="Arial" w:eastAsia="Arial" w:hAnsi="Arial"/>
          <w:sz w:val="20"/>
          <w:szCs w:val="20"/>
          <w:color w:val="auto"/>
        </w:rPr>
        <w:t>. If the Grantee’s service as a member of the Board of Directors of the Company is terminated by the Company, by the Board or otherwise (x) on or within 18 months after a Change in Control (as defined in the Plan) (other than for Cause or due to death or Disability) and (y) after the expiration of the Initial Restriction Period, the unvested RSUs shall immediately vest on such Date of Termination, and a number of Shares equal to the number of such vested RSUs shall be issued to the Grantee as described in Section 2.1.</w:t>
      </w:r>
    </w:p>
    <w:p>
      <w:pPr>
        <w:spacing w:after="0" w:line="4"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20"/>
          <w:szCs w:val="20"/>
          <w:color w:val="auto"/>
        </w:rPr>
        <w:t>2.5.</w:t>
      </w:r>
      <w:r>
        <w:rPr>
          <w:rFonts w:ascii="Arial" w:cs="Arial" w:eastAsia="Arial" w:hAnsi="Arial"/>
          <w:sz w:val="20"/>
          <w:szCs w:val="20"/>
          <w:u w:val="single" w:color="auto"/>
          <w:color w:val="auto"/>
        </w:rPr>
        <w:t>Termination of Service for Other Reasons</w:t>
      </w:r>
      <w:r>
        <w:rPr>
          <w:rFonts w:ascii="Arial" w:cs="Arial" w:eastAsia="Arial" w:hAnsi="Arial"/>
          <w:sz w:val="20"/>
          <w:szCs w:val="20"/>
          <w:color w:val="auto"/>
        </w:rPr>
        <w:t>. If the Grantee’s service as a member of the Board of Directors of the Company is terminated by the Company or the Grantee under circumstances other than those outlined above in Sections 2.2, 2.3 or 2.4, the unvested RSUs shall immediately be forfeited as of the Date of Termination.</w:t>
      </w:r>
    </w:p>
    <w:p>
      <w:pPr>
        <w:sectPr>
          <w:pgSz w:w="11900" w:h="16838" w:orient="portrait"/>
          <w:cols w:equalWidth="0" w:num="1">
            <w:col w:w="11240"/>
          </w:cols>
          <w:pgMar w:left="320" w:top="366" w:right="339" w:bottom="1440" w:gutter="0" w:footer="0" w:header="0"/>
        </w:sectPr>
      </w:pPr>
    </w:p>
    <w:bookmarkStart w:id="55" w:name="page56"/>
    <w:bookmarkEnd w:id="55"/>
    <w:p>
      <w:pPr>
        <w:jc w:val="both"/>
        <w:ind w:firstLine="1296"/>
        <w:spacing w:after="0" w:line="295" w:lineRule="auto"/>
        <w:rPr>
          <w:sz w:val="20"/>
          <w:szCs w:val="20"/>
          <w:color w:val="auto"/>
        </w:rPr>
      </w:pPr>
      <w:r>
        <w:rPr>
          <w:rFonts w:ascii="Arial" w:cs="Arial" w:eastAsia="Arial" w:hAnsi="Arial"/>
          <w:sz w:val="20"/>
          <w:szCs w:val="20"/>
          <w:color w:val="auto"/>
        </w:rPr>
        <w:t>2.6.</w:t>
      </w:r>
      <w:r>
        <w:rPr>
          <w:rFonts w:ascii="Arial" w:cs="Arial" w:eastAsia="Arial" w:hAnsi="Arial"/>
          <w:sz w:val="20"/>
          <w:szCs w:val="20"/>
          <w:u w:val="single" w:color="auto"/>
          <w:color w:val="auto"/>
        </w:rPr>
        <w:t>Nontransferability</w:t>
      </w:r>
      <w:r>
        <w:rPr>
          <w:rFonts w:ascii="Arial" w:cs="Arial" w:eastAsia="Arial" w:hAnsi="Arial"/>
          <w:sz w:val="20"/>
          <w:szCs w:val="20"/>
          <w:color w:val="auto"/>
        </w:rPr>
        <w:t>. The RSUs may not be sold, assigned, transferred, pledged, or otherwise encumbered prior to the date the Grantee becomes vested in the RSUs and the Shares are issued.</w:t>
      </w:r>
    </w:p>
    <w:p>
      <w:pPr>
        <w:spacing w:after="0" w:line="2" w:lineRule="exact"/>
        <w:rPr>
          <w:sz w:val="20"/>
          <w:szCs w:val="20"/>
          <w:color w:val="auto"/>
        </w:rPr>
      </w:pPr>
    </w:p>
    <w:p>
      <w:pPr>
        <w:jc w:val="both"/>
        <w:ind w:firstLine="1296"/>
        <w:spacing w:after="0" w:line="332" w:lineRule="auto"/>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Section 409A Compliance</w:t>
      </w:r>
      <w:r>
        <w:rPr>
          <w:rFonts w:ascii="Arial" w:cs="Arial" w:eastAsia="Arial" w:hAnsi="Arial"/>
          <w:sz w:val="18"/>
          <w:szCs w:val="18"/>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the Grantee upon his separation from service if the Grantee is a “key employee” of the Company (as determined by the Company in accordance with procedures established by the Company that are consistent with Section 409A) to the date which is immediately following the earlier of (i) six months after the date of the Grantee’s separation from service or (ii) the Grantee’s death, to the extent such delay is required under the provisions of Section 409A to avoid imposition of additional income and other taxes, provided that the Company and the Grantee agree to take into account any exemptions available under Section 409A. For purposes of this Agreement, termination of service shall be construed consistent with the meaning of a separation from service within the meaning of Section 409A.</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No Right to Continued Service</w:t>
      </w:r>
    </w:p>
    <w:p>
      <w:pPr>
        <w:spacing w:after="0" w:line="33" w:lineRule="exact"/>
        <w:rPr>
          <w:sz w:val="20"/>
          <w:szCs w:val="20"/>
          <w:color w:val="auto"/>
        </w:rPr>
      </w:pPr>
    </w:p>
    <w:p>
      <w:pPr>
        <w:jc w:val="both"/>
        <w:ind w:firstLine="1296"/>
        <w:spacing w:after="0" w:line="309" w:lineRule="auto"/>
        <w:rPr>
          <w:sz w:val="20"/>
          <w:szCs w:val="20"/>
          <w:color w:val="auto"/>
        </w:rPr>
      </w:pPr>
      <w:r>
        <w:rPr>
          <w:rFonts w:ascii="Arial" w:cs="Arial" w:eastAsia="Arial" w:hAnsi="Arial"/>
          <w:sz w:val="19"/>
          <w:szCs w:val="19"/>
          <w:color w:val="auto"/>
        </w:rPr>
        <w:t>Nothing in this Agreement or the Plan shall be interpreted or construed to confer upon the Grantee any right with respect to continuance of service as a member of the Board of Directors of the Company, nor shall this Agreement or the Plan interfere in any way with the right of the Company, the shareholders or others to terminate the Grantee’s service as a member of the Board of Directors of the Company at any time in accordance with applicable law and/or the governing documents of the Company.</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4. Taxes and Withholding</w:t>
      </w:r>
    </w:p>
    <w:p>
      <w:pPr>
        <w:spacing w:after="0" w:line="6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0"/>
          <w:szCs w:val="20"/>
          <w:color w:val="auto"/>
        </w:rPr>
        <w:t>The Grantee shall be responsible for all federal, state, and local income taxes payable with respect to this award of RSUs and any dividends or dividend equivalents paid on such RSUs. The Company and the Grantee agree to report the value of the RSUs in a consistent manner for federal income tax purposes.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5. The Grantee Bound by The Plan</w:t>
      </w:r>
    </w:p>
    <w:p>
      <w:pPr>
        <w:spacing w:after="0" w:line="6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20"/>
          <w:szCs w:val="20"/>
          <w:color w:val="auto"/>
        </w:rPr>
        <w:t>The Grantee hereby acknowledges receipt of a copy of the Plan and the prospectus for the Plan, and agrees to be bound by all the terms and provisions thereof.</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6. Modification of Agreement; Severability</w:t>
      </w:r>
    </w:p>
    <w:p>
      <w:pPr>
        <w:spacing w:after="0" w:line="60" w:lineRule="exact"/>
        <w:rPr>
          <w:sz w:val="20"/>
          <w:szCs w:val="20"/>
          <w:color w:val="auto"/>
        </w:rPr>
      </w:pPr>
    </w:p>
    <w:p>
      <w:pPr>
        <w:jc w:val="both"/>
        <w:ind w:firstLine="1296"/>
        <w:spacing w:after="0" w:line="345" w:lineRule="auto"/>
        <w:rPr>
          <w:sz w:val="20"/>
          <w:szCs w:val="20"/>
          <w:color w:val="auto"/>
        </w:rPr>
      </w:pPr>
      <w:r>
        <w:rPr>
          <w:rFonts w:ascii="Arial" w:cs="Arial" w:eastAsia="Arial" w:hAnsi="Arial"/>
          <w:sz w:val="18"/>
          <w:szCs w:val="18"/>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w:t>
      </w:r>
    </w:p>
    <w:p>
      <w:pPr>
        <w:sectPr>
          <w:pgSz w:w="11900" w:h="16838" w:orient="portrait"/>
          <w:cols w:equalWidth="0" w:num="1">
            <w:col w:w="11240"/>
          </w:cols>
          <w:pgMar w:left="320" w:top="366" w:right="339" w:bottom="1440" w:gutter="0" w:footer="0" w:header="0"/>
        </w:sectPr>
      </w:pPr>
    </w:p>
    <w:bookmarkStart w:id="56" w:name="page57"/>
    <w:bookmarkEnd w:id="56"/>
    <w:p>
      <w:pPr>
        <w:jc w:val="both"/>
        <w:spacing w:after="0" w:line="317" w:lineRule="auto"/>
        <w:rPr>
          <w:sz w:val="20"/>
          <w:szCs w:val="20"/>
          <w:color w:val="auto"/>
        </w:rPr>
      </w:pPr>
      <w:r>
        <w:rPr>
          <w:rFonts w:ascii="Arial" w:cs="Arial" w:eastAsia="Arial" w:hAnsi="Arial"/>
          <w:sz w:val="20"/>
          <w:szCs w:val="20"/>
          <w:color w:val="auto"/>
        </w:rPr>
        <w:t>or terminate this Agreement or may waive any terms or conditions of this Agreement but only by a written instrument executed by the parties hereto.</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7. Governing Law and Forum</w:t>
      </w:r>
    </w:p>
    <w:p>
      <w:pPr>
        <w:spacing w:after="0" w:line="6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20"/>
          <w:szCs w:val="20"/>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8. Successors in Interest</w:t>
      </w:r>
    </w:p>
    <w:p>
      <w:pPr>
        <w:spacing w:after="0" w:line="6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20"/>
          <w:szCs w:val="20"/>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9. Entire Agreement</w:t>
      </w:r>
    </w:p>
    <w:p>
      <w:pPr>
        <w:spacing w:after="0" w:line="6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20"/>
          <w:szCs w:val="20"/>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10. Resolution of Disputes</w:t>
      </w:r>
    </w:p>
    <w:p>
      <w:pPr>
        <w:spacing w:after="0" w:line="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color w:val="auto"/>
        </w:rPr>
        <w:t>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[EXECUTION PAGE FOLLOWS]</w:t>
      </w:r>
    </w:p>
    <w:p>
      <w:pPr>
        <w:sectPr>
          <w:pgSz w:w="11900" w:h="16838" w:orient="portrait"/>
          <w:cols w:equalWidth="0" w:num="1">
            <w:col w:w="11240"/>
          </w:cols>
          <w:pgMar w:left="320" w:top="366"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as of the date first above written.</w:t>
      </w:r>
    </w:p>
    <w:p>
      <w:pPr>
        <w:spacing w:after="0" w:line="3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C. Priore</w:t>
      </w:r>
    </w:p>
    <w:p>
      <w:pPr>
        <w:spacing w:after="0" w:line="33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Thomas C. Priore</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Executive Chairman and CEO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By accepting this Agreement, the Grantee hereby accepts the RSU grant subject to all its terms and provisions and agrees to be bound by the terms and provisions of this Agreement, including Section 7, and the Plan.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241" w:lineRule="exact"/>
        <w:rPr>
          <w:sz w:val="20"/>
          <w:szCs w:val="20"/>
          <w:color w:val="auto"/>
        </w:rPr>
      </w:pPr>
    </w:p>
    <w:p>
      <w:pPr>
        <w:jc w:val="both"/>
        <w:spacing w:after="0" w:line="345" w:lineRule="auto"/>
        <w:rPr>
          <w:sz w:val="20"/>
          <w:szCs w:val="20"/>
          <w:color w:val="auto"/>
        </w:rPr>
      </w:pPr>
      <w:r>
        <w:rPr>
          <w:rFonts w:ascii="Arial" w:cs="Arial" w:eastAsia="Arial" w:hAnsi="Arial"/>
          <w:sz w:val="18"/>
          <w:szCs w:val="18"/>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227"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By accepting this Agreement, the Grantee hereby consents to the holding and processing of personal data provided by him to the Company for all purposes necessary for the operation of the Plan. These include, but are not limited to:</w:t>
      </w:r>
    </w:p>
    <w:p>
      <w:pPr>
        <w:spacing w:after="0" w:line="243"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administering and maintaining Plan records;</w:t>
      </w:r>
    </w:p>
    <w:p>
      <w:pPr>
        <w:spacing w:after="0" w:line="53" w:lineRule="exact"/>
        <w:rPr>
          <w:rFonts w:ascii="Arial" w:cs="Arial" w:eastAsia="Arial" w:hAnsi="Arial"/>
          <w:sz w:val="20"/>
          <w:szCs w:val="20"/>
          <w:color w:val="auto"/>
        </w:rPr>
      </w:pPr>
    </w:p>
    <w:p>
      <w:pPr>
        <w:ind w:left="940" w:hanging="284"/>
        <w:spacing w:after="0"/>
        <w:tabs>
          <w:tab w:leader="none" w:pos="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providing information to any registrars, brokers or third party administrators of the Plan; and</w:t>
      </w:r>
    </w:p>
    <w:p>
      <w:pPr>
        <w:spacing w:after="0" w:line="53" w:lineRule="exact"/>
        <w:rPr>
          <w:rFonts w:ascii="Arial" w:cs="Arial" w:eastAsia="Arial" w:hAnsi="Arial"/>
          <w:sz w:val="20"/>
          <w:szCs w:val="20"/>
          <w:color w:val="auto"/>
        </w:rPr>
      </w:pPr>
    </w:p>
    <w:p>
      <w:pPr>
        <w:ind w:left="920" w:hanging="264"/>
        <w:spacing w:after="0"/>
        <w:tabs>
          <w:tab w:leader="none" w:pos="9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providing information to future purchasers of the Company or the business in which the Grantee works.</w:t>
      </w:r>
    </w:p>
    <w:p>
      <w:pPr>
        <w:spacing w:after="0" w:line="33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GRANTEE</w:t>
      </w:r>
    </w:p>
    <w:p>
      <w:pPr>
        <w:spacing w:after="0" w:line="3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u w:val="single" w:color="auto"/>
          <w:color w:val="auto"/>
        </w:rPr>
        <w:t>/s/ Christina Favilla</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Christina Favilla</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Date: April 1, 2020</w:t>
      </w:r>
    </w:p>
    <w:p>
      <w:pPr>
        <w:sectPr>
          <w:pgSz w:w="11900" w:h="16838" w:orient="portrait"/>
          <w:cols w:equalWidth="0" w:num="1">
            <w:col w:w="11240"/>
          </w:cols>
          <w:pgMar w:left="320" w:top="36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10.6</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PRIORITY TECHNOLOGY HOLDINGS,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EQUITY INCENTIVE PLAN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510" w:type="dxa"/>
        <w:tblCellMar>
          <w:top w:w="0" w:type="dxa"/>
          <w:left w:w="0" w:type="dxa"/>
          <w:bottom w:w="0" w:type="dxa"/>
          <w:right w:w="0" w:type="dxa"/>
        </w:tblCellMar>
      </w:tblPr>
      <w:tr>
        <w:trPr>
          <w:trHeight w:val="256"/>
        </w:trPr>
        <w:tc>
          <w:tcPr>
            <w:tcW w:w="5040" w:type="dxa"/>
            <w:vAlign w:val="bottom"/>
          </w:tcPr>
          <w:p>
            <w:pPr>
              <w:ind w:left="60"/>
              <w:spacing w:after="0"/>
              <w:rPr>
                <w:sz w:val="20"/>
                <w:szCs w:val="20"/>
                <w:color w:val="auto"/>
              </w:rPr>
            </w:pPr>
            <w:r>
              <w:rPr>
                <w:rFonts w:ascii="Arial" w:cs="Arial" w:eastAsia="Arial" w:hAnsi="Arial"/>
                <w:sz w:val="20"/>
                <w:szCs w:val="20"/>
                <w:b w:val="1"/>
                <w:bCs w:val="1"/>
                <w:color w:val="auto"/>
              </w:rPr>
              <w:t>Grantee:</w:t>
            </w:r>
          </w:p>
        </w:tc>
        <w:tc>
          <w:tcPr>
            <w:tcW w:w="5240" w:type="dxa"/>
            <w:vAlign w:val="bottom"/>
          </w:tcPr>
          <w:p>
            <w:pPr>
              <w:ind w:left="40"/>
              <w:spacing w:after="0"/>
              <w:rPr>
                <w:sz w:val="20"/>
                <w:szCs w:val="20"/>
                <w:color w:val="auto"/>
              </w:rPr>
            </w:pPr>
            <w:r>
              <w:rPr>
                <w:rFonts w:ascii="Arial" w:cs="Arial" w:eastAsia="Arial" w:hAnsi="Arial"/>
                <w:sz w:val="20"/>
                <w:szCs w:val="20"/>
                <w:color w:val="auto"/>
              </w:rPr>
              <w:t>William Gahan</w:t>
            </w:r>
          </w:p>
        </w:tc>
        <w:tc>
          <w:tcPr>
            <w:tcW w:w="0" w:type="dxa"/>
            <w:vAlign w:val="bottom"/>
          </w:tcPr>
          <w:p>
            <w:pPr>
              <w:spacing w:after="0"/>
              <w:rPr>
                <w:sz w:val="1"/>
                <w:szCs w:val="1"/>
                <w:color w:val="auto"/>
              </w:rPr>
            </w:pPr>
          </w:p>
        </w:tc>
      </w:tr>
      <w:tr>
        <w:trPr>
          <w:trHeight w:val="347"/>
        </w:trPr>
        <w:tc>
          <w:tcPr>
            <w:tcW w:w="504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Number of RSUs:</w:t>
            </w: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40" w:type="dxa"/>
            <w:vAlign w:val="bottom"/>
            <w:vMerge w:val="continue"/>
          </w:tcPr>
          <w:p>
            <w:pPr>
              <w:spacing w:after="0"/>
              <w:rPr>
                <w:sz w:val="20"/>
                <w:szCs w:val="20"/>
                <w:color w:val="auto"/>
              </w:rPr>
            </w:pPr>
          </w:p>
        </w:tc>
        <w:tc>
          <w:tcPr>
            <w:tcW w:w="5240" w:type="dxa"/>
            <w:vAlign w:val="bottom"/>
            <w:vMerge w:val="restart"/>
          </w:tcPr>
          <w:p>
            <w:pPr>
              <w:ind w:left="40"/>
              <w:spacing w:after="0"/>
              <w:rPr>
                <w:sz w:val="20"/>
                <w:szCs w:val="20"/>
                <w:color w:val="auto"/>
              </w:rPr>
            </w:pPr>
            <w:r>
              <w:rPr>
                <w:rFonts w:ascii="Arial" w:cs="Arial" w:eastAsia="Arial" w:hAnsi="Arial"/>
                <w:sz w:val="20"/>
                <w:szCs w:val="20"/>
                <w:color w:val="auto"/>
              </w:rPr>
              <w:t>53,192 RSUs</w:t>
            </w:r>
          </w:p>
        </w:tc>
        <w:tc>
          <w:tcPr>
            <w:tcW w:w="0" w:type="dxa"/>
            <w:vAlign w:val="bottom"/>
          </w:tcPr>
          <w:p>
            <w:pPr>
              <w:spacing w:after="0"/>
              <w:rPr>
                <w:sz w:val="1"/>
                <w:szCs w:val="1"/>
                <w:color w:val="auto"/>
              </w:rPr>
            </w:pPr>
          </w:p>
        </w:tc>
      </w:tr>
      <w:tr>
        <w:trPr>
          <w:trHeight w:val="311"/>
        </w:trPr>
        <w:tc>
          <w:tcPr>
            <w:tcW w:w="504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04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Date of Grant:</w:t>
            </w:r>
          </w:p>
        </w:tc>
        <w:tc>
          <w:tcPr>
            <w:tcW w:w="5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vMerge w:val="continue"/>
          </w:tcPr>
          <w:p>
            <w:pPr>
              <w:spacing w:after="0"/>
              <w:rPr>
                <w:sz w:val="22"/>
                <w:szCs w:val="22"/>
                <w:color w:val="auto"/>
              </w:rPr>
            </w:pPr>
          </w:p>
        </w:tc>
        <w:tc>
          <w:tcPr>
            <w:tcW w:w="5240" w:type="dxa"/>
            <w:vAlign w:val="bottom"/>
          </w:tcPr>
          <w:p>
            <w:pPr>
              <w:ind w:left="40"/>
              <w:spacing w:after="0"/>
              <w:rPr>
                <w:sz w:val="20"/>
                <w:szCs w:val="20"/>
                <w:color w:val="auto"/>
              </w:rPr>
            </w:pPr>
            <w:r>
              <w:rPr>
                <w:rFonts w:ascii="Arial" w:cs="Arial" w:eastAsia="Arial" w:hAnsi="Arial"/>
                <w:sz w:val="20"/>
                <w:szCs w:val="20"/>
                <w:color w:val="auto"/>
              </w:rPr>
              <w:t>April 1, 2020</w:t>
            </w:r>
          </w:p>
        </w:tc>
        <w:tc>
          <w:tcPr>
            <w:tcW w:w="0" w:type="dxa"/>
            <w:vAlign w:val="bottom"/>
          </w:tcPr>
          <w:p>
            <w:pPr>
              <w:spacing w:after="0"/>
              <w:rPr>
                <w:sz w:val="1"/>
                <w:szCs w:val="1"/>
                <w:color w:val="auto"/>
              </w:rPr>
            </w:pPr>
          </w:p>
        </w:tc>
      </w:tr>
      <w:tr>
        <w:trPr>
          <w:trHeight w:val="347"/>
        </w:trPr>
        <w:tc>
          <w:tcPr>
            <w:tcW w:w="504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Vesting Schedule:</w:t>
            </w: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40" w:type="dxa"/>
            <w:vAlign w:val="bottom"/>
            <w:vMerge w:val="continue"/>
          </w:tcPr>
          <w:p>
            <w:pPr>
              <w:spacing w:after="0"/>
              <w:rPr>
                <w:sz w:val="20"/>
                <w:szCs w:val="20"/>
                <w:color w:val="auto"/>
              </w:rPr>
            </w:pP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504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tcBorders>
              <w:left w:val="single" w:sz="8" w:color="auto"/>
              <w:right w:val="single" w:sz="8" w:color="auto"/>
            </w:tcBorders>
          </w:tcPr>
          <w:p>
            <w:pPr>
              <w:ind w:left="2000"/>
              <w:spacing w:after="0"/>
              <w:rPr>
                <w:sz w:val="20"/>
                <w:szCs w:val="20"/>
                <w:color w:val="auto"/>
              </w:rPr>
            </w:pPr>
            <w:r>
              <w:rPr>
                <w:rFonts w:ascii="Arial" w:cs="Arial" w:eastAsia="Arial" w:hAnsi="Arial"/>
                <w:sz w:val="20"/>
                <w:szCs w:val="20"/>
                <w:b w:val="1"/>
                <w:bCs w:val="1"/>
                <w:color w:val="auto"/>
              </w:rPr>
              <w:t>Vesting Date</w:t>
            </w:r>
          </w:p>
        </w:tc>
        <w:tc>
          <w:tcPr>
            <w:tcW w:w="5240" w:type="dxa"/>
            <w:vAlign w:val="bottom"/>
            <w:tcBorders>
              <w:right w:val="single" w:sz="8" w:color="auto"/>
            </w:tcBorders>
          </w:tcPr>
          <w:p>
            <w:pPr>
              <w:ind w:left="1900"/>
              <w:spacing w:after="0"/>
              <w:rPr>
                <w:sz w:val="20"/>
                <w:szCs w:val="20"/>
                <w:color w:val="auto"/>
              </w:rPr>
            </w:pPr>
            <w:r>
              <w:rPr>
                <w:rFonts w:ascii="Arial" w:cs="Arial" w:eastAsia="Arial" w:hAnsi="Arial"/>
                <w:sz w:val="20"/>
                <w:szCs w:val="20"/>
                <w:b w:val="1"/>
                <w:bCs w:val="1"/>
                <w:color w:val="auto"/>
              </w:rPr>
              <w:t>Vesting Quantity</w:t>
            </w:r>
          </w:p>
        </w:tc>
        <w:tc>
          <w:tcPr>
            <w:tcW w:w="0" w:type="dxa"/>
            <w:vAlign w:val="bottom"/>
          </w:tcPr>
          <w:p>
            <w:pPr>
              <w:spacing w:after="0"/>
              <w:rPr>
                <w:sz w:val="1"/>
                <w:szCs w:val="1"/>
                <w:color w:val="auto"/>
              </w:rPr>
            </w:pPr>
          </w:p>
        </w:tc>
      </w:tr>
      <w:tr>
        <w:trPr>
          <w:trHeight w:val="50"/>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April 1, 2020</w:t>
            </w: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5040" w:type="dxa"/>
            <w:vAlign w:val="bottom"/>
            <w:tcBorders>
              <w:left w:val="single" w:sz="8" w:color="auto"/>
              <w:right w:val="single" w:sz="8" w:color="auto"/>
            </w:tcBorders>
          </w:tcPr>
          <w:p>
            <w:pPr>
              <w:spacing w:after="0"/>
              <w:rPr>
                <w:sz w:val="24"/>
                <w:szCs w:val="24"/>
                <w:color w:val="auto"/>
              </w:rPr>
            </w:pP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4"/>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5"/>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July 1, 2020</w:t>
            </w:r>
          </w:p>
        </w:tc>
        <w:tc>
          <w:tcPr>
            <w:tcW w:w="5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040" w:type="dxa"/>
            <w:vAlign w:val="bottom"/>
            <w:tcBorders>
              <w:left w:val="single" w:sz="8" w:color="auto"/>
              <w:right w:val="single" w:sz="8" w:color="auto"/>
            </w:tcBorders>
          </w:tcPr>
          <w:p>
            <w:pPr>
              <w:spacing w:after="0"/>
              <w:rPr>
                <w:sz w:val="24"/>
                <w:szCs w:val="24"/>
                <w:color w:val="auto"/>
              </w:rPr>
            </w:pP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4"/>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October 1, 2020</w:t>
            </w: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0"/>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January 1, 2021</w:t>
            </w:r>
          </w:p>
        </w:tc>
        <w:tc>
          <w:tcPr>
            <w:tcW w:w="5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50"/>
        </w:trPr>
        <w:tc>
          <w:tcPr>
            <w:tcW w:w="5040" w:type="dxa"/>
            <w:vAlign w:val="bottom"/>
            <w:tcBorders>
              <w:left w:val="single" w:sz="8" w:color="auto"/>
              <w:bottom w:val="single" w:sz="8" w:color="auto"/>
              <w:right w:val="single" w:sz="8" w:color="auto"/>
            </w:tcBorders>
          </w:tcPr>
          <w:p>
            <w:pPr>
              <w:spacing w:after="0"/>
              <w:rPr>
                <w:sz w:val="4"/>
                <w:szCs w:val="4"/>
                <w:color w:val="auto"/>
              </w:rPr>
            </w:pPr>
          </w:p>
        </w:tc>
        <w:tc>
          <w:tcPr>
            <w:tcW w:w="5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40" w:type="dxa"/>
            <w:vAlign w:val="bottom"/>
            <w:tcBorders>
              <w:left w:val="single" w:sz="8" w:color="auto"/>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the 1</w:t>
      </w:r>
      <w:r>
        <w:rPr>
          <w:rFonts w:ascii="Arial" w:cs="Arial" w:eastAsia="Arial" w:hAnsi="Arial"/>
          <w:sz w:val="24"/>
          <w:szCs w:val="24"/>
          <w:color w:val="auto"/>
          <w:vertAlign w:val="superscript"/>
        </w:rPr>
        <w:t>st</w:t>
      </w:r>
      <w:r>
        <w:rPr>
          <w:rFonts w:ascii="Arial" w:cs="Arial" w:eastAsia="Arial" w:hAnsi="Arial"/>
          <w:sz w:val="19"/>
          <w:szCs w:val="19"/>
          <w:b w:val="1"/>
          <w:bCs w:val="1"/>
          <w:color w:val="auto"/>
        </w:rPr>
        <w:t xml:space="preserve"> </w:t>
      </w:r>
      <w:r>
        <w:rPr>
          <w:rFonts w:ascii="Arial" w:cs="Arial" w:eastAsia="Arial" w:hAnsi="Arial"/>
          <w:sz w:val="19"/>
          <w:szCs w:val="19"/>
          <w:color w:val="auto"/>
        </w:rPr>
        <w:t>day of April, 2020, by and between</w:t>
      </w:r>
      <w:r>
        <w:rPr>
          <w:rFonts w:ascii="Arial" w:cs="Arial" w:eastAsia="Arial" w:hAnsi="Arial"/>
          <w:sz w:val="19"/>
          <w:szCs w:val="19"/>
          <w:b w:val="1"/>
          <w:bCs w:val="1"/>
          <w:color w:val="auto"/>
        </w:rPr>
        <w:t xml:space="preserve"> PRIORITY TECHNOLOGY HOLDINGS, INC..</w:t>
      </w:r>
      <w:r>
        <w:rPr>
          <w:rFonts w:ascii="Arial" w:cs="Arial" w:eastAsia="Arial" w:hAnsi="Arial"/>
          <w:sz w:val="19"/>
          <w:szCs w:val="19"/>
          <w:color w:val="auto"/>
        </w:rPr>
        <w:t>,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the individual designated above (the “</w:t>
      </w:r>
      <w:r>
        <w:rPr>
          <w:rFonts w:ascii="Arial" w:cs="Arial" w:eastAsia="Arial" w:hAnsi="Arial"/>
          <w:sz w:val="19"/>
          <w:szCs w:val="19"/>
          <w:b w:val="1"/>
          <w:bCs w:val="1"/>
          <w:i w:val="1"/>
          <w:iCs w:val="1"/>
          <w:color w:val="auto"/>
        </w:rPr>
        <w:t>Grantee</w:t>
      </w:r>
      <w:r>
        <w:rPr>
          <w:rFonts w:ascii="Arial" w:cs="Arial" w:eastAsia="Arial" w:hAnsi="Arial"/>
          <w:sz w:val="19"/>
          <w:szCs w:val="19"/>
          <w:color w:val="auto"/>
        </w:rPr>
        <w:t>”).</w:t>
      </w:r>
    </w:p>
    <w:p>
      <w:pPr>
        <w:jc w:val="both"/>
        <w:ind w:firstLine="648"/>
        <w:spacing w:after="0" w:line="30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maintains the Priority Technology Holdings, Inc.. 2018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has been selected by the Committee to receive a Restricted Stock Unit Award under the Plan in connection with Grantee’s service as a member of the Board of Directors of the Company;</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 IT IS AGREED</w:t>
      </w:r>
      <w:r>
        <w:rPr>
          <w:rFonts w:ascii="Arial" w:cs="Arial" w:eastAsia="Arial" w:hAnsi="Arial"/>
          <w:sz w:val="20"/>
          <w:szCs w:val="20"/>
          <w:color w:val="auto"/>
        </w:rPr>
        <w:t>, by and between the Company and the Grantee, as follows: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 Award of Restricted Stock Units</w:t>
      </w:r>
    </w:p>
    <w:p>
      <w:pPr>
        <w:spacing w:after="0" w:line="60"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20"/>
          <w:szCs w:val="20"/>
          <w:color w:val="auto"/>
        </w:rPr>
        <w:t>1.1.</w:t>
      </w: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the Grantee an award of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20"/>
          <w:szCs w:val="20"/>
          <w:b w:val="1"/>
          <w:bCs w:val="1"/>
          <w:i w:val="1"/>
          <w:iCs w:val="1"/>
          <w:color w:val="auto"/>
        </w:rPr>
        <w:t>Date of Grant</w:t>
      </w:r>
      <w:r>
        <w:rPr>
          <w:rFonts w:ascii="Arial" w:cs="Arial" w:eastAsia="Arial" w:hAnsi="Arial"/>
          <w:sz w:val="20"/>
          <w:szCs w:val="20"/>
          <w:color w:val="auto"/>
        </w:rPr>
        <w:t>”).</w:t>
      </w:r>
    </w:p>
    <w:p>
      <w:pPr>
        <w:sectPr>
          <w:pgSz w:w="11900" w:h="16838" w:orient="portrait"/>
          <w:cols w:equalWidth="0" w:num="1">
            <w:col w:w="11240"/>
          </w:cols>
          <w:pgMar w:left="320" w:top="341" w:right="339" w:bottom="1440" w:gutter="0" w:footer="0" w:header="0"/>
        </w:sectPr>
      </w:pPr>
    </w:p>
    <w:bookmarkStart w:id="59" w:name="page60"/>
    <w:bookmarkEnd w:id="59"/>
    <w:p>
      <w:pPr>
        <w:jc w:val="both"/>
        <w:ind w:firstLine="1296"/>
        <w:spacing w:after="0" w:line="295" w:lineRule="auto"/>
        <w:rPr>
          <w:sz w:val="20"/>
          <w:szCs w:val="20"/>
          <w:color w:val="auto"/>
        </w:rPr>
      </w:pPr>
      <w:r>
        <w:rPr>
          <w:rFonts w:ascii="Arial" w:cs="Arial" w:eastAsia="Arial" w:hAnsi="Arial"/>
          <w:sz w:val="20"/>
          <w:szCs w:val="20"/>
          <w:color w:val="auto"/>
        </w:rPr>
        <w:t>1.2.</w:t>
      </w:r>
      <w:r>
        <w:rPr>
          <w:rFonts w:ascii="Arial" w:cs="Arial" w:eastAsia="Arial" w:hAnsi="Arial"/>
          <w:sz w:val="20"/>
          <w:szCs w:val="20"/>
          <w:u w:val="single" w:color="auto"/>
          <w:color w:val="auto"/>
        </w:rPr>
        <w:t>Construction</w:t>
      </w:r>
      <w:r>
        <w:rPr>
          <w:rFonts w:ascii="Arial" w:cs="Arial" w:eastAsia="Arial" w:hAnsi="Arial"/>
          <w:sz w:val="20"/>
          <w:szCs w:val="20"/>
          <w:color w:val="auto"/>
        </w:rPr>
        <w:t>. This Agreement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2"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20"/>
          <w:szCs w:val="20"/>
          <w:color w:val="auto"/>
        </w:rPr>
        <w:t>1.3.</w:t>
      </w:r>
      <w:r>
        <w:rPr>
          <w:rFonts w:ascii="Arial" w:cs="Arial" w:eastAsia="Arial" w:hAnsi="Arial"/>
          <w:sz w:val="20"/>
          <w:szCs w:val="20"/>
          <w:u w:val="single" w:color="auto"/>
          <w:color w:val="auto"/>
        </w:rPr>
        <w:t>Execution of the Agreement</w:t>
      </w:r>
      <w:r>
        <w:rPr>
          <w:rFonts w:ascii="Arial" w:cs="Arial" w:eastAsia="Arial" w:hAnsi="Arial"/>
          <w:sz w:val="20"/>
          <w:szCs w:val="20"/>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seven days of the Date of Grant, it may be canceled by the Committee resulting in the immediate forfeiture of all RSUs granted hereunder.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 Vesting and Termination of Service</w:t>
      </w:r>
    </w:p>
    <w:p>
      <w:pPr>
        <w:spacing w:after="0" w:line="60" w:lineRule="exact"/>
        <w:rPr>
          <w:sz w:val="20"/>
          <w:szCs w:val="20"/>
          <w:color w:val="auto"/>
        </w:rPr>
      </w:pPr>
    </w:p>
    <w:p>
      <w:pPr>
        <w:jc w:val="both"/>
        <w:ind w:firstLine="1296"/>
        <w:spacing w:after="0" w:line="369" w:lineRule="auto"/>
        <w:rPr>
          <w:sz w:val="20"/>
          <w:szCs w:val="20"/>
          <w:color w:val="auto"/>
        </w:rPr>
      </w:pPr>
      <w:r>
        <w:rPr>
          <w:rFonts w:ascii="Arial" w:cs="Arial" w:eastAsia="Arial" w:hAnsi="Arial"/>
          <w:sz w:val="16"/>
          <w:szCs w:val="16"/>
          <w:color w:val="auto"/>
        </w:rPr>
        <w:t>2.1.</w:t>
      </w: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Subject to this Section 2 and Section 7, if the Grantee continues to serve as a member of the Board of Directors of the Company, the RSUs shall vest in accordance with the vesting schedule set forth above. Each date on which the RSUs vest is hereinafter referred to as a “</w:t>
      </w:r>
      <w:r>
        <w:rPr>
          <w:rFonts w:ascii="Arial" w:cs="Arial" w:eastAsia="Arial" w:hAnsi="Arial"/>
          <w:sz w:val="16"/>
          <w:szCs w:val="16"/>
          <w:b w:val="1"/>
          <w:bCs w:val="1"/>
          <w:i w:val="1"/>
          <w:iCs w:val="1"/>
          <w:color w:val="auto"/>
        </w:rPr>
        <w:t>Vesting Date</w:t>
      </w:r>
      <w:r>
        <w:rPr>
          <w:rFonts w:ascii="Arial" w:cs="Arial" w:eastAsia="Arial" w:hAnsi="Arial"/>
          <w:sz w:val="16"/>
          <w:szCs w:val="16"/>
          <w:color w:val="auto"/>
        </w:rPr>
        <w:t>”. Except as otherwise provided herein, on the Vesting Date, a number of Shares equal to the number of vested RSUs shall be issued to the Grantee free and clear of all restrictions imposed by this Agreement (except those imposed by Sections 3.3 and 7 below). As soon as practicable (and no later than thirty (30) days) after the Vesting Date, the Company shall transfer such Shares to an unrestricted account in the name of the Grantee (or, if the Grantee has died, to his or her surviving spouse or, if none, to the Grantee’s estate). For purposes of this Agreement, employment with the Company or a Subsidiary of the Company or service as a member of the Board of Directors of a Subsidiary of the Company shall be considered continued service as a member of the Board of Directors of the Company.</w:t>
      </w:r>
    </w:p>
    <w:p>
      <w:pPr>
        <w:spacing w:after="0" w:line="5"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20"/>
          <w:szCs w:val="20"/>
          <w:color w:val="auto"/>
        </w:rPr>
        <w:t>2.2.</w:t>
      </w:r>
      <w:r>
        <w:rPr>
          <w:rFonts w:ascii="Arial" w:cs="Arial" w:eastAsia="Arial" w:hAnsi="Arial"/>
          <w:sz w:val="20"/>
          <w:szCs w:val="20"/>
          <w:u w:val="single" w:color="auto"/>
          <w:color w:val="auto"/>
        </w:rPr>
        <w:t>Termination of Service Due to Death or Disability</w:t>
      </w:r>
      <w:r>
        <w:rPr>
          <w:rFonts w:ascii="Arial" w:cs="Arial" w:eastAsia="Arial" w:hAnsi="Arial"/>
          <w:sz w:val="20"/>
          <w:szCs w:val="20"/>
          <w:color w:val="auto"/>
        </w:rPr>
        <w:t>. If the Grantee’s service as a member of the Board of Directors of the Company is terminated as a result of the Grantee’s death or Disability (as defined in the Plan), the unvested RSUs shall immediately vest on such Date of Termination, and a number of Shares equal to such vested RSUs shall be issued to the Grantee (or the Grantee’s surviving spouse or estate) in the manner described in Section 2.1.</w:t>
      </w:r>
    </w:p>
    <w:p>
      <w:pPr>
        <w:spacing w:after="0" w:line="3"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20"/>
          <w:szCs w:val="20"/>
          <w:color w:val="auto"/>
        </w:rPr>
        <w:t>2.3.</w:t>
      </w:r>
      <w:r>
        <w:rPr>
          <w:rFonts w:ascii="Arial" w:cs="Arial" w:eastAsia="Arial" w:hAnsi="Arial"/>
          <w:sz w:val="20"/>
          <w:szCs w:val="20"/>
          <w:u w:val="single" w:color="auto"/>
          <w:color w:val="auto"/>
        </w:rPr>
        <w:t>Termination of Service by the Company for Cause</w:t>
      </w:r>
      <w:r>
        <w:rPr>
          <w:rFonts w:ascii="Arial" w:cs="Arial" w:eastAsia="Arial" w:hAnsi="Arial"/>
          <w:sz w:val="20"/>
          <w:szCs w:val="20"/>
          <w:color w:val="auto"/>
        </w:rPr>
        <w:t>. If the Grantee’s service as a member of the Board of Directors of the Company is terminated by the Company, the Board or otherwise for Cause (as defined in the Plan), the unvested RSUs shall be forfeited immediately as of the Date of Termination.</w:t>
      </w:r>
    </w:p>
    <w:p>
      <w:pPr>
        <w:spacing w:after="0" w:line="2"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20"/>
          <w:szCs w:val="20"/>
          <w:color w:val="auto"/>
        </w:rPr>
        <w:t>2.4.</w:t>
      </w:r>
      <w:r>
        <w:rPr>
          <w:rFonts w:ascii="Arial" w:cs="Arial" w:eastAsia="Arial" w:hAnsi="Arial"/>
          <w:sz w:val="20"/>
          <w:szCs w:val="20"/>
          <w:u w:val="single" w:color="auto"/>
          <w:color w:val="auto"/>
        </w:rPr>
        <w:t>Termination of Service by the Company Following a Change in Control</w:t>
      </w:r>
      <w:r>
        <w:rPr>
          <w:rFonts w:ascii="Arial" w:cs="Arial" w:eastAsia="Arial" w:hAnsi="Arial"/>
          <w:sz w:val="20"/>
          <w:szCs w:val="20"/>
          <w:color w:val="auto"/>
        </w:rPr>
        <w:t>. If the Grantee’s service as a member of the Board of Directors of the Company is terminated by the Company, by the Board or otherwise (x) on or within 18 months after a Change in Control (as defined in the Plan) (other than for Cause or due to death or Disability) and (y) after the expiration of the Initial Restriction Period, the unvested RSUs shall immediately vest on such Date of Termination, and a number of Shares equal to the number of such vested RSUs shall be issued to the Grantee as described in Section 2.1.</w:t>
      </w:r>
    </w:p>
    <w:p>
      <w:pPr>
        <w:spacing w:after="0" w:line="4"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20"/>
          <w:szCs w:val="20"/>
          <w:color w:val="auto"/>
        </w:rPr>
        <w:t>2.5.</w:t>
      </w:r>
      <w:r>
        <w:rPr>
          <w:rFonts w:ascii="Arial" w:cs="Arial" w:eastAsia="Arial" w:hAnsi="Arial"/>
          <w:sz w:val="20"/>
          <w:szCs w:val="20"/>
          <w:u w:val="single" w:color="auto"/>
          <w:color w:val="auto"/>
        </w:rPr>
        <w:t>Termination of Service for Other Reasons</w:t>
      </w:r>
      <w:r>
        <w:rPr>
          <w:rFonts w:ascii="Arial" w:cs="Arial" w:eastAsia="Arial" w:hAnsi="Arial"/>
          <w:sz w:val="20"/>
          <w:szCs w:val="20"/>
          <w:color w:val="auto"/>
        </w:rPr>
        <w:t>. If the Grantee’s service as a member of the Board of Directors of the Company is terminated by the Company or the Grantee under circumstances other than those outlined above in Sections 2.2, 2.3 or 2.4, the unvested RSUs shall immediately be forfeited as of the Date of Termination.</w:t>
      </w:r>
    </w:p>
    <w:p>
      <w:pPr>
        <w:sectPr>
          <w:pgSz w:w="11900" w:h="16838" w:orient="portrait"/>
          <w:cols w:equalWidth="0" w:num="1">
            <w:col w:w="11240"/>
          </w:cols>
          <w:pgMar w:left="320" w:top="366" w:right="339" w:bottom="1440" w:gutter="0" w:footer="0" w:header="0"/>
        </w:sectPr>
      </w:pPr>
    </w:p>
    <w:bookmarkStart w:id="60" w:name="page61"/>
    <w:bookmarkEnd w:id="60"/>
    <w:p>
      <w:pPr>
        <w:jc w:val="both"/>
        <w:ind w:firstLine="1296"/>
        <w:spacing w:after="0" w:line="295" w:lineRule="auto"/>
        <w:rPr>
          <w:sz w:val="20"/>
          <w:szCs w:val="20"/>
          <w:color w:val="auto"/>
        </w:rPr>
      </w:pPr>
      <w:r>
        <w:rPr>
          <w:rFonts w:ascii="Arial" w:cs="Arial" w:eastAsia="Arial" w:hAnsi="Arial"/>
          <w:sz w:val="20"/>
          <w:szCs w:val="20"/>
          <w:color w:val="auto"/>
        </w:rPr>
        <w:t>2.6.</w:t>
      </w:r>
      <w:r>
        <w:rPr>
          <w:rFonts w:ascii="Arial" w:cs="Arial" w:eastAsia="Arial" w:hAnsi="Arial"/>
          <w:sz w:val="20"/>
          <w:szCs w:val="20"/>
          <w:u w:val="single" w:color="auto"/>
          <w:color w:val="auto"/>
        </w:rPr>
        <w:t>Nontransferability</w:t>
      </w:r>
      <w:r>
        <w:rPr>
          <w:rFonts w:ascii="Arial" w:cs="Arial" w:eastAsia="Arial" w:hAnsi="Arial"/>
          <w:sz w:val="20"/>
          <w:szCs w:val="20"/>
          <w:color w:val="auto"/>
        </w:rPr>
        <w:t>. The RSUs may not be sold, assigned, transferred, pledged, or otherwise encumbered prior to the date the Grantee becomes vested in the RSUs and the Shares are issued.</w:t>
      </w:r>
    </w:p>
    <w:p>
      <w:pPr>
        <w:spacing w:after="0" w:line="2" w:lineRule="exact"/>
        <w:rPr>
          <w:sz w:val="20"/>
          <w:szCs w:val="20"/>
          <w:color w:val="auto"/>
        </w:rPr>
      </w:pPr>
    </w:p>
    <w:p>
      <w:pPr>
        <w:jc w:val="both"/>
        <w:ind w:firstLine="1296"/>
        <w:spacing w:after="0" w:line="332" w:lineRule="auto"/>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Section 409A Compliance</w:t>
      </w:r>
      <w:r>
        <w:rPr>
          <w:rFonts w:ascii="Arial" w:cs="Arial" w:eastAsia="Arial" w:hAnsi="Arial"/>
          <w:sz w:val="18"/>
          <w:szCs w:val="18"/>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the Grantee upon his separation from service if the Grantee is a “key employee” of the Company (as determined by the Company in accordance with procedures established by the Company that are consistent with Section 409A) to the date which is immediately following the earlier of (i) six months after the date of the Grantee’s separation from service or (ii) the Grantee’s death, to the extent such delay is required under the provisions of Section 409A to avoid imposition of additional income and other taxes, provided that the Company and the Grantee agree to take into account any exemptions available under Section 409A. For purposes of this Agreement, termination of service shall be construed consistent with the meaning of a separation from service within the meaning of Section 409A.</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No Right to Continued Service</w:t>
      </w:r>
    </w:p>
    <w:p>
      <w:pPr>
        <w:spacing w:after="0" w:line="33" w:lineRule="exact"/>
        <w:rPr>
          <w:sz w:val="20"/>
          <w:szCs w:val="20"/>
          <w:color w:val="auto"/>
        </w:rPr>
      </w:pPr>
    </w:p>
    <w:p>
      <w:pPr>
        <w:jc w:val="both"/>
        <w:ind w:firstLine="1296"/>
        <w:spacing w:after="0" w:line="309" w:lineRule="auto"/>
        <w:rPr>
          <w:sz w:val="20"/>
          <w:szCs w:val="20"/>
          <w:color w:val="auto"/>
        </w:rPr>
      </w:pPr>
      <w:r>
        <w:rPr>
          <w:rFonts w:ascii="Arial" w:cs="Arial" w:eastAsia="Arial" w:hAnsi="Arial"/>
          <w:sz w:val="19"/>
          <w:szCs w:val="19"/>
          <w:color w:val="auto"/>
        </w:rPr>
        <w:t>Nothing in this Agreement or the Plan shall be interpreted or construed to confer upon the Grantee any right with respect to continuance of service as a member of the Board of Directors of the Company, nor shall this Agreement or the Plan interfere in any way with the right of the Company, the shareholders or others to terminate the Grantee’s service as a member of the Board of Directors of the Company at any time in accordance with applicable law and/or the governing documents of the Company.</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4. Taxes and Withholding</w:t>
      </w:r>
    </w:p>
    <w:p>
      <w:pPr>
        <w:spacing w:after="0" w:line="6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0"/>
          <w:szCs w:val="20"/>
          <w:color w:val="auto"/>
        </w:rPr>
        <w:t>The Grantee shall be responsible for all federal, state, and local income taxes payable with respect to this award of RSUs and any dividends or dividend equivalents paid on such RSUs. The Company and the Grantee agree to report the value of the RSUs in a consistent manner for federal income tax purposes.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5. The Grantee Bound by The Plan</w:t>
      </w:r>
    </w:p>
    <w:p>
      <w:pPr>
        <w:spacing w:after="0" w:line="6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20"/>
          <w:szCs w:val="20"/>
          <w:color w:val="auto"/>
        </w:rPr>
        <w:t>The Grantee hereby acknowledges receipt of a copy of the Plan and the prospectus for the Plan, and agrees to be bound by all the terms and provisions thereof.</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6. Modification of Agreement; Severability</w:t>
      </w:r>
    </w:p>
    <w:p>
      <w:pPr>
        <w:spacing w:after="0" w:line="60" w:lineRule="exact"/>
        <w:rPr>
          <w:sz w:val="20"/>
          <w:szCs w:val="20"/>
          <w:color w:val="auto"/>
        </w:rPr>
      </w:pPr>
    </w:p>
    <w:p>
      <w:pPr>
        <w:jc w:val="both"/>
        <w:ind w:firstLine="1296"/>
        <w:spacing w:after="0" w:line="345" w:lineRule="auto"/>
        <w:rPr>
          <w:sz w:val="20"/>
          <w:szCs w:val="20"/>
          <w:color w:val="auto"/>
        </w:rPr>
      </w:pPr>
      <w:r>
        <w:rPr>
          <w:rFonts w:ascii="Arial" w:cs="Arial" w:eastAsia="Arial" w:hAnsi="Arial"/>
          <w:sz w:val="18"/>
          <w:szCs w:val="18"/>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w:t>
      </w:r>
    </w:p>
    <w:p>
      <w:pPr>
        <w:sectPr>
          <w:pgSz w:w="11900" w:h="16838" w:orient="portrait"/>
          <w:cols w:equalWidth="0" w:num="1">
            <w:col w:w="11240"/>
          </w:cols>
          <w:pgMar w:left="320" w:top="366" w:right="339" w:bottom="1440" w:gutter="0" w:footer="0" w:header="0"/>
        </w:sectPr>
      </w:pPr>
    </w:p>
    <w:bookmarkStart w:id="61" w:name="page62"/>
    <w:bookmarkEnd w:id="61"/>
    <w:p>
      <w:pPr>
        <w:jc w:val="both"/>
        <w:spacing w:after="0" w:line="317" w:lineRule="auto"/>
        <w:rPr>
          <w:sz w:val="20"/>
          <w:szCs w:val="20"/>
          <w:color w:val="auto"/>
        </w:rPr>
      </w:pPr>
      <w:r>
        <w:rPr>
          <w:rFonts w:ascii="Arial" w:cs="Arial" w:eastAsia="Arial" w:hAnsi="Arial"/>
          <w:sz w:val="20"/>
          <w:szCs w:val="20"/>
          <w:color w:val="auto"/>
        </w:rPr>
        <w:t>or terminate this Agreement or may waive any terms or conditions of this Agreement but only by a written instrument executed by the parties hereto.</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7. Governing Law and Forum</w:t>
      </w:r>
    </w:p>
    <w:p>
      <w:pPr>
        <w:spacing w:after="0" w:line="6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20"/>
          <w:szCs w:val="20"/>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8. Successors in Interest</w:t>
      </w:r>
    </w:p>
    <w:p>
      <w:pPr>
        <w:spacing w:after="0" w:line="6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20"/>
          <w:szCs w:val="20"/>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9. Entire Agreement</w:t>
      </w:r>
    </w:p>
    <w:p>
      <w:pPr>
        <w:spacing w:after="0" w:line="6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20"/>
          <w:szCs w:val="20"/>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10. Resolution of Disputes</w:t>
      </w:r>
    </w:p>
    <w:p>
      <w:pPr>
        <w:spacing w:after="0" w:line="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color w:val="auto"/>
        </w:rPr>
        <w:t>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[EXECUTION PAGE FOLLOWS]</w:t>
      </w:r>
    </w:p>
    <w:p>
      <w:pPr>
        <w:sectPr>
          <w:pgSz w:w="11900" w:h="16838" w:orient="portrait"/>
          <w:cols w:equalWidth="0" w:num="1">
            <w:col w:w="11240"/>
          </w:cols>
          <w:pgMar w:left="320" w:top="366"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as of the date first above written.</w:t>
      </w:r>
    </w:p>
    <w:p>
      <w:pPr>
        <w:spacing w:after="0" w:line="3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C. Priore</w:t>
      </w:r>
    </w:p>
    <w:p>
      <w:pPr>
        <w:spacing w:after="0" w:line="33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Thomas C. Priore</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Executive Chairman and CEO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By accepting this Agreement, the Grantee hereby accepts the RSU grant subject to all its terms and provisions and agrees to be bound by the terms and provisions of this Agreement, including Section 7, and the Plan.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241" w:lineRule="exact"/>
        <w:rPr>
          <w:sz w:val="20"/>
          <w:szCs w:val="20"/>
          <w:color w:val="auto"/>
        </w:rPr>
      </w:pPr>
    </w:p>
    <w:p>
      <w:pPr>
        <w:jc w:val="both"/>
        <w:spacing w:after="0" w:line="345" w:lineRule="auto"/>
        <w:rPr>
          <w:sz w:val="20"/>
          <w:szCs w:val="20"/>
          <w:color w:val="auto"/>
        </w:rPr>
      </w:pPr>
      <w:r>
        <w:rPr>
          <w:rFonts w:ascii="Arial" w:cs="Arial" w:eastAsia="Arial" w:hAnsi="Arial"/>
          <w:sz w:val="18"/>
          <w:szCs w:val="18"/>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227"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By accepting this Agreement, the Grantee hereby consents to the holding and processing of personal data provided by him to the Company for all purposes necessary for the operation of the Plan. These include, but are not limited to:</w:t>
      </w:r>
    </w:p>
    <w:p>
      <w:pPr>
        <w:spacing w:after="0" w:line="243" w:lineRule="exact"/>
        <w:rPr>
          <w:sz w:val="20"/>
          <w:szCs w:val="20"/>
          <w:color w:val="auto"/>
        </w:rPr>
      </w:pPr>
    </w:p>
    <w:p>
      <w:pPr>
        <w:ind w:left="920" w:hanging="264"/>
        <w:spacing w:after="0"/>
        <w:tabs>
          <w:tab w:leader="none" w:pos="9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administering and maintaining Plan records;</w:t>
      </w:r>
    </w:p>
    <w:p>
      <w:pPr>
        <w:spacing w:after="0" w:line="53" w:lineRule="exact"/>
        <w:rPr>
          <w:rFonts w:ascii="Arial" w:cs="Arial" w:eastAsia="Arial" w:hAnsi="Arial"/>
          <w:sz w:val="20"/>
          <w:szCs w:val="20"/>
          <w:color w:val="auto"/>
        </w:rPr>
      </w:pPr>
    </w:p>
    <w:p>
      <w:pPr>
        <w:ind w:left="940" w:hanging="284"/>
        <w:spacing w:after="0"/>
        <w:tabs>
          <w:tab w:leader="none" w:pos="9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providing information to any registrars, brokers or third party administrators of the Plan; and</w:t>
      </w:r>
    </w:p>
    <w:p>
      <w:pPr>
        <w:spacing w:after="0" w:line="53" w:lineRule="exact"/>
        <w:rPr>
          <w:rFonts w:ascii="Arial" w:cs="Arial" w:eastAsia="Arial" w:hAnsi="Arial"/>
          <w:sz w:val="20"/>
          <w:szCs w:val="20"/>
          <w:color w:val="auto"/>
        </w:rPr>
      </w:pPr>
    </w:p>
    <w:p>
      <w:pPr>
        <w:ind w:left="920" w:hanging="264"/>
        <w:spacing w:after="0"/>
        <w:tabs>
          <w:tab w:leader="none" w:pos="9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providing information to future purchasers of the Company or the business in which the Grantee works.</w:t>
      </w:r>
    </w:p>
    <w:p>
      <w:pPr>
        <w:spacing w:after="0" w:line="33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GRANTEE</w:t>
      </w:r>
    </w:p>
    <w:p>
      <w:pPr>
        <w:spacing w:after="0" w:line="3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u w:val="single" w:color="auto"/>
          <w:color w:val="auto"/>
        </w:rPr>
        <w:t>/s/ William Gahan</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Gahan</w:t>
      </w:r>
    </w:p>
    <w:p>
      <w:pPr>
        <w:spacing w:after="0" w:line="5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Date: April 1, 2020</w:t>
      </w:r>
    </w:p>
    <w:p>
      <w:pPr>
        <w:sectPr>
          <w:pgSz w:w="11900" w:h="16838" w:orient="portrait"/>
          <w:cols w:equalWidth="0" w:num="1">
            <w:col w:w="11240"/>
          </w:cols>
          <w:pgMar w:left="320" w:top="36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 AS ADOPTED PURSUANT TO SECTION 303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Thomas C. Priore,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55"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40" w:hanging="324"/>
        <w:spacing w:after="0" w:line="255"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291"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ind w:left="880"/>
        <w:spacing w:after="0"/>
        <w:tabs>
          <w:tab w:leader="none" w:pos="6460" w:val="left"/>
        </w:tabs>
        <w:rPr>
          <w:sz w:val="20"/>
          <w:szCs w:val="20"/>
          <w:color w:val="auto"/>
        </w:rPr>
      </w:pPr>
      <w:r>
        <w:rPr>
          <w:rFonts w:ascii="Arial" w:cs="Arial" w:eastAsia="Arial" w:hAnsi="Arial"/>
          <w:sz w:val="18"/>
          <w:szCs w:val="18"/>
          <w:color w:val="auto"/>
        </w:rPr>
        <w:t>May 13, 2020</w:t>
      </w:r>
      <w:r>
        <w:rPr>
          <w:sz w:val="20"/>
          <w:szCs w:val="20"/>
          <w:color w:val="auto"/>
        </w:rPr>
        <w:tab/>
      </w:r>
      <w:r>
        <w:rPr>
          <w:rFonts w:ascii="Arial" w:cs="Arial" w:eastAsia="Arial" w:hAnsi="Arial"/>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31750</wp:posOffset>
            </wp:positionV>
            <wp:extent cx="3831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31590" cy="17145"/>
                    </a:xfrm>
                    <a:prstGeom prst="rect">
                      <a:avLst/>
                    </a:prstGeom>
                    <a:noFill/>
                  </pic:spPr>
                </pic:pic>
              </a:graphicData>
            </a:graphic>
          </wp:anchor>
        </w:drawing>
      </w:r>
    </w:p>
    <w:p>
      <w:pPr>
        <w:spacing w:after="0" w:line="70" w:lineRule="exact"/>
        <w:rPr>
          <w:sz w:val="20"/>
          <w:szCs w:val="20"/>
          <w:color w:val="auto"/>
        </w:rPr>
      </w:pPr>
    </w:p>
    <w:p>
      <w:pPr>
        <w:jc w:val="center"/>
        <w:ind w:left="3580"/>
        <w:spacing w:after="0"/>
        <w:rPr>
          <w:sz w:val="20"/>
          <w:szCs w:val="20"/>
          <w:color w:val="auto"/>
        </w:rPr>
      </w:pPr>
      <w:r>
        <w:rPr>
          <w:rFonts w:ascii="Arial" w:cs="Arial" w:eastAsia="Arial" w:hAnsi="Arial"/>
          <w:sz w:val="18"/>
          <w:szCs w:val="18"/>
          <w:color w:val="auto"/>
        </w:rPr>
        <w:t>Thomas C. Priore</w:t>
      </w:r>
    </w:p>
    <w:p>
      <w:pPr>
        <w:spacing w:after="0" w:line="63" w:lineRule="exact"/>
        <w:rPr>
          <w:sz w:val="20"/>
          <w:szCs w:val="20"/>
          <w:color w:val="auto"/>
        </w:rPr>
      </w:pPr>
    </w:p>
    <w:p>
      <w:pPr>
        <w:jc w:val="center"/>
        <w:ind w:left="358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63" w:lineRule="exact"/>
        <w:rPr>
          <w:sz w:val="20"/>
          <w:szCs w:val="20"/>
          <w:color w:val="auto"/>
        </w:rPr>
      </w:pPr>
    </w:p>
    <w:p>
      <w:pPr>
        <w:jc w:val="center"/>
        <w:ind w:left="35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ind w:left="340" w:right="2600"/>
        <w:spacing w:after="0" w:line="255"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Michael T. Vollkommer,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55"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40" w:hanging="324"/>
        <w:spacing w:after="0" w:line="255"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291"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ind w:left="120"/>
        <w:spacing w:after="0"/>
        <w:tabs>
          <w:tab w:leader="none" w:pos="7440" w:val="left"/>
        </w:tabs>
        <w:rPr>
          <w:sz w:val="20"/>
          <w:szCs w:val="20"/>
          <w:color w:val="auto"/>
        </w:rPr>
      </w:pPr>
      <w:r>
        <w:rPr>
          <w:rFonts w:ascii="Arial" w:cs="Arial" w:eastAsia="Arial" w:hAnsi="Arial"/>
          <w:sz w:val="18"/>
          <w:szCs w:val="18"/>
          <w:color w:val="auto"/>
        </w:rPr>
        <w:t>May 13, 2020</w:t>
      </w:r>
      <w:r>
        <w:rPr>
          <w:sz w:val="20"/>
          <w:szCs w:val="20"/>
          <w:color w:val="auto"/>
        </w:rPr>
        <w:tab/>
      </w:r>
      <w:r>
        <w:rPr>
          <w:rFonts w:ascii="Arial" w:cs="Arial" w:eastAsia="Arial" w:hAnsi="Arial"/>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0861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70"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Michael T. Vollkommer</w:t>
      </w:r>
    </w:p>
    <w:p>
      <w:pPr>
        <w:spacing w:after="0" w:line="6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3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3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Priority Technology Holdings, Inc. (the "Company") for the quarter ended March 31, 2020 as filed with the Securities and Exchange Commission (the "Report"), each of the undersigned, on the dates indicated below, hereby certifies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tabs>
          <w:tab w:leader="none" w:pos="4660" w:val="left"/>
        </w:tabs>
        <w:rPr>
          <w:sz w:val="20"/>
          <w:szCs w:val="20"/>
          <w:color w:val="auto"/>
        </w:rPr>
      </w:pPr>
      <w:r>
        <w:rPr>
          <w:rFonts w:ascii="Arial" w:cs="Arial" w:eastAsia="Arial" w:hAnsi="Arial"/>
          <w:sz w:val="18"/>
          <w:szCs w:val="18"/>
          <w:color w:val="auto"/>
        </w:rPr>
        <w:t>May 13, 2020</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31750</wp:posOffset>
            </wp:positionV>
            <wp:extent cx="42005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Thomas C. Priore</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tabs>
          <w:tab w:leader="none" w:pos="4660" w:val="left"/>
        </w:tabs>
        <w:rPr>
          <w:sz w:val="20"/>
          <w:szCs w:val="20"/>
          <w:color w:val="auto"/>
        </w:rPr>
      </w:pPr>
      <w:r>
        <w:rPr>
          <w:rFonts w:ascii="Arial" w:cs="Arial" w:eastAsia="Arial" w:hAnsi="Arial"/>
          <w:sz w:val="18"/>
          <w:szCs w:val="18"/>
          <w:color w:val="auto"/>
        </w:rPr>
        <w:t>May 13, 2020</w:t>
      </w:r>
      <w:r>
        <w:rPr>
          <w:sz w:val="20"/>
          <w:szCs w:val="20"/>
          <w:color w:val="auto"/>
        </w:rPr>
        <w:tab/>
      </w:r>
      <w:r>
        <w:rPr>
          <w:rFonts w:ascii="Arial" w:cs="Arial" w:eastAsia="Arial" w:hAnsi="Arial"/>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31750</wp:posOffset>
            </wp:positionV>
            <wp:extent cx="42005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Michael T. Vollkommer</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800"/>
    </w:lvl>
  </w:abstractNum>
  <w:abstractNum w:abstractNumId="3">
    <w:nsid w:val="66EF438D"/>
    <w:multiLevelType w:val="hybridMultilevel"/>
    <w:lvl w:ilvl="0">
      <w:lvlJc w:val="left"/>
      <w:lvlText w:val="(%1)"/>
      <w:numFmt w:val="decimal"/>
      <w:start w:val="1"/>
    </w:lvl>
    <w:lvl w:ilvl="1">
      <w:lvlJc w:val="left"/>
      <w:lvlText w:val="-"/>
      <w:numFmt w:val="bullet"/>
      <w:start w:val="1"/>
    </w:lvl>
  </w:abstractNum>
  <w:abstractNum w:abstractNumId="4">
    <w:nsid w:val="140E0F76"/>
    <w:multiLevelType w:val="hybridMultilevel"/>
    <w:lvl w:ilvl="0">
      <w:lvlJc w:val="left"/>
      <w:lvlText w:val="%1."/>
      <w:numFmt w:val="decimal"/>
      <w:start w:val="11"/>
    </w:lvl>
  </w:abstractNum>
  <w:abstractNum w:abstractNumId="5">
    <w:nsid w:val="3352255A"/>
    <w:multiLevelType w:val="hybridMultilevel"/>
    <w:lvl w:ilvl="0">
      <w:lvlJc w:val="left"/>
      <w:lvlText w:val="(%1)"/>
      <w:numFmt w:val="lowerLetter"/>
      <w:start w:val="1"/>
    </w:lvl>
    <w:lvl w:ilvl="1">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6"/>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lowerRoman"/>
      <w:start w:val="2"/>
    </w:lvl>
  </w:abstractNum>
  <w:abstractNum w:abstractNumId="10">
    <w:nsid w:val="41A7C4C9"/>
    <w:multiLevelType w:val="hybridMultilevel"/>
    <w:lvl w:ilvl="0">
      <w:lvlJc w:val="left"/>
      <w:lvlText w:val="(%1)"/>
      <w:numFmt w:val="decimal"/>
      <w:start w:val="1"/>
    </w:lvl>
    <w:lvl w:ilvl="1">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lvl w:ilvl="1">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5" Type="http://schemas.openxmlformats.org/officeDocument/2006/relationships/hyperlink" Target="http://www.sec.gov/Archives/edgar/data/1653558/000165355820000010/exhibit101truist.htm" TargetMode="External"/><Relationship Id="rId16" Type="http://schemas.openxmlformats.org/officeDocument/2006/relationships/hyperlink" Target="http://www.sec.gov/Archives/edgar/data/1653558/000165355820000010/exhibit102g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2020-05-13T16:10:00Z</dcterms:created>
  <dcterms:modified xsi:type="dcterms:W3CDTF">2020-05-13T16:10:00Z</dcterms:modified>
</cp:coreProperties>
</file>