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10-Q</w:t>
      </w:r>
    </w:p>
    <w:p>
      <w:pPr>
        <w:spacing w:after="0" w:line="238" w:lineRule="exact"/>
        <w:rPr>
          <w:sz w:val="24"/>
          <w:szCs w:val="24"/>
          <w:color w:val="auto"/>
        </w:rPr>
      </w:pPr>
    </w:p>
    <w:p>
      <w:pPr>
        <w:jc w:val="center"/>
        <w:ind w:left="4080" w:right="1280" w:hanging="2676"/>
        <w:spacing w:after="0" w:line="292" w:lineRule="auto"/>
        <w:tabs>
          <w:tab w:leader="none" w:pos="161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1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FFFFFF"/>
        </w:rPr>
        <w:t>Priority Technology Holdings, Inc.</w:t>
      </w:r>
    </w:p>
    <w:p>
      <w:pPr>
        <w:spacing w:after="0" w:line="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51435</wp:posOffset>
            </wp:positionV>
            <wp:extent cx="240030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Pr>
          <w:p>
            <w:pPr>
              <w:spacing w:after="0"/>
              <w:rPr>
                <w:sz w:val="20"/>
                <w:szCs w:val="20"/>
                <w:color w:val="auto"/>
              </w:rPr>
            </w:pPr>
          </w:p>
        </w:tc>
        <w:tc>
          <w:tcPr>
            <w:tcW w:w="3680" w:type="dxa"/>
            <w:vAlign w:val="bottom"/>
            <w:tcBorders>
              <w:bottom w:val="single" w:sz="8" w:color="auto"/>
            </w:tcBorders>
          </w:tcPr>
          <w:p>
            <w:pPr>
              <w:jc w:val="right"/>
              <w:ind w:right="1333"/>
              <w:spacing w:after="0"/>
              <w:rPr>
                <w:sz w:val="20"/>
                <w:szCs w:val="20"/>
                <w:color w:val="auto"/>
              </w:rPr>
            </w:pPr>
            <w:r>
              <w:rPr>
                <w:rFonts w:ascii="Arial" w:cs="Arial" w:eastAsia="Arial" w:hAnsi="Arial"/>
                <w:sz w:val="18"/>
                <w:szCs w:val="18"/>
                <w:b w:val="1"/>
                <w:bCs w:val="1"/>
                <w:color w:val="auto"/>
              </w:rPr>
              <w:t>47-4257046</w:t>
            </w:r>
          </w:p>
        </w:tc>
      </w:tr>
      <w:tr>
        <w:trPr>
          <w:trHeight w:val="244"/>
        </w:trPr>
        <w:tc>
          <w:tcPr>
            <w:tcW w:w="4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627"/>
        </w:trPr>
        <w:tc>
          <w:tcPr>
            <w:tcW w:w="8660" w:type="dxa"/>
            <w:vAlign w:val="bottom"/>
            <w:gridSpan w:val="3"/>
          </w:tcPr>
          <w:p>
            <w:pPr>
              <w:jc w:val="right"/>
              <w:ind w:right="3393"/>
              <w:spacing w:after="0"/>
              <w:rPr>
                <w:sz w:val="20"/>
                <w:szCs w:val="20"/>
                <w:color w:val="auto"/>
              </w:rPr>
            </w:pPr>
            <w:r>
              <w:rPr>
                <w:rFonts w:ascii="Arial" w:cs="Arial" w:eastAsia="Arial" w:hAnsi="Arial"/>
                <w:sz w:val="18"/>
                <w:szCs w:val="18"/>
                <w:b w:val="1"/>
                <w:bCs w:val="1"/>
                <w:color w:val="auto"/>
              </w:rPr>
              <w:t>2001 Westside Parkway</w:t>
            </w:r>
          </w:p>
        </w:tc>
      </w:tr>
      <w:tr>
        <w:trPr>
          <w:trHeight w:val="257"/>
        </w:trPr>
        <w:tc>
          <w:tcPr>
            <w:tcW w:w="4980" w:type="dxa"/>
            <w:vAlign w:val="bottom"/>
            <w:gridSpan w:val="2"/>
          </w:tcPr>
          <w:p>
            <w:pPr>
              <w:ind w:left="4020"/>
              <w:spacing w:after="0"/>
              <w:rPr>
                <w:sz w:val="20"/>
                <w:szCs w:val="20"/>
                <w:color w:val="auto"/>
              </w:rPr>
            </w:pPr>
            <w:r>
              <w:rPr>
                <w:rFonts w:ascii="Arial" w:cs="Arial" w:eastAsia="Arial" w:hAnsi="Arial"/>
                <w:sz w:val="18"/>
                <w:szCs w:val="18"/>
                <w:b w:val="1"/>
                <w:bCs w:val="1"/>
                <w:color w:val="auto"/>
              </w:rPr>
              <w:t>Suite 155</w:t>
            </w:r>
          </w:p>
        </w:tc>
        <w:tc>
          <w:tcPr>
            <w:tcW w:w="3680" w:type="dxa"/>
            <w:vAlign w:val="bottom"/>
          </w:tcPr>
          <w:p>
            <w:pPr>
              <w:spacing w:after="0"/>
              <w:rPr>
                <w:sz w:val="22"/>
                <w:szCs w:val="22"/>
                <w:color w:val="auto"/>
              </w:rPr>
            </w:pPr>
          </w:p>
        </w:tc>
      </w:tr>
      <w:tr>
        <w:trPr>
          <w:trHeight w:val="256"/>
        </w:trPr>
        <w:tc>
          <w:tcPr>
            <w:tcW w:w="4980" w:type="dxa"/>
            <w:vAlign w:val="bottom"/>
            <w:tcBorders>
              <w:bottom w:val="single" w:sz="8" w:color="auto"/>
            </w:tcBorders>
            <w:gridSpan w:val="2"/>
          </w:tcPr>
          <w:p>
            <w:pPr>
              <w:ind w:left="3040"/>
              <w:spacing w:after="0"/>
              <w:rPr>
                <w:sz w:val="20"/>
                <w:szCs w:val="20"/>
                <w:color w:val="auto"/>
              </w:rPr>
            </w:pPr>
            <w:r>
              <w:rPr>
                <w:rFonts w:ascii="Arial" w:cs="Arial" w:eastAsia="Arial" w:hAnsi="Arial"/>
                <w:sz w:val="18"/>
                <w:szCs w:val="18"/>
                <w:b w:val="1"/>
                <w:bCs w:val="1"/>
                <w:color w:val="auto"/>
              </w:rPr>
              <w:t>Alpharetta,  GA</w:t>
            </w:r>
          </w:p>
        </w:tc>
        <w:tc>
          <w:tcPr>
            <w:tcW w:w="3680" w:type="dxa"/>
            <w:vAlign w:val="bottom"/>
            <w:tcBorders>
              <w:bottom w:val="single" w:sz="8" w:color="auto"/>
            </w:tcBorders>
          </w:tcPr>
          <w:p>
            <w:pPr>
              <w:jc w:val="right"/>
              <w:ind w:right="3133"/>
              <w:spacing w:after="0"/>
              <w:rPr>
                <w:sz w:val="20"/>
                <w:szCs w:val="20"/>
                <w:color w:val="auto"/>
              </w:rPr>
            </w:pPr>
            <w:r>
              <w:rPr>
                <w:rFonts w:ascii="Arial" w:cs="Arial" w:eastAsia="Arial" w:hAnsi="Arial"/>
                <w:sz w:val="18"/>
                <w:szCs w:val="18"/>
                <w:b w:val="1"/>
                <w:bCs w:val="1"/>
                <w:color w:val="auto"/>
                <w:w w:val="87"/>
              </w:rPr>
              <w:t>30004</w:t>
            </w:r>
          </w:p>
        </w:tc>
      </w:tr>
    </w:tbl>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84" w:lineRule="exact"/>
        <w:rPr>
          <w:sz w:val="24"/>
          <w:szCs w:val="24"/>
          <w:color w:val="auto"/>
        </w:rPr>
      </w:pPr>
    </w:p>
    <w:p>
      <w:pPr>
        <w:ind w:left="6300" w:hanging="1630"/>
        <w:spacing w:after="0"/>
        <w:tabs>
          <w:tab w:leader="none" w:pos="6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935-5964</w:t>
      </w:r>
    </w:p>
    <w:p>
      <w:pPr>
        <w:spacing w:after="0" w:line="81" w:lineRule="exact"/>
        <w:rPr>
          <w:rFonts w:ascii="Arial" w:cs="Arial" w:eastAsia="Arial" w:hAnsi="Arial"/>
          <w:sz w:val="18"/>
          <w:szCs w:val="18"/>
          <w:b w:val="1"/>
          <w:bCs w:val="1"/>
          <w:color w:val="auto"/>
        </w:rPr>
      </w:pPr>
    </w:p>
    <w:p>
      <w:pPr>
        <w:ind w:left="390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-150495</wp:posOffset>
            </wp:positionV>
            <wp:extent cx="5503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5503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89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Borders>
              <w:top w:val="single" w:sz="8" w:color="auto"/>
              <w:right w:val="single" w:sz="8" w:color="auto"/>
            </w:tcBorders>
          </w:tcPr>
          <w:p>
            <w:pPr>
              <w:spacing w:after="0"/>
              <w:rPr>
                <w:sz w:val="21"/>
                <w:szCs w:val="21"/>
                <w:color w:val="auto"/>
              </w:rPr>
            </w:pP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00" w:type="dxa"/>
            <w:vAlign w:val="bottom"/>
            <w:tcBorders>
              <w:top w:val="single" w:sz="8" w:color="auto"/>
              <w:right w:val="single" w:sz="8" w:color="auto"/>
            </w:tcBorders>
          </w:tcPr>
          <w:p>
            <w:pPr>
              <w:spacing w:after="0"/>
              <w:rPr>
                <w:sz w:val="21"/>
                <w:szCs w:val="21"/>
                <w:color w:val="auto"/>
              </w:rPr>
            </w:pP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3"/>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0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10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32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Arial" w:cs="Arial" w:eastAsia="Arial" w:hAnsi="Arial"/>
                <w:sz w:val="18"/>
                <w:szCs w:val="18"/>
                <w:color w:val="auto"/>
                <w:w w:val="97"/>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3"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As of August 6, 2021, a total of 69,588,501 shares of common stock, par value $0.001 per share, were issued and 69,137,277 shares were outstanding.</w:t>
      </w:r>
    </w:p>
    <w:p>
      <w:pPr>
        <w:sectPr>
          <w:pgSz w:w="11900" w:h="16838" w:orient="portrait"/>
          <w:cols w:equalWidth="0" w:num="1">
            <w:col w:w="11120"/>
          </w:cols>
          <w:pgMar w:left="320" w:top="1188" w:right="459" w:bottom="142"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60" w:type="dxa"/>
            <w:vAlign w:val="bottom"/>
            <w:gridSpan w:val="8"/>
          </w:tcPr>
          <w:p>
            <w:pPr>
              <w:ind w:left="140"/>
              <w:spacing w:after="0"/>
              <w:rPr>
                <w:sz w:val="20"/>
                <w:szCs w:val="20"/>
                <w:color w:val="auto"/>
              </w:rPr>
            </w:pPr>
            <w:r>
              <w:rPr>
                <w:rFonts w:ascii="Arial" w:cs="Arial" w:eastAsia="Arial" w:hAnsi="Arial"/>
                <w:sz w:val="18"/>
                <w:szCs w:val="18"/>
                <w:b w:val="1"/>
                <w:bCs w:val="1"/>
                <w:color w:val="auto"/>
              </w:rPr>
              <w:t>Priority Technology Holdings,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6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w w:val="93"/>
              </w:rPr>
              <w:t>Quarterly Report on Form 10-Q</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6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w w:val="88"/>
              </w:rPr>
              <w:t>June 30, 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6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9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7"/>
          </w:tcPr>
          <w:p>
            <w:pPr>
              <w:ind w:left="16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86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9580" w:type="dxa"/>
            <w:vAlign w:val="bottom"/>
            <w:gridSpan w:val="21"/>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60" w:type="dxa"/>
            <w:vAlign w:val="bottom"/>
          </w:tcPr>
          <w:p>
            <w:pPr>
              <w:spacing w:after="0"/>
              <w:rPr>
                <w:sz w:val="24"/>
                <w:szCs w:val="24"/>
                <w:color w:val="auto"/>
              </w:rPr>
            </w:pPr>
          </w:p>
        </w:tc>
        <w:tc>
          <w:tcPr>
            <w:tcW w:w="280" w:type="dxa"/>
            <w:vAlign w:val="bottom"/>
            <w:tcBorders>
              <w:top w:val="single" w:sz="8" w:color="auto"/>
            </w:tcBorders>
            <w:gridSpan w:val="4"/>
          </w:tcPr>
          <w:p>
            <w:pPr>
              <w:jc w:val="cente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Item 1.</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440" w:type="dxa"/>
            <w:vAlign w:val="bottom"/>
            <w:gridSpan w:val="5"/>
          </w:tcPr>
          <w:p>
            <w:pPr>
              <w:jc w:val="center"/>
              <w:ind w:left="1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Condensed Consolidated Balance Sheets as of June 30, 2021 and December 31, 2020</w:t>
              </w:r>
            </w:hyperlink>
          </w:p>
        </w:tc>
        <w:tc>
          <w:tcPr>
            <w:tcW w:w="440" w:type="dxa"/>
            <w:vAlign w:val="bottom"/>
            <w:gridSpan w:val="5"/>
          </w:tcPr>
          <w:p>
            <w:pPr>
              <w:jc w:val="center"/>
              <w:ind w:left="1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Unaudited Condensed Consolidated Statements of Operations for the Three Months and Six Months Ended June 30,</w:t>
              </w:r>
            </w:hyperlink>
          </w:p>
        </w:tc>
        <w:tc>
          <w:tcPr>
            <w:tcW w:w="440" w:type="dxa"/>
            <w:vAlign w:val="bottom"/>
            <w:gridSpan w:val="5"/>
          </w:tcPr>
          <w:p>
            <w:pPr>
              <w:jc w:val="center"/>
              <w:ind w:left="1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2021 and June 30, 2020</w:t>
              </w:r>
            </w:hyperlink>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Unaudited Condensed Consolidated Statements of Cash Flows for the Six Months Ended June 30, 2021 and June 30,</w:t>
              </w:r>
            </w:hyperlink>
          </w:p>
        </w:tc>
        <w:tc>
          <w:tcPr>
            <w:tcW w:w="440" w:type="dxa"/>
            <w:vAlign w:val="bottom"/>
            <w:gridSpan w:val="5"/>
          </w:tcPr>
          <w:p>
            <w:pPr>
              <w:jc w:val="center"/>
              <w:ind w:left="15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2020</w:t>
              </w:r>
            </w:hyperlink>
          </w:p>
        </w:tc>
        <w:tc>
          <w:tcPr>
            <w:tcW w:w="2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Unaudited Condensed Consolidated Financial Statements</w:t>
              </w:r>
            </w:hyperlink>
          </w:p>
        </w:tc>
        <w:tc>
          <w:tcPr>
            <w:tcW w:w="440" w:type="dxa"/>
            <w:vAlign w:val="bottom"/>
            <w:gridSpan w:val="5"/>
          </w:tcPr>
          <w:p>
            <w:pPr>
              <w:jc w:val="center"/>
              <w:ind w:left="15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Item 2.</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1">
              <w:r>
                <w:rPr>
                  <w:rFonts w:ascii="Arial" w:cs="Arial" w:eastAsia="Arial" w:hAnsi="Arial"/>
                  <w:sz w:val="18"/>
                  <w:szCs w:val="18"/>
                  <w:color w:val="0000FF"/>
                  <w:w w:val="87"/>
                </w:rPr>
                <w:t>Item 3.</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2">
              <w:r>
                <w:rPr>
                  <w:rFonts w:ascii="Arial" w:cs="Arial" w:eastAsia="Arial" w:hAnsi="Arial"/>
                  <w:sz w:val="18"/>
                  <w:szCs w:val="18"/>
                  <w:color w:val="0000FF"/>
                  <w:w w:val="87"/>
                </w:rPr>
                <w:t>Item 4.</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49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60" w:type="dxa"/>
            <w:vAlign w:val="bottom"/>
            <w:gridSpan w:val="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Part II.</w:t>
              </w:r>
            </w:hyperlink>
          </w:p>
        </w:tc>
        <w:tc>
          <w:tcPr>
            <w:tcW w:w="9580" w:type="dxa"/>
            <w:vAlign w:val="bottom"/>
            <w:gridSpan w:val="21"/>
          </w:tcPr>
          <w:p>
            <w:pPr>
              <w:ind w:left="20"/>
              <w:spacing w:after="0"/>
              <w:rPr>
                <w:rFonts w:ascii="Arial" w:cs="Arial" w:eastAsia="Arial" w:hAnsi="Arial"/>
                <w:sz w:val="18"/>
                <w:szCs w:val="18"/>
                <w:color w:val="0000FF"/>
              </w:rPr>
            </w:pPr>
            <w:hyperlink w:anchor="page52">
              <w:r>
                <w:rPr>
                  <w:rFonts w:ascii="Arial" w:cs="Arial" w:eastAsia="Arial" w:hAnsi="Arial"/>
                  <w:sz w:val="18"/>
                  <w:szCs w:val="18"/>
                  <w:color w:val="0000FF"/>
                </w:rPr>
                <w:t>Other Information</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50</w:t>
              </w:r>
            </w:hyperlink>
          </w:p>
        </w:tc>
        <w:tc>
          <w:tcPr>
            <w:tcW w:w="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Item 1.</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Item 1A.</w:t>
              </w:r>
            </w:hyperlink>
          </w:p>
        </w:tc>
        <w:tc>
          <w:tcPr>
            <w:tcW w:w="858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Item 2.</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Item 3.</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Defaults Upon Senior Securities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260" w:type="dxa"/>
            <w:vAlign w:val="bottom"/>
            <w:gridSpan w:val="8"/>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Item 4.</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Mine Safety Disclosures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82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Item 5.</w:t>
              </w:r>
            </w:hyperlink>
          </w:p>
        </w:tc>
        <w:tc>
          <w:tcPr>
            <w:tcW w:w="480" w:type="dxa"/>
            <w:vAlign w:val="bottom"/>
            <w:gridSpan w:val="2"/>
          </w:tcPr>
          <w:p>
            <w:pPr>
              <w:spacing w:after="0"/>
              <w:rPr>
                <w:sz w:val="18"/>
                <w:szCs w:val="18"/>
                <w:color w:val="auto"/>
              </w:rPr>
            </w:pPr>
          </w:p>
        </w:tc>
        <w:tc>
          <w:tcPr>
            <w:tcW w:w="858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Other Information</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ind w:left="2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Item 6.</w:t>
              </w:r>
            </w:hyperlink>
          </w:p>
        </w:tc>
        <w:tc>
          <w:tcPr>
            <w:tcW w:w="480" w:type="dxa"/>
            <w:vAlign w:val="bottom"/>
            <w:gridSpan w:val="2"/>
          </w:tcPr>
          <w:p>
            <w:pPr>
              <w:spacing w:after="0"/>
              <w:rPr>
                <w:sz w:val="24"/>
                <w:szCs w:val="24"/>
                <w:color w:val="auto"/>
              </w:rPr>
            </w:pPr>
          </w:p>
        </w:tc>
        <w:tc>
          <w:tcPr>
            <w:tcW w:w="858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Exhibits</w:t>
              </w:r>
            </w:hyperlink>
          </w:p>
        </w:tc>
        <w:tc>
          <w:tcPr>
            <w:tcW w:w="520" w:type="dxa"/>
            <w:vAlign w:val="bottom"/>
            <w:gridSpan w:val="6"/>
          </w:tcPr>
          <w:p>
            <w:pPr>
              <w:jc w:val="center"/>
              <w:ind w:left="9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51</w:t>
              </w:r>
            </w:hyperlink>
          </w:p>
        </w:tc>
        <w:tc>
          <w:tcPr>
            <w:tcW w:w="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60" w:type="dxa"/>
            <w:vAlign w:val="bottom"/>
            <w:gridSpan w:val="3"/>
          </w:tcPr>
          <w:p>
            <w:pPr>
              <w:spacing w:after="0"/>
              <w:rPr>
                <w:rFonts w:ascii="Arial" w:cs="Arial" w:eastAsia="Arial" w:hAnsi="Arial"/>
                <w:sz w:val="18"/>
                <w:szCs w:val="18"/>
                <w:color w:val="0000FF"/>
                <w:w w:val="97"/>
              </w:rPr>
            </w:pPr>
            <w:hyperlink w:anchor="page54">
              <w:r>
                <w:rPr>
                  <w:rFonts w:ascii="Arial" w:cs="Arial" w:eastAsia="Arial" w:hAnsi="Arial"/>
                  <w:sz w:val="18"/>
                  <w:szCs w:val="18"/>
                  <w:color w:val="0000FF"/>
                  <w:w w:val="97"/>
                </w:rPr>
                <w:t>Signatures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6"/>
          </w:tcPr>
          <w:p>
            <w:pPr>
              <w:jc w:val="center"/>
              <w:ind w:left="9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52</w:t>
              </w:r>
            </w:hyperlink>
          </w:p>
        </w:tc>
        <w:tc>
          <w:tcPr>
            <w:tcW w:w="260" w:type="dxa"/>
            <w:vAlign w:val="bottom"/>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i w:val="1"/>
                <w:iCs w:val="1"/>
                <w:color w:val="auto"/>
                <w:w w:val="92"/>
              </w:rPr>
              <w:t>Unaudited</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0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78,879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of $417 and $574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41,321</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receivable, net of allowance of $467 and $467</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assets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135,884</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Notes receivable, less current portion</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124,078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106,832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98,057</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3"/>
        </w:trPr>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417,829</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29,821</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Accrued residual commissions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23,824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 and advance payments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148,848</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357,873</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367,545</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516,393</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Redeemable senior preferred stock:</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Redeemable senior preferred stock - $0.001 par value per share; 250,000 shares authorized; 150,000</w:t>
            </w:r>
          </w:p>
        </w:tc>
        <w:tc>
          <w:tcPr>
            <w:tcW w:w="2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133,762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150,000 shares outstanding at June 30, 2021</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Preferred stock - $0.001 par value per share; 100,000,000 shares authorized; zero issued or</w:t>
            </w:r>
          </w:p>
        </w:tc>
        <w:tc>
          <w:tcPr>
            <w:tcW w:w="22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40"/>
              <w:spacing w:after="0" w:line="176" w:lineRule="exact"/>
              <w:rPr>
                <w:sz w:val="20"/>
                <w:szCs w:val="20"/>
                <w:color w:val="auto"/>
              </w:rPr>
            </w:pPr>
            <w:r>
              <w:rPr>
                <w:rFonts w:ascii="Arial" w:cs="Arial" w:eastAsia="Arial" w:hAnsi="Arial"/>
                <w:sz w:val="18"/>
                <w:szCs w:val="18"/>
                <w:color w:val="auto"/>
                <w:w w:val="89"/>
              </w:rPr>
              <w:t>Common stock - $0.001 par value per share; 1.0 billion shares authorized; 69,561,311 shares issued at</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20" w:type="dxa"/>
            <w:vAlign w:val="bottom"/>
          </w:tcPr>
          <w:p>
            <w:pPr>
              <w:ind w:left="140"/>
              <w:spacing w:after="0" w:line="176" w:lineRule="exact"/>
              <w:rPr>
                <w:sz w:val="20"/>
                <w:szCs w:val="20"/>
                <w:color w:val="auto"/>
              </w:rPr>
            </w:pPr>
            <w:r>
              <w:rPr>
                <w:rFonts w:ascii="Arial" w:cs="Arial" w:eastAsia="Arial" w:hAnsi="Arial"/>
                <w:sz w:val="18"/>
                <w:szCs w:val="18"/>
                <w:color w:val="auto"/>
                <w:w w:val="89"/>
              </w:rPr>
              <w:t>June 30, 2021 and 67,842,204 shares issued at December 31, 2020; 69,110,087 shares outstanding at</w:t>
            </w: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June 30, 2021 and 67,390,980 shares outstanding at December 31, 2020</w:t>
            </w:r>
          </w:p>
        </w:tc>
        <w:tc>
          <w:tcPr>
            <w:tcW w:w="2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Treasury stock, 451,224 common shares, at cost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(102,013)</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(98,564)</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redeemable senior preferred stock and stockholders'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shd w:val="clear" w:color="auto" w:fill="CCEEFF"/>
          </w:tcPr>
          <w:p>
            <w:pPr>
              <w:spacing w:after="0"/>
              <w:rPr>
                <w:sz w:val="19"/>
                <w:szCs w:val="19"/>
                <w:color w:val="auto"/>
              </w:rPr>
            </w:pPr>
          </w:p>
        </w:tc>
        <w:tc>
          <w:tcPr>
            <w:tcW w:w="294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shd w:val="clear" w:color="auto" w:fill="CCEEFF"/>
          </w:tcPr>
          <w:p>
            <w:pPr>
              <w:spacing w:after="0"/>
              <w:rPr>
                <w:sz w:val="19"/>
                <w:szCs w:val="19"/>
                <w:color w:val="auto"/>
              </w:rPr>
            </w:pPr>
          </w:p>
        </w:tc>
        <w:tc>
          <w:tcPr>
            <w:tcW w:w="254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189,289</w:t>
            </w:r>
          </w:p>
        </w:tc>
        <w:tc>
          <w:tcPr>
            <w:tcW w:w="0" w:type="dxa"/>
            <w:vAlign w:val="bottom"/>
          </w:tcPr>
          <w:p>
            <w:pPr>
              <w:spacing w:after="0"/>
              <w:rPr>
                <w:sz w:val="1"/>
                <w:szCs w:val="1"/>
                <w:color w:val="auto"/>
              </w:rPr>
            </w:pPr>
          </w:p>
        </w:tc>
      </w:tr>
      <w:tr>
        <w:trPr>
          <w:trHeight w:val="183"/>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Costs of services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171,694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128,762</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Salary and employee benefits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20,635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181,699</w:t>
            </w:r>
          </w:p>
        </w:tc>
        <w:tc>
          <w:tcPr>
            <w:tcW w:w="0" w:type="dxa"/>
            <w:vAlign w:val="bottom"/>
          </w:tcPr>
          <w:p>
            <w:pPr>
              <w:spacing w:after="0"/>
              <w:rPr>
                <w:sz w:val="1"/>
                <w:szCs w:val="1"/>
                <w:color w:val="auto"/>
              </w:rPr>
            </w:pPr>
          </w:p>
        </w:tc>
      </w:tr>
      <w:tr>
        <w:trPr>
          <w:trHeight w:val="88"/>
        </w:trPr>
        <w:tc>
          <w:tcPr>
            <w:tcW w:w="5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142"/>
        </w:trPr>
        <w:tc>
          <w:tcPr>
            <w:tcW w:w="5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(21,983)</w:t>
            </w: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(expenses),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(22,135)</w:t>
            </w:r>
          </w:p>
        </w:tc>
        <w:tc>
          <w:tcPr>
            <w:tcW w:w="0" w:type="dxa"/>
            <w:vAlign w:val="bottom"/>
          </w:tcPr>
          <w:p>
            <w:pPr>
              <w:spacing w:after="0"/>
              <w:rPr>
                <w:sz w:val="1"/>
                <w:szCs w:val="1"/>
                <w:color w:val="auto"/>
              </w:rPr>
            </w:pPr>
          </w:p>
        </w:tc>
      </w:tr>
      <w:tr>
        <w:trPr>
          <w:trHeight w:val="88"/>
        </w:trPr>
        <w:tc>
          <w:tcPr>
            <w:tcW w:w="5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108"/>
        </w:trPr>
        <w:tc>
          <w:tcPr>
            <w:tcW w:w="5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88"/>
        </w:trPr>
        <w:tc>
          <w:tcPr>
            <w:tcW w:w="5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175"/>
        </w:trPr>
        <w:tc>
          <w:tcPr>
            <w:tcW w:w="5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Dividends and accretion attributable to redeemable senior preferred</w:t>
            </w: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w:t>
            </w:r>
          </w:p>
        </w:tc>
        <w:tc>
          <w:tcPr>
            <w:tcW w:w="2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Non-controlling interest preferred unit redemptions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 of PRTH</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08"/>
        </w:trPr>
        <w:tc>
          <w:tcPr>
            <w:tcW w:w="5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67,088</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gridSpan w:val="4"/>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8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(13,727)</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 and amortization of assets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20,635</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Equity-classified and liability-classified stock-based compensation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 off of deferred loan costs and discount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Deferred income tax benefit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(3,569)</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allowance for deferred tax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Payment-in-kind interest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items,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Change in operating assets and liabilities (net of acquisitions):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29"/>
        </w:trPr>
        <w:tc>
          <w:tcPr>
            <w:tcW w:w="7820" w:type="dxa"/>
            <w:vAlign w:val="bottom"/>
          </w:tcPr>
          <w:p>
            <w:pPr>
              <w:ind w:left="240"/>
              <w:spacing w:after="0"/>
              <w:rPr>
                <w:sz w:val="20"/>
                <w:szCs w:val="20"/>
                <w:color w:val="auto"/>
              </w:rPr>
            </w:pPr>
            <w:r>
              <w:rPr>
                <w:rFonts w:ascii="Arial" w:cs="Arial" w:eastAsia="Arial" w:hAnsi="Arial"/>
                <w:sz w:val="18"/>
                <w:szCs w:val="18"/>
                <w:color w:val="auto"/>
              </w:rPr>
              <w:t>Settlement assets and obligations,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30"/>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7820" w:type="dxa"/>
            <w:vAlign w:val="bottom"/>
          </w:tcPr>
          <w:p>
            <w:pPr>
              <w:ind w:left="24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30"/>
        </w:trPr>
        <w:tc>
          <w:tcPr>
            <w:tcW w:w="7820" w:type="dxa"/>
            <w:vAlign w:val="bottom"/>
          </w:tcPr>
          <w:p>
            <w:pPr>
              <w:ind w:left="240"/>
              <w:spacing w:after="0"/>
              <w:rPr>
                <w:sz w:val="20"/>
                <w:szCs w:val="20"/>
                <w:color w:val="auto"/>
              </w:rPr>
            </w:pPr>
            <w:r>
              <w:rPr>
                <w:rFonts w:ascii="Arial" w:cs="Arial" w:eastAsia="Arial" w:hAnsi="Arial"/>
                <w:sz w:val="18"/>
                <w:szCs w:val="18"/>
                <w:color w:val="auto"/>
              </w:rPr>
              <w:t>Customer deposits and advance payments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(2,046)</w:t>
            </w:r>
          </w:p>
        </w:tc>
      </w:tr>
      <w:tr>
        <w:trPr>
          <w:trHeight w:val="229"/>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 and liabilities,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9,822</w:t>
            </w:r>
          </w:p>
        </w:tc>
      </w:tr>
      <w:tr>
        <w:trPr>
          <w:trHeight w:val="88"/>
        </w:trPr>
        <w:tc>
          <w:tcPr>
            <w:tcW w:w="78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business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(4,249)</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of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r>
      <w:tr>
        <w:trPr>
          <w:trHeight w:val="88"/>
        </w:trPr>
        <w:tc>
          <w:tcPr>
            <w:tcW w:w="78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 net of issue discount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Debt issuance and modification costs paid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Borrowings under revolving credit facility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under revolving credit facility</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Proceeds from issuance of senior preferred equity, net of issue discount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preferred equity issuance fees and costs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Dividends paid to redeemable senior preferred stockholders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Redemptions of non-controlling interests of subsidiary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88"/>
        </w:trPr>
        <w:tc>
          <w:tcPr>
            <w:tcW w:w="7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restricted cash:</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Net (decrease) increase in cash and restricted cash</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(58,777)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50,465</w:t>
            </w:r>
          </w:p>
        </w:tc>
      </w:tr>
      <w:tr>
        <w:trPr>
          <w:trHeight w:val="223"/>
        </w:trPr>
        <w:tc>
          <w:tcPr>
            <w:tcW w:w="7820" w:type="dxa"/>
            <w:vAlign w:val="bottom"/>
          </w:tcPr>
          <w:p>
            <w:pPr>
              <w:ind w:left="140"/>
              <w:spacing w:after="0"/>
              <w:rPr>
                <w:sz w:val="20"/>
                <w:szCs w:val="20"/>
                <w:color w:val="auto"/>
              </w:rPr>
            </w:pPr>
            <w:r>
              <w:rPr>
                <w:rFonts w:ascii="Arial" w:cs="Arial" w:eastAsia="Arial" w:hAnsi="Arial"/>
                <w:sz w:val="18"/>
                <w:szCs w:val="18"/>
                <w:color w:val="auto"/>
              </w:rPr>
              <w:t>Cash and restricted cash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17,032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Payment-in-kind interest added to principal of debt obligations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accrued contingent consideration for asset acquisition from offset of account receivable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Accruals for asset acquisition contingent consideration</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receivable from sellers used as partial consideration for acquisitions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and restricted cash:</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45,146</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restricted cash</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Consolidation, and Presentation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12529"/>
        </w:rPr>
        <w:t xml:space="preserve">Priority Technology Holdings, Inc. and its consolidated subsidiaries are referred to herein collectively as "Priority," "PRTH," the "Company," "we," "our" or "us," unless the context requires otherwise. </w:t>
      </w:r>
      <w:r>
        <w:rPr>
          <w:rFonts w:ascii="Arial" w:cs="Arial" w:eastAsia="Arial" w:hAnsi="Arial"/>
          <w:sz w:val="16"/>
          <w:szCs w:val="16"/>
          <w:color w:val="000000"/>
        </w:rPr>
        <w:t>Priority is a provider of merchant acquiring, integrated payment software and commercial payment solutions.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unaudited condensed consolidated financial statements include the accounts of the Company including those of its majority-owned subsidiaries, and all material intercompany balances and transactions have been eliminated in consolidation. These unaudited condensed consolidated financial statements have been prepared in accordance with Generally Accepted Accounting Principles in the United States ("GAAP") for interim financial information pursuant to the rules and regulations of the Securities and Exchange Commission ("SEC"). The consolidated balance sheet as of December 31, 2020 was derived from the audited financial statements included in the Company's Annual Report on Form 10-K for the year ended December 31, 2020 but does not include all disclosures required by GAAP for annual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the Company's management, all known adjustments necessary for a fair presentation of the results of the interim periods have been made. These adjustments consist of normal recurring accruals and estimates that affect the carrying amount of assets and liabilities. These financial statements should be read in conjunction with the consolidated financial statements and notes thereto included in the Company's Annual Report on Form 10-K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materially from those estimates. </w:t>
      </w:r>
      <w:r>
        <w:rPr>
          <w:rFonts w:ascii="Arial" w:cs="Arial" w:eastAsia="Arial" w:hAnsi="Arial"/>
          <w:sz w:val="17"/>
          <w:szCs w:val="17"/>
          <w:color w:val="212529"/>
        </w:rPr>
        <w:t>In particular, the continued magnitude,</w:t>
      </w:r>
      <w:r>
        <w:rPr>
          <w:rFonts w:ascii="Arial" w:cs="Arial" w:eastAsia="Arial" w:hAnsi="Arial"/>
          <w:sz w:val="17"/>
          <w:szCs w:val="17"/>
          <w:color w:val="auto"/>
        </w:rPr>
        <w:t xml:space="preserve"> </w:t>
      </w:r>
      <w:r>
        <w:rPr>
          <w:rFonts w:ascii="Arial" w:cs="Arial" w:eastAsia="Arial" w:hAnsi="Arial"/>
          <w:sz w:val="17"/>
          <w:szCs w:val="17"/>
          <w:color w:val="212529"/>
        </w:rPr>
        <w:t>duration and effects of the Coronavirus Disease ("COVID-19") pandemic are difficult to predict, and the ultimate effect could result in future charges related to the recoverability of assets, including financial assets, long-lived assets, goodwill, and other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Status as an Emerging Growth Company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 for any fiscal year exceeds $1.07 billion, the Company would cease to be an EGC as of the beginning of the following year. As an EGC, the Company is not required to comply with the auditor attestation requirements of Section 404 of the Sarbanes-Oxley Act of 2002. Additionally, the Company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and six months ended June 30, 2021 and June 30, 2020, the Company had no activities to report as components of other comprehensive income (loss). Therefore, no separate Statement of Comprehensive Income (Loss)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prepared for any reporting period as the Company's net income (loss) from continuing operations comprises all of its comprehensive income (loss).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Comparability of Reporting Periods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amounts in these unaudited condensed consolidated financial statements have been reclassified to conform to the current period presentation, with no net effect on income from operations, income (loss) before income taxes, net income (loss), stockholders' deficit, or cash flows from operations, investing, or financing activities for any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New Accounting Standards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 (ASU 2019-12)</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2019, the FASB issued Accounting Standards Update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which is intended to enhance and simplify various aspects of the accounting for income taxes. The amendments in this update remove certain exceptions to the general principles in ASC Topic 740 related to the approach for intra-period tax allocation, the methodology for calculating income taxes in an interim period and the recognition of deferred tax liabilities for outside basis differences. ASU 2019-12 also clarifies and amends existing guidance to improve consistency in application of the accounting for franchise taxes, enacted changes in tax laws or rates and transactions that result in a step-up in the tax basis of goodwill. The adoption of ASU 2019-12 on January 1, 2021 did not have a material effect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Pending Adoption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standards are pending adoption and will likely apply to the Company in future periods based on the Company's current business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Company's annual reporting period beginning January 1, 2021, and will be effective for interim periods beginning in 2022. The amendments are applied either retrospectively or prospectively to all implementation costs incurred after the date of adoption, and the Company has not yet made a determination to use the retrospective or prospective adoption method. Based on current operations of the Company, the adoption of ASU 2018-15 is not expected to have a material effect on the Company's results of operations, financial position,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2020-04)</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March 12, 2020, the FASB issued ASU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Facilitation of the Effects of Reference Rate Reform on Financial Reporting. This ASU provides temporary optional expedients and exceptions to the GAAP guidance on contract modifications and hedge accounting to ease the financial reporting burdens of the expected market transition from the London Interbank Offered Rate ("LIBOR") and other interbank offered rates to alternative reference rates, such as the Secured Overnight Financial Rate. Entities can elect not to apply certain modification accounting requirements to contracts affected by what the guidance calls reference rate reform, if certain criteria are met. An entity that makes this election would not have to remeasure the contract at the modification date or reassess a previous accounting determination. ASU 2021-01 ASU 2020-04 can be adopted at any time before December 31, 2022. The provisions of ASU 2020-04 may impact the Company if future debt modifications or refinancings utilize one or more of the reference rates covered by the provisions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(ASC 842)</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and interim reporting periods beginning 2022.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 and ASU 2018-19)</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This new guidance will change how entities account for credit impairment for trade and other receivables, as well as for certain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and notes receivable. Since the Company is a Smaller Reporting Company (“SRC”), the Company must adopt this new standard no later than the beginning of 2023 for annual and interim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Since the Company is a SRC, the Company must adopt this new standard no later than the beginning of 2023 for annual and interim reporting periods.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REVENUES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all periods presented, substantially all of the Company’s revenues from services were recognized over time. Revenues and commissions earned from the sales of payment equipment were typically recognized at a point in time.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disaggregation of the Company's consolidated revenues by type, and the relationships to the Company's reportable segments, for the three months and six months ended June 30, 2021 and June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312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shd w:val="clear" w:color="auto" w:fill="CCEEFF"/>
          </w:tcPr>
          <w:p>
            <w:pPr>
              <w:spacing w:after="0"/>
              <w:rPr>
                <w:sz w:val="19"/>
                <w:szCs w:val="19"/>
                <w:color w:val="auto"/>
              </w:rPr>
            </w:pPr>
          </w:p>
        </w:tc>
        <w:tc>
          <w:tcPr>
            <w:tcW w:w="2760" w:type="dxa"/>
            <w:vAlign w:val="bottom"/>
            <w:gridSpan w:val="4"/>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7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118,367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85,686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226,069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174,772</w:t>
            </w:r>
          </w:p>
        </w:tc>
      </w:tr>
      <w:tr>
        <w:trPr>
          <w:trHeight w:val="229"/>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12,756</w:t>
            </w:r>
          </w:p>
        </w:tc>
      </w:tr>
      <w:tr>
        <w:trPr>
          <w:trHeight w:val="230"/>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Equipment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189,289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in these disaggregated categories consist of following:</w:t>
      </w:r>
    </w:p>
    <w:p>
      <w:pPr>
        <w:spacing w:after="0" w:line="225"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Merchant card fees - revenues related to discount rates and interchange fees earned from payment services provided by the Company's Consumer Payments, Commercial Payments, and Integrated Partners segments.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Outsourced services and other services - business process outsourcing services provided by our Commercial Payments segment primarily to certain business customers of American Express, auxiliary services provided primarily to customers in the Company's Integrated Partners segment, and revenue from Automated Clearing House ("ACH") services.</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Equipment - revenues from sales of point-of-sale equipment and other payment-processing equipment sold to customers in the Company's Consumer Payments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Transaction Price Allocated to Future Performance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ASC 606, </w:t>
      </w:r>
      <w:r>
        <w:rPr>
          <w:rFonts w:ascii="Arial" w:cs="Arial" w:eastAsia="Arial" w:hAnsi="Arial"/>
          <w:sz w:val="18"/>
          <w:szCs w:val="18"/>
          <w:i w:val="1"/>
          <w:iCs w:val="1"/>
          <w:color w:val="212529"/>
        </w:rPr>
        <w:t>Revenue Recognition</w:t>
      </w:r>
      <w:r>
        <w:rPr>
          <w:rFonts w:ascii="Arial" w:cs="Arial" w:eastAsia="Arial" w:hAnsi="Arial"/>
          <w:sz w:val="18"/>
          <w:szCs w:val="18"/>
          <w:color w:val="212529"/>
        </w:rPr>
        <w:t xml:space="preserve"> ASU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Contract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For new, renewed, or anticipated contracts with customers, the Company does not incur material amounts of incremental costs to obtain such contracts, as those costs are defined by ASC 340-40, </w:t>
      </w:r>
      <w:r>
        <w:rPr>
          <w:rFonts w:ascii="Arial" w:cs="Arial" w:eastAsia="Arial" w:hAnsi="Arial"/>
          <w:sz w:val="18"/>
          <w:szCs w:val="18"/>
          <w:i w:val="1"/>
          <w:iCs w:val="1"/>
          <w:color w:val="212529"/>
        </w:rPr>
        <w:t>Related Costs to Obtain or Fulfill a Contract with Customers</w:t>
      </w:r>
      <w:r>
        <w:rPr>
          <w:rFonts w:ascii="Arial" w:cs="Arial" w:eastAsia="Arial" w:hAnsi="Arial"/>
          <w:sz w:val="18"/>
          <w:szCs w:val="18"/>
          <w:color w:val="212529"/>
        </w:rPr>
        <w:t xml:space="preserve"> ASU 340-40.</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Fulfillment costs, as defined by ASC 340-40, typically benefit only the period (typically a month in duration) in which they are incurred and therefore are expensed in the period incurred (i.e., not capitalized) unless they meet criteria to be capitalized under other accounting guidance.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The Company pays commissions to most of its Independent Sales Organizations ("ISO"), and for certain ISOs the Company also pays (through a higher commission rate) them to provide customer service and other services directly to our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customers. The ISO is typically an independent contractor or agent of the Company. Although certain ISOs may have merchant portability rights, the merchant meets the definition of a customer for the Company even if the ISO has merchant portability rights. Since payments to ISOs are dependent substantially on variable merchant payment volumes generated after the merchant enters into a new or renewed contract, these payments to ISOs are not deemed to be a cost to acquire a new contract since the ISO payments are based on factors that will arise subsequent to the event of obtaining a new or renewed contract. Also, payments to ISOs pertain only to a specific month’s activity. For payments made, or due, to an ISO, the expenses are reported within income from operations on our statements of operations.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The Company from time-to-time may elect to buy out all or a portion of an ISO’s rights to receive future commission payments related to certain merchants. Amounts paid to the ISO for these residual buyouts are capitalized by the Company under the accounting guidance for intangible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 and are classified as current or noncurrent based on the nature of the underlying contractual rights and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contracts from customers as of June 30, 2021 and December 31, 2020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9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Consolidated Balance Sheet Location</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June 30, 2021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December 31, 2020</w:t>
            </w:r>
          </w:p>
        </w:tc>
      </w:tr>
      <w:tr>
        <w:trPr>
          <w:trHeight w:val="128"/>
        </w:trPr>
        <w:tc>
          <w:tcPr>
            <w:tcW w:w="3360" w:type="dxa"/>
            <w:vAlign w:val="bottom"/>
          </w:tcPr>
          <w:p>
            <w:pPr>
              <w:spacing w:after="0"/>
              <w:rPr>
                <w:sz w:val="11"/>
                <w:szCs w:val="11"/>
                <w:color w:val="auto"/>
              </w:rPr>
            </w:pPr>
          </w:p>
        </w:tc>
        <w:tc>
          <w:tcPr>
            <w:tcW w:w="3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Contract liabilities, net (current)</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Customer deposits and advance payments</w:t>
            </w:r>
          </w:p>
        </w:tc>
        <w:tc>
          <w:tcPr>
            <w:tcW w:w="1940" w:type="dxa"/>
            <w:vAlign w:val="bottom"/>
          </w:tcPr>
          <w:p>
            <w:pPr>
              <w:jc w:val="right"/>
              <w:ind w:right="63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$1,494</w:t>
            </w:r>
          </w:p>
        </w:tc>
      </w:tr>
    </w:tbl>
    <w:p>
      <w:pPr>
        <w:spacing w:after="0" w:line="2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12529"/>
        </w:rPr>
        <w:t>The balances for the contract liabilities were approximately $1.6 million, $1.7 million and $1.9 million at June 30, 2020, March 31, 2020 and January 1, 2020 respectively. The changes in the balances during the three months and six months ended June 30, 2021 and June 30, 2020 were due to the timing of advance payments received from the customer. Substantially all of these balances are recognized as revenue within twelve months.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12529"/>
        </w:rPr>
        <w:t>Net contract assets were not material for any period presented.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Impairment losses recognized on receivables or contract assets arising from the Company's contracts with customers were not material for the three months and six months ended June 30, 2021 and June 30, 2020.</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Consumer Payments Segment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In the Company’s Consumer Payments reportable segment, funds settlement refers to the process of transferring funds for sales and credits between card issuers and merchants. The standards of the card networks restrict non-members, such as the Company, from performing funds settlement or accessing merchant settlement funds. Instead, these funds must be in the possession of a member bank until the merchant is funded. The Company has agreements with member banks which allow the Company to route transactions under the member bank's control to clear transactions through the card networks. Timing differences, interchange fees, merchant reserves and exception items cause differences between the amounts received from the card networks and the amounts funded to the merchants.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Member banks held merchant funds of $120.9 million </w:t>
      </w:r>
      <w:r>
        <w:rPr>
          <w:rFonts w:ascii="Arial" w:cs="Arial" w:eastAsia="Arial" w:hAnsi="Arial"/>
          <w:sz w:val="18"/>
          <w:szCs w:val="18"/>
          <w:color w:val="000000"/>
        </w:rPr>
        <w:t>and $103.8 million at June 30, 2021 and December 31, 2020, respectively.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Exception items that become the liability of the Company are recorded as merchant losses, a component of costs of services in the consolidated statements of operations. Exception items that the Company is still attempting to collect from the merchants through the funds settlement process or merchant reserves are recognized as settlement assets in the Company’s consolidated balance sheets, with an offsetting reserve for those amounts the Company estimates it will not be able to recover. Expenses for actual and estimated merchant losses for the three months and six months ended June 30, 2021 were $0.6 million and $1.0 million, respectively. Expenses for actual and estimated merchant losses for the three months and six months ended June 30, 2020 were $1.2 million and $2.1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Segment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Company’s Commercial Payments segment, the Company earns revenue from certain of its services by processing transactions for financial institutions and other business customers. Customers transfer funds to the Company, which are held in either company-owned bank accounts controlled by the Company or bank-owned For the Benefit Of ("FBO") accounts controlled by the banks, until such time as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related to these funds are not liabilities of the Company; therefore, neither is recognized in the Company’s consolidated balance sheets. Bank-owned FBO accounts held funds of $57.9 million at June 30, 2021, which was the result of a transfer of customer restricted cash from Company-owned bank accounts to bank-owned FBO accounts due to a change in our business practice for certain types of customer deposits and cash advance payments. Company-owned bank accounts held $11.3 million at June 30, 2021 and $72.9 million at December 31, 2020; therefore, these cash balances are included within restricted cash and settlement obligations in the Company’s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obligations at June 30, 2021 and December 31, 2020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Settlement Assets:</w:t>
            </w: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Card settlements due from merchants, net of estimated losses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Obligations: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Due to customer payees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72,878</w:t>
            </w:r>
          </w:p>
        </w:tc>
      </w:tr>
    </w:tbl>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their purchase prices and pre-acquisition operating results and assets, none of the businesses acquired by the Company in 2021, as described below, met the materiality requirements for pro forma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Merger with Finxera</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5,2021, we announced that we entered into a Merger Agreement (the "Merger Agreement") with Finxera Holdings, Inc. ("Finxera"), Prime Warrior Acquisition Corp., an indirect wholly owned subsidiary of the Company ("Merger Sub") and, solely in its capacity as the representative of the stockholders or option holders of Finxera (the "Equityholder Representative"), and Stone Point Capital, LLC in which Priority will acquire, via merger, the Finxera business. Finxera is a provider of deposit account management payment processing services to the debt settlement industry in the United States.</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Merger Agreement provides that, among other things and on the terms and subject to the conditions of the Merger Agreement, (a) Merger Sub will merge with and into Finxera (the "Merger"), with the separate existence of Merger Sub ceasing and Finxera continuing as the surviving entity of the Merger; (b) at the effective time of the Merger (the "Effective Time") each share of common stock, par value $0.01 per share, of Merger Sub issued and outstanding immediately prior to the Effective Time shall be converted into one validly issued, fully paid and non-assessable share of common stock, par value $0.01 per share, of the Surviving Entity; and (c) the shares of common stock of Finxera designated as "Class A Common Stock", "Class B Common Stock" and preferred stock "Series C Participating Preferred Stock" issued and outstanding immediately prior to the closing of the transactions contemplated by the Merger Agreement (the "Closing") will be converted into rights to receive certain cash and stock consideration and a contingent right to receive a portion of any payments made following the determination of the purchase price adjustments (a "Deferred Payment").</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Consideration for the Merger will consist of a combination of cash and stock, with the purchase price comprising (a) $425.0 million, plus (b) the aggregate value of the current assets of the Finxera and each of its subsidiaries (the "Group Companies") less the aggregate value of the current liabilities of the Group Companies, in each case, determined on a consolidated basis without duplication, as of the close of business on the business day immediately preceding the date of the Closing (which may be a positive or negative number), plus (c) the sum of all cash and cash equivalents of the Group Companies as of the close of business on the business day immediately preceding the date of the Closing, minus (d) the amount of indebtedness of the Group Companies as of the close of the business day immediately prior to the date of the Closing, minus (e) the amount of unpaid transaction expenses, minus (f) 25% of the earnings of the Group Companies during the period between the signing of the Merger Agreement and the Closing.</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option to purchase one or more shares of Class B Common Stock of Finxera issued pursuant to the Finxera Holdings, Inc. 2018 Equity Incentive Plan (the "Company Options"), vested as of immediately prior to the Closing (the "Vested Company Option"), that is issued and outstanding immediately prior to the Closing will be deemed to be exercised and converted into the right to receive a cash payment with respect to such Vested Company Option and a contingent right to receive a portion of any Deferred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is expected to close in the third quarter of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April 28, 2021, a subsidiary of the Company completed an asset acquisition of certain residual portfolio rights for a purchase price of $42.4 million and $24.8 million of post-closing payments and earn-out payments based on meeting certain attrition thresholds over a three-year period from the date of acquisition. As of June 30, 2021, the sellers earned $3.8 million of the $24.8 million, which was accrued at June 30, 2021, increasing the total purchase price recorded at June 30, 2021 to $46.2 million, which was recorded to residual buyout intangible assets with a seven-year useful life amortized on a straight-line basis. In addition to the $24.8 million, there is a further earn-out opportunity based on a percentage of annual portfolio performance in excess of targets for five years from the date of acquisition. As this is an asset acquisition, additional purchase price is accounted for when payment to the seller becomes probable and is added to the carrying value of the asset. The seller’s note payable to the Company of $3.0 million and an advance of $2.0 million outstanding at the time of the purchase was netted against the initial purchase price, resulting in cash of $37.4 million being paid by the Company to the seller at closing, which was funded from cash proceeds of the Securities Purchase Agreement executed on April 27, 2021 (refer to Note 9, </w:t>
      </w:r>
      <w:r>
        <w:rPr>
          <w:rFonts w:ascii="Arial" w:cs="Arial" w:eastAsia="Arial" w:hAnsi="Arial"/>
          <w:sz w:val="17"/>
          <w:szCs w:val="17"/>
          <w:i w:val="1"/>
          <w:iCs w:val="1"/>
          <w:color w:val="auto"/>
        </w:rPr>
        <w:t>Redeemable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Senior Preferred Stock and Warrants). </w:t>
      </w:r>
      <w:r>
        <w:rPr>
          <w:rFonts w:ascii="Arial" w:cs="Arial" w:eastAsia="Arial" w:hAnsi="Arial"/>
          <w:sz w:val="17"/>
          <w:szCs w:val="17"/>
          <w:color w:val="auto"/>
        </w:rPr>
        <w:t>This asset acquisition became part of the Company's Consumer Payments reportable segment. Transaction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were not material and were expensed. Simultaneous with the purchase of the residual portfolio rights, the Company and the seller entered into a five-year processing agreement whereby the seller shall refer prospective new merchants to the Company in exchange for commissions and up to an additional $11.2 million for achieving certain targets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merchant accounts over specified periods of time. This processing agreement is exclusive for years one through three and has minimum requirements for years four and five.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25, 2021, a subsidiary of the Company acquired certain assets and assumed certain related liabilities under an asset purchase agreement. The purchase of these net assets was deemed a business under ASC 805. Prior to this acquisition, the business was an ISO partner of the Company where it developed expertise in software-integrated payment services, as well as marketing programs for specific verticals such as automotive and youth sports. This business is reported within the Company's Consumer Payments reportable segment. The initial purchase price for the net assets was $35.0 million in cash and a total purchase price of not more than $60.0 million including post-closing payments and earn-out payments based on certain gross profit and revenue achievements over a three-year period from the date of acquisition. The seller's note payable to the Company of $0.5 million at the time of purchase was netted against the initial purchase price, resulting in cash of $34.5 million being paid by the Company to the seller, which was funded from a $30.0 million draw down of the revolving credit facility under the Credit Agreement and held by the Company and $4.5 million cash on hand. The initial consideration included $17.3 million recorded in merchant portfolio intangible assets with a ten-year useful life amortized on a straight-line basis, $0.5 million recorded in fixed assets and other current assets, and $17.3 million recorded in goodwill. The initial assignment of consideration is subject to revision during the measurement period of up to one year from the acquisition date. Transaction costs were not material and were expensed.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goodwill and intangibles for acquisitions that have closed as of June 30, 2021 are deductible by the Company for income tax purposes.</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separately-identifiable tangible and intangible assets acquired and the liabilities assumed. All of the Company's goodwill was allocated to the Company's Consumer Payments reporting unit at June 30, 2021 and December 31, 2020.</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considered the market conditions for triggering events including those generated by the COVID-19 pandemic and concluded that there were no indicators of impairment for the goodwill of the Consumer Payments reporting unit for the three months and six months ended June 30, 2021.</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tests goodwill for impairment on an annual basis, or when events occur or circumstances indicate the fair value of a reporting unit may be below its carrying value. The Company will continue to monitor triggering events including the economic impact of COVID-19 on its ongoing assessment of goodwill. The Company expects to perform its next annual goodwill impairment test during the fourth quarter of 2021 using market data and discounted cash flow analysis. The Company concluded there was no impairment as of June 30, 2021 or December 31, 2020. As such, there was no accumulated impairment loss as of June 30, 2021 and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4,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for information about goodwill recorded in the three months ended June 30, 2021 related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The Company's other intangible assets include acquired merchant portfolios, customer relationships, ISO relationships, trade names, technology, and residual buyouts. </w:t>
      </w:r>
      <w:r>
        <w:rPr>
          <w:rFonts w:ascii="Arial" w:cs="Arial" w:eastAsia="Arial" w:hAnsi="Arial"/>
          <w:sz w:val="18"/>
          <w:szCs w:val="18"/>
          <w:color w:val="000000"/>
        </w:rPr>
        <w:t>As of June 30, 2021 and December 31, 2020, intangible assets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71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229"/>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Merchant portfolios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55,816</w:t>
            </w:r>
          </w:p>
        </w:tc>
      </w:tr>
      <w:tr>
        <w:trPr>
          <w:trHeight w:val="229"/>
        </w:trPr>
        <w:tc>
          <w:tcPr>
            <w:tcW w:w="7180" w:type="dxa"/>
            <w:vAlign w:val="bottom"/>
          </w:tcPr>
          <w:p>
            <w:pPr>
              <w:ind w:left="48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40,740</w:t>
            </w:r>
          </w:p>
        </w:tc>
      </w:tr>
      <w:tr>
        <w:trPr>
          <w:trHeight w:val="230"/>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Residual buyouts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116,112</w:t>
            </w:r>
          </w:p>
        </w:tc>
      </w:tr>
      <w:tr>
        <w:trPr>
          <w:trHeight w:val="229"/>
        </w:trPr>
        <w:tc>
          <w:tcPr>
            <w:tcW w:w="7180" w:type="dxa"/>
            <w:vAlign w:val="bottom"/>
          </w:tcPr>
          <w:p>
            <w:pPr>
              <w:ind w:left="48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3,390</w:t>
            </w:r>
          </w:p>
        </w:tc>
      </w:tr>
      <w:tr>
        <w:trPr>
          <w:trHeight w:val="230"/>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r>
      <w:tr>
        <w:trPr>
          <w:trHeight w:val="229"/>
        </w:trPr>
        <w:tc>
          <w:tcPr>
            <w:tcW w:w="7180" w:type="dxa"/>
            <w:vAlign w:val="bottom"/>
          </w:tcPr>
          <w:p>
            <w:pPr>
              <w:ind w:left="48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14,390</w:t>
            </w:r>
          </w:p>
        </w:tc>
      </w:tr>
      <w:tr>
        <w:trPr>
          <w:trHeight w:val="229"/>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ISO relationships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w:t>
            </w:r>
          </w:p>
        </w:tc>
      </w:tr>
      <w:tr>
        <w:trPr>
          <w:trHeight w:val="223"/>
        </w:trPr>
        <w:tc>
          <w:tcPr>
            <w:tcW w:w="7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gross carrying value</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248,518</w:t>
            </w:r>
          </w:p>
        </w:tc>
      </w:tr>
      <w:tr>
        <w:trPr>
          <w:trHeight w:val="20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7180" w:type="dxa"/>
            <w:vAlign w:val="bottom"/>
          </w:tcPr>
          <w:p>
            <w:pPr>
              <w:ind w:left="480"/>
              <w:spacing w:after="0"/>
              <w:rPr>
                <w:sz w:val="20"/>
                <w:szCs w:val="20"/>
                <w:color w:val="auto"/>
              </w:rPr>
            </w:pPr>
            <w:r>
              <w:rPr>
                <w:rFonts w:ascii="Arial" w:cs="Arial" w:eastAsia="Arial" w:hAnsi="Arial"/>
                <w:sz w:val="18"/>
                <w:szCs w:val="18"/>
                <w:color w:val="auto"/>
              </w:rPr>
              <w:t>Merchant portfolios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(19,471)</w:t>
            </w:r>
          </w:p>
        </w:tc>
      </w:tr>
      <w:tr>
        <w:trPr>
          <w:trHeight w:val="229"/>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(30,267)</w:t>
            </w:r>
          </w:p>
        </w:tc>
      </w:tr>
      <w:tr>
        <w:trPr>
          <w:trHeight w:val="229"/>
        </w:trPr>
        <w:tc>
          <w:tcPr>
            <w:tcW w:w="7180" w:type="dxa"/>
            <w:vAlign w:val="bottom"/>
          </w:tcPr>
          <w:p>
            <w:pPr>
              <w:ind w:left="480"/>
              <w:spacing w:after="0"/>
              <w:rPr>
                <w:sz w:val="20"/>
                <w:szCs w:val="20"/>
                <w:color w:val="auto"/>
              </w:rPr>
            </w:pPr>
            <w:r>
              <w:rPr>
                <w:rFonts w:ascii="Arial" w:cs="Arial" w:eastAsia="Arial" w:hAnsi="Arial"/>
                <w:sz w:val="18"/>
                <w:szCs w:val="18"/>
                <w:color w:val="auto"/>
              </w:rPr>
              <w:t>Residual buyouts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(81,009)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(72,659)</w:t>
            </w:r>
          </w:p>
        </w:tc>
      </w:tr>
      <w:tr>
        <w:trPr>
          <w:trHeight w:val="230"/>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Non-compete agreements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29"/>
        </w:trPr>
        <w:tc>
          <w:tcPr>
            <w:tcW w:w="7180" w:type="dxa"/>
            <w:vAlign w:val="bottom"/>
          </w:tcPr>
          <w:p>
            <w:pPr>
              <w:ind w:left="48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30"/>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ISO relationships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w:t>
            </w:r>
          </w:p>
        </w:tc>
      </w:tr>
      <w:tr>
        <w:trPr>
          <w:trHeight w:val="223"/>
        </w:trPr>
        <w:tc>
          <w:tcPr>
            <w:tcW w:w="7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(148,708)</w:t>
            </w:r>
          </w:p>
        </w:tc>
      </w:tr>
      <w:tr>
        <w:trPr>
          <w:trHeight w:val="223"/>
        </w:trPr>
        <w:tc>
          <w:tcPr>
            <w:tcW w:w="7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allowance for impairment</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r>
      <w:tr>
        <w:trPr>
          <w:trHeight w:val="248"/>
        </w:trPr>
        <w:tc>
          <w:tcPr>
            <w:tcW w:w="7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Net carrying value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finite-lived intangible assets was $8.7 million and $15.7 million for the three months and six months ended June 30, 2021, respectively, and $8.4 million and $16.9 million for the three months and six months ended June 30, 2020, respectively. Amortization expense for future periods could differ due to new intangible asset acquisitions, changes in useful lives of existing intangible assets, and other relevant events or circumstances.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tests intangible assets for impairment when events occur or circumstances indicate that the fair value of an intangible asset or group of intangible assets may be impaired. In the Company's Consumer Payments segment, a residual buyout intangible asset with a net carrying value of $2.2 million was deemed to be impaired at December 31, 2020. The fair value of this intangible asset was estimated to be approximately $0.5 million, resulting in the recognition of an impairment charge of $1.8 million. This impairment was the result of diminished cash flows generated by the merchant portfolio.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considered the market conditions generated by the COVID-19 pandemic and concluded that there were no additional impairment indicators present at June 30,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information about other intangible assets recorded in the three months ended June 30, 2021 related to an asset acquisition and a business combination, and see Note 11</w:t>
      </w:r>
      <w:r>
        <w:rPr>
          <w:rFonts w:ascii="Arial" w:cs="Arial" w:eastAsia="Arial" w:hAnsi="Arial"/>
          <w:sz w:val="18"/>
          <w:szCs w:val="18"/>
          <w:i w:val="1"/>
          <w:iCs w:val="1"/>
          <w:color w:val="auto"/>
        </w:rPr>
        <w:t>, Commitments and Contingencies,</w:t>
      </w:r>
      <w:r>
        <w:rPr>
          <w:rFonts w:ascii="Arial" w:cs="Arial" w:eastAsia="Arial" w:hAnsi="Arial"/>
          <w:sz w:val="18"/>
          <w:szCs w:val="18"/>
          <w:color w:val="auto"/>
        </w:rPr>
        <w:t xml:space="preserve"> for information about contingent consideration related to an acquisition consummated in 2019.</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The Company's property, equipment, and software balance primarily consists of furniture, fixtures, and equipment used in the normal course of business, computer software developed for internal use, and leasehold improvements. Computer software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represents purchased software and internally developed back office and merchant interfacing systems used to assist the reporting of merchant processing transactions and other related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June 30, 2021 and December 31, 2020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10,216</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44,320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23"/>
        </w:trPr>
        <w:tc>
          <w:tcPr>
            <w:tcW w:w="7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63,581</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(40,706)</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22,875</w:t>
            </w: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property, equipment, and software totaled $2.0 million and $4.1 million for the three months and six months ended June 30, 2021, respectively, and $1.9 million and $3.7 million for the three months and six months ended June 30, 2020,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accrues for certain expenses that have been incurred and not paid, which are classified within accounts payable and accrued expenses in the accompanying consolidated balance sheets.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at either June 30, 2021 or December 31, 2020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card network fees</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r>
      <w:tr>
        <w:trPr>
          <w:trHeight w:val="223"/>
        </w:trPr>
        <w:tc>
          <w:tcPr>
            <w:tcW w:w="7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12,349</w:t>
            </w:r>
          </w:p>
        </w:tc>
      </w:tr>
      <w:tr>
        <w:trPr>
          <w:trHeight w:val="21"/>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8.  DEBT OBLIGATIONS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Arial" w:cs="Arial" w:eastAsia="Arial" w:hAnsi="Arial"/>
                <w:sz w:val="18"/>
                <w:szCs w:val="18"/>
                <w:color w:val="auto"/>
                <w:w w:val="93"/>
              </w:rPr>
              <w:t>Outstanding debt obligations as of June 30, 2021 and December 31, 2020 consisted of the following:</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0"/>
        </w:trPr>
        <w:tc>
          <w:tcPr>
            <w:tcW w:w="7180" w:type="dxa"/>
            <w:vAlign w:val="bottom"/>
          </w:tcPr>
          <w:p>
            <w:pPr>
              <w:ind w:left="20"/>
              <w:spacing w:after="0"/>
              <w:rPr>
                <w:sz w:val="20"/>
                <w:szCs w:val="20"/>
                <w:color w:val="auto"/>
              </w:rPr>
            </w:pPr>
            <w:r>
              <w:rPr>
                <w:rFonts w:ascii="Arial" w:cs="Arial" w:eastAsia="Arial" w:hAnsi="Arial"/>
                <w:sz w:val="18"/>
                <w:szCs w:val="18"/>
                <w:color w:val="auto"/>
              </w:rPr>
              <w:t>Credit and Guaranty Agreement:</w:t>
            </w: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Term facility - Matures April 27, 2027 and bears interest at LIBOR (with a LIBOR "floor" of</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 plus 5.75% at June 30, 2021 (actual rate of 6.75% at June 30, 2021)</w:t>
            </w:r>
          </w:p>
        </w:tc>
        <w:tc>
          <w:tcPr>
            <w:tcW w:w="30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360"/>
              <w:spacing w:after="0" w:line="176" w:lineRule="exact"/>
              <w:rPr>
                <w:sz w:val="20"/>
                <w:szCs w:val="20"/>
                <w:color w:val="auto"/>
              </w:rPr>
            </w:pPr>
            <w:r>
              <w:rPr>
                <w:rFonts w:ascii="Arial" w:cs="Arial" w:eastAsia="Arial" w:hAnsi="Arial"/>
                <w:sz w:val="18"/>
                <w:szCs w:val="18"/>
                <w:color w:val="auto"/>
                <w:w w:val="98"/>
              </w:rPr>
              <w:t>Revolving credit facility - $40.0 million line, matures April 27, 2026 and bears interest at</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60"/>
              <w:spacing w:after="0" w:line="176" w:lineRule="exact"/>
              <w:rPr>
                <w:sz w:val="20"/>
                <w:szCs w:val="20"/>
                <w:color w:val="auto"/>
              </w:rPr>
            </w:pPr>
            <w:r>
              <w:rPr>
                <w:rFonts w:ascii="Arial" w:cs="Arial" w:eastAsia="Arial" w:hAnsi="Arial"/>
                <w:sz w:val="18"/>
                <w:szCs w:val="18"/>
                <w:color w:val="auto"/>
                <w:w w:val="93"/>
              </w:rPr>
              <w:t>LIBOR (with a LIBOR "floor" of 1.00%) plus 4.75% at June 30, 2021 (actual rate of 5.75% at</w:t>
            </w:r>
          </w:p>
        </w:tc>
        <w:tc>
          <w:tcPr>
            <w:tcW w:w="3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June 30, 2021)</w:t>
            </w:r>
          </w:p>
        </w:tc>
        <w:tc>
          <w:tcPr>
            <w:tcW w:w="30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Agreement: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60"/>
              <w:spacing w:after="0" w:line="176" w:lineRule="exact"/>
              <w:rPr>
                <w:sz w:val="20"/>
                <w:szCs w:val="20"/>
                <w:color w:val="auto"/>
              </w:rPr>
            </w:pPr>
            <w:r>
              <w:rPr>
                <w:rFonts w:ascii="Arial" w:cs="Arial" w:eastAsia="Arial" w:hAnsi="Arial"/>
                <w:sz w:val="18"/>
                <w:szCs w:val="18"/>
                <w:color w:val="auto"/>
              </w:rPr>
              <w:t>Term facility - Original maturity at January 3, 2023 and bore interest at LIBOR (with a</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60"/>
              <w:spacing w:after="0" w:line="176" w:lineRule="exact"/>
              <w:rPr>
                <w:sz w:val="20"/>
                <w:szCs w:val="20"/>
                <w:color w:val="auto"/>
              </w:rPr>
            </w:pPr>
            <w:r>
              <w:rPr>
                <w:rFonts w:ascii="Arial" w:cs="Arial" w:eastAsia="Arial" w:hAnsi="Arial"/>
                <w:sz w:val="18"/>
                <w:szCs w:val="18"/>
                <w:color w:val="auto"/>
              </w:rPr>
              <w:t>LIBOR "floor" of 1.00% beginning March 18, 2020) plus 6.50% at December 31, 2020</w:t>
            </w:r>
          </w:p>
        </w:tc>
        <w:tc>
          <w:tcPr>
            <w:tcW w:w="300" w:type="dxa"/>
            <w:vAlign w:val="bottom"/>
          </w:tcPr>
          <w:p>
            <w:pPr>
              <w:spacing w:after="0"/>
              <w:rPr>
                <w:sz w:val="15"/>
                <w:szCs w:val="15"/>
                <w:color w:val="auto"/>
              </w:rPr>
            </w:pPr>
          </w:p>
        </w:tc>
        <w:tc>
          <w:tcPr>
            <w:tcW w:w="1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279,417</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(actual rate of 7.50% at December 31, 2020)</w:t>
            </w:r>
          </w:p>
        </w:tc>
        <w:tc>
          <w:tcPr>
            <w:tcW w:w="30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Term Loan - Subordinated, original maturity at July 3, 2023 and bore interest at 5.00% plus an</w:t>
            </w:r>
          </w:p>
        </w:tc>
        <w:tc>
          <w:tcPr>
            <w:tcW w:w="300" w:type="dxa"/>
            <w:vAlign w:val="bottom"/>
            <w:shd w:val="clear" w:color="auto" w:fill="CCEEFF"/>
          </w:tcPr>
          <w:p>
            <w:pPr>
              <w:spacing w:after="0"/>
              <w:rPr>
                <w:sz w:val="15"/>
                <w:szCs w:val="15"/>
                <w:color w:val="auto"/>
              </w:rPr>
            </w:pPr>
          </w:p>
        </w:tc>
        <w:tc>
          <w:tcPr>
            <w:tcW w:w="1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102,623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applicable margin (actual rate of 12.50% at December 31, 2020)</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b w:val="1"/>
                <w:bCs w:val="1"/>
                <w:color w:val="auto"/>
              </w:rPr>
              <w:t>Total debt obligations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382,040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discounts and deferred financing costs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Long-term debt,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357,873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27, 2021, Priority Holdings LLC ("Holdings"), which is a direct wholly-owned subsidiary of the Company, and certain direct and indirect subsidiaries of Holdings (together with Holdings, collectively, the "Loan Parties"), entered into a Credit and Guaranty Agreement (the "Credit Agreement") with Truist Bank ("Truist") and the lenders party thereto, pursuant to which Holdings has access to senior credit facilities in an aggregate principal amount of $630.0 million which are secured by substantially all of the assets of the Loan Parties and by the equity interests of Holdings.</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credit facilities under the Credit Agreement are comprised of (i) a senior secured first lien term loan facility in an aggregate principal amount of $300.0 million (the "Initial Term Loan"), the proceeds of which were used to fund the refinancing described below, (ii) a senior secured revolving credit facility in an aggregate amount not to exceed $40.0 million outstanding at any time (the “Revolving Credit Facility”) and (iii) a senior secured first lien delayed draw term loan facility in an aggregate principal amount of $290.0 million (the “Delayed Draw Term Loan”), the proceeds of which may be used to fund the Company’s acquisition of Finxera. Until the Delayed Draw Term Loan is drawn, the Loan Parties will pay a fee on the undrawn amounts at a rate of 2.875% per annum from the 46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closing date of the Credit Agreement to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closing and 5.75% per annum thereafter for so long as the amounts remain committed and undrawn.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Outstanding borrowings under the Credit Agreement accrue interest using either a base rate (as defined therein) or a LIBOR rate plus an applicable margin per annum, as provided in the Credit Agreement, which includes a LIBOR rate floor of 1.0% per annum. Accrued interest is payable on each interest payment date (as defined in the Credit Agreement). The revolving credit facility incurs an unused commitment fee on any undrawn amount of the $40.0 million credit line in an amount equal to 0.5% per annum of the unused portion. Under the terms of the Credit Agreement, the future applicable interest rate margins may vary based on the Loan Parties Total Net Leverage Ratio in addition to future changes in the underlying market rates for LIBOR and the rate used for base-rate borrowing.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Holdings and certain other Loan Parties have previously entered into (i) the Senior Credit Agreement and (ii) the Term Loan Agreement, both of which are described below. The proceeds from the sale of the Securities (refer to </w:t>
      </w:r>
      <w:r>
        <w:rPr>
          <w:rFonts w:ascii="Arial" w:cs="Arial" w:eastAsia="Arial" w:hAnsi="Arial"/>
          <w:sz w:val="18"/>
          <w:szCs w:val="18"/>
          <w:i w:val="1"/>
          <w:iCs w:val="1"/>
          <w:color w:val="auto"/>
        </w:rPr>
        <w:t>Note 9, Redeemable Senior Preferred Stock and Warrants</w:t>
      </w:r>
      <w:r>
        <w:rPr>
          <w:rFonts w:ascii="Arial" w:cs="Arial" w:eastAsia="Arial" w:hAnsi="Arial"/>
          <w:sz w:val="18"/>
          <w:szCs w:val="18"/>
          <w:color w:val="auto"/>
        </w:rPr>
        <w:t>) and from the Initial Term Loan were used to refinance the Senior Credit Agreement and the Term Loan Agreement and all outstanding obligations thereunder were repaid in full (or in the case of outstanding undrawn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letters of credit, deemed issued under the Credit Agreement), and all commitments and guaranties in connection therewith have been terminated or released (the "Refinancing").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Credit Agreement, prepayments of outstanding principal may be made in permitted increments with a 1.0% penalty for certain prepayments made in connection with repricing transactions. Such premium will be based on the principal amount that is prepaid, subject to the terms of the credit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outstanding amount of any loans and any other amounts owing by the Borrowers under the Credit Agreement may, after the occurrence of an Event of Default (as defined in the Credit Agreement), at the option of Truist, be declared immediately due and payable. Events of Default include, without limitation, the failure of the Loan Parties to pay principal, premium or interest when due under the Credit Agreement, or the failure by the Loan Parties to perform or comply with any term or covenant in the Credit Agreement, in each case, subject to any applicable cure periods provided therein.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of the Loan Parties to the Loan Parties Consolidated Adjusted EBITDA (as defined in the Credit Agreement). If applicable, the maximum permitted Total Net Leverage Ratio is (i) 6.50:1.00 at each fiscal quarter ended September 30, 2021 through June 30, 2022, (ii) 6.00:1.00 at each fiscal quarter ended September 30, 2022 through June 30, 2023, and (iii) 5.50:1.00 at each fiscal quarter ended September 30, 2023 and each fiscal quarter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Credit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Outstanding borrowings under that certain Credit and Guaranty Agreement, dated as of January 3, 2017 and subsequently amended, with Truist (the "Senior Credit Agreement"), accrued interest using either a base rate (as defined) or a LIBOR rate plus an applicable margin, or percentage per annum, as provided in the amended credit agreement. For the term loan facility of our Senior Credit Agreement, the Sixth Amendment, which was executed on March 18, 2020, thereto provided for a LIBOR "floor" of 1.0% per annum. Accrued interest was payable monthly. The revolving credit facility incurred a commitment fee on any undrawn amount of the $25.0 million credit line, which equated to 0.50% per annum for the unused portion. The outstanding obligations under the Senior Credit Agreement at the time of the Refinancing were $274.6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Outstanding borrowings under that certain Credit and Guaranty Agreement, dated as of January 3, 2017 and subsequently amended, with Goldman Sachs Specialty Lending Group, L.P. (the "Term Loan Agreement") accrued interest at 5.0%, plus an applicable margin, or percentage per annum, as indicated in the amended credit agreement. Accrued interest was payable quarterly at 5.0% per annum, and the accrued interest attributable to the applicable margin was capitalized as payment-in-kind ("PIK") interest each quarter. The outstanding obligations under the Term Loan Agreement at the time of the Refinancing were $105.1 million, which consisted of the principal amount borrowed under the Term Loan Agreement of $80.0 million plus accumulated PIK interest of $25.1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Contractual Maturities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9800" w:type="dxa"/>
            <w:vAlign w:val="bottom"/>
            <w:gridSpan w:val="8"/>
          </w:tcPr>
          <w:p>
            <w:pPr>
              <w:spacing w:after="0"/>
              <w:rPr>
                <w:sz w:val="20"/>
                <w:szCs w:val="20"/>
                <w:color w:val="auto"/>
              </w:rPr>
            </w:pPr>
            <w:r>
              <w:rPr>
                <w:rFonts w:ascii="Arial" w:cs="Arial" w:eastAsia="Arial" w:hAnsi="Arial"/>
                <w:sz w:val="18"/>
                <w:szCs w:val="18"/>
                <w:color w:val="auto"/>
                <w:w w:val="96"/>
              </w:rPr>
              <w:t>Based on terms and conditions existing at June 30, 2021, future minimum principal payments for long-term debt are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3"/>
              </w:rPr>
              <w:t>Principal Due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Credit and Guaranty Agreement</w:t>
            </w:r>
          </w:p>
        </w:tc>
        <w:tc>
          <w:tcPr>
            <w:tcW w:w="1120" w:type="dxa"/>
            <w:vAlign w:val="bottom"/>
          </w:tcPr>
          <w:p>
            <w:pPr>
              <w:spacing w:after="0"/>
              <w:rPr>
                <w:sz w:val="19"/>
                <w:szCs w:val="19"/>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Twelve-month period ending June 30,</w:t>
            </w: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Term Loan</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Revolver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2022 (current)</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33,000</w:t>
            </w: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Beyond five years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r>
      <w:tr>
        <w:trPr>
          <w:trHeight w:val="223"/>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330,000</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Additionally, the Company may be obligated to make certain additional mandatory prepayments after the end of each year based on excess cash flow, as defined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Loan Costs and Discounts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expense, including fees for undrawn amounts under the revolving credit facility and the delayed draw term loan facility, as well as amortization of deferred financing costs and debt discounts, was $7.3 million and $16.5 million for the three months and six months ended June 30, 2021, respectively, and $11.7 million and $22.0 million for the three months and six months ended June 30, 2020, respectively. Interest expense included amortization of deferred financing costs and debt discounts of $0.6 million and $1.2 million for the three months and six months ended June 30, 2021, respectively, and $0.7 million and $1.1 million for the three months and six months ended June 30,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Deferred Loan Costs and Discounts, and Debt Extinguishment and Modification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212529"/>
        </w:rPr>
        <w:t xml:space="preserve">Refinancing: </w:t>
      </w:r>
      <w:r>
        <w:rPr>
          <w:rFonts w:ascii="Arial" w:cs="Arial" w:eastAsia="Arial" w:hAnsi="Arial"/>
          <w:sz w:val="17"/>
          <w:szCs w:val="17"/>
          <w:color w:val="212529"/>
        </w:rPr>
        <w:t>The Initial Term Loan under the Credit Agreement was issued at a discount of $6.4 million. Additionally, the Company incurred</w:t>
      </w:r>
      <w:r>
        <w:rPr>
          <w:rFonts w:ascii="Arial" w:cs="Arial" w:eastAsia="Arial" w:hAnsi="Arial"/>
          <w:sz w:val="17"/>
          <w:szCs w:val="17"/>
          <w:i w:val="1"/>
          <w:iCs w:val="1"/>
          <w:color w:val="212529"/>
        </w:rPr>
        <w:t xml:space="preserve"> </w:t>
      </w:r>
      <w:r>
        <w:rPr>
          <w:rFonts w:ascii="Arial" w:cs="Arial" w:eastAsia="Arial" w:hAnsi="Arial"/>
          <w:sz w:val="17"/>
          <w:szCs w:val="17"/>
          <w:color w:val="212529"/>
        </w:rPr>
        <w:t xml:space="preserve">approximately $12.9 million of costs for the Refinancing, including $5.7 million of fees related to the Delayed Draw Term Loan that was not drawn at </w:t>
      </w:r>
      <w:r>
        <w:rPr>
          <w:rFonts w:ascii="Arial" w:cs="Arial" w:eastAsia="Arial" w:hAnsi="Arial"/>
          <w:sz w:val="17"/>
          <w:szCs w:val="17"/>
          <w:color w:val="000000"/>
        </w:rPr>
        <w:t>June</w:t>
      </w:r>
      <w:r>
        <w:rPr>
          <w:rFonts w:ascii="Arial" w:cs="Arial" w:eastAsia="Arial" w:hAnsi="Arial"/>
          <w:sz w:val="17"/>
          <w:szCs w:val="17"/>
          <w:color w:val="212529"/>
        </w:rPr>
        <w:t xml:space="preserve"> </w:t>
      </w:r>
      <w:r>
        <w:rPr>
          <w:rFonts w:ascii="Arial" w:cs="Arial" w:eastAsia="Arial" w:hAnsi="Arial"/>
          <w:sz w:val="17"/>
          <w:szCs w:val="17"/>
          <w:color w:val="000000"/>
        </w:rPr>
        <w:t>30, 2021</w:t>
      </w:r>
      <w:r>
        <w:rPr>
          <w:rFonts w:ascii="Arial" w:cs="Arial" w:eastAsia="Arial" w:hAnsi="Arial"/>
          <w:sz w:val="17"/>
          <w:szCs w:val="17"/>
          <w:color w:val="212529"/>
        </w:rPr>
        <w:t>. The fees related to the Delayed Draw Term Loan have been deferred and included in other non-current assets on the Company’s consolidated</w:t>
      </w:r>
      <w:r>
        <w:rPr>
          <w:rFonts w:ascii="Arial" w:cs="Arial" w:eastAsia="Arial" w:hAnsi="Arial"/>
          <w:sz w:val="17"/>
          <w:szCs w:val="17"/>
          <w:color w:val="000000"/>
        </w:rPr>
        <w:t xml:space="preserve"> </w:t>
      </w:r>
      <w:r>
        <w:rPr>
          <w:rFonts w:ascii="Arial" w:cs="Arial" w:eastAsia="Arial" w:hAnsi="Arial"/>
          <w:sz w:val="17"/>
          <w:szCs w:val="17"/>
          <w:color w:val="212529"/>
        </w:rPr>
        <w:t xml:space="preserve">balance sheet at </w:t>
      </w:r>
      <w:r>
        <w:rPr>
          <w:rFonts w:ascii="Arial" w:cs="Arial" w:eastAsia="Arial" w:hAnsi="Arial"/>
          <w:sz w:val="17"/>
          <w:szCs w:val="17"/>
          <w:color w:val="000000"/>
        </w:rPr>
        <w:t>June 30, 2021</w:t>
      </w:r>
      <w:r>
        <w:rPr>
          <w:rFonts w:ascii="Arial" w:cs="Arial" w:eastAsia="Arial" w:hAnsi="Arial"/>
          <w:sz w:val="17"/>
          <w:szCs w:val="17"/>
          <w:color w:val="212529"/>
        </w:rPr>
        <w:t xml:space="preserve">.The Company determined that the issuance of the Initial Term Loan under the Refinancing was partially an extinguishment and a modification. Of the remaining $7.2 million of costs incurred for the Refinancing, the Company recorded approximately $1.9 million as deferred financing costs, which are presented, along with the discount of $6.4 million, as a deduction from the debt obligations on the Company’s consolidated balance sheet at June 30, 2021. Additionally, the Company recorded debt extinguishment and modification costs of $8.3 million during the three months and six months ended </w:t>
      </w:r>
      <w:r>
        <w:rPr>
          <w:rFonts w:ascii="Arial" w:cs="Arial" w:eastAsia="Arial" w:hAnsi="Arial"/>
          <w:sz w:val="17"/>
          <w:szCs w:val="17"/>
          <w:color w:val="000000"/>
        </w:rPr>
        <w:t>June 30, 2021</w:t>
      </w:r>
      <w:r>
        <w:rPr>
          <w:rFonts w:ascii="Arial" w:cs="Arial" w:eastAsia="Arial" w:hAnsi="Arial"/>
          <w:sz w:val="17"/>
          <w:szCs w:val="17"/>
          <w:color w:val="212529"/>
        </w:rPr>
        <w:t>, which consisted primarily of $5.3 million of lender and third-party fees incurred in connection with the Refinancing and a $3.0 million partial write-off of previously deferred fees and costs under the Senior Credit Agreement and the Term Loan Agreement. These costs are reported within other expenses, net on the Company’s consolidated statements of 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Senior Credit Agreement: </w:t>
      </w:r>
      <w:r>
        <w:rPr>
          <w:rFonts w:ascii="Arial" w:cs="Arial" w:eastAsia="Arial" w:hAnsi="Arial"/>
          <w:sz w:val="18"/>
          <w:szCs w:val="18"/>
          <w:color w:val="auto"/>
        </w:rPr>
        <w:t>For the Sixth Amendment, executed in the first quarter of 2020, $2.7 million of lender fees were deferred and added to then-existing unamortized loan costs and discount. Approximately $0.4 million of such costs were expensed in connection with the Sixth Amendment during the first quarter of 2020</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REDEEMABLE SENIOR PREFERRED STOCK AND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2021, the Company, entered into a Securities Purchase Agreement (the "Securities Purchase Agreement") pursuant to which the Company (i) issued and sold 150,000 shares of redeemable senior preferred stock, par value $0.001 per share (the "Redeemable Senior Preferred Stock", and the shares issued the "Redeemable Senior Preferred Shares") at a purchase price of $150 million, or $1,000 per Redeemable Senior Preferred Share (the "Initial Redeemable Senior Preferred Stock Sale"), less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$5.0 million discount, and (ii) issued warrants (the "Warrants") to purchase up to 1,803,841 shares of the Company’s common stock, par value $0.001 per share ("Common Stock" and together with the Warrants, the "Securities"), at an exercise price of $0.001. The exercise price and the number of shares issuable upon exercise of the warrants are subject to certain adjustments from time to time on the terms outlined in the Warrants.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issuance and sale of Redeemable Senior Preferred Shares which occurred on April 27, 2021, pursuant to the Securities Purchase Agreement, upon the consummation of the Company’s acquisition of Finxera and the satisfaction of other customary closing conditions, the Company may issue and sell to the Investors an additional 50,000 shares of Redeemable Senior Preferred Stock, at a purchase price of $50 million, or $1,000 per share (the "Acquisition Redeemable Senior Preferred Stock Sale"), less a discount of $625,000. The Company may also issue and sell to the Investors up to an additional 50,000 shares of Redeemable Senior Preferred Stock, at a purchase price of $1,000 per share, less a discount of $625,000, within 18 months after the consummation of the Acquisition Redeemable Senior Preferred Stock Sale upon the satisfaction of certain customary closing conditions.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of the Redeemable Senior Preferred Shares are more fully described in the Certificate of Designations (“Certificate of Designations”), which establishes the rights, preferences, privileges, qualifications, restrictions and limitations relating to the Redeemable Senior Preferred Shares. The Redeemable Senior Preferred Shares have no stated maturity. The Redeemable Senior Preferred Stock will remain outstanding indefinitely until redeemed in accordance with the terms of the Certificate of Designations or otherwise repurchased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27, 2021 the Company entered into a Registration Rights Agreement, by and among the Company and the Investors (the “Registration Rights Agreement”), pursuant to which the Company agreed to provide certain registration rights with respect to the shares of Common Stock issuable upon exercise of the Warrants (the “Registrable Securities”).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Registration Rights Agreement, the holders of the Registrable Securities were granted (i) piggyback rights to be included in certain underwritten offerings of Common Stock and (ii) the right to demand a shelf registration of Registrable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dividend rate (the "Dividend Rate") will initially be equal to the Three-Month LIBOR Rate (subject to a 1.00% floor) plus 12.00% per annum, reset quarterly as provided in the Certificate of Designations in the Securities Purchase Agreement (the "Certificate of Designations").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Dividend Rate shall increase automatically by (i) 2.00% per annum effective as of the first day of each Dividend Period, as defined in the Certificate of Designations, in respect of which the Company for any reason does not pay cash Dividends at or greater than the Three-Month LIBOR Rate for such Dividend Period plus 5.00% per annum through the final day of such Dividend Period, (ii) 3.00% per annum effective immediately upon the occurrence of and during the continuance of a Preferred Default, as defined in the Certificate of Designations, and (iii) 5.00% per annum effective immediately upon the 120th calendar day following the approval by the Sale Demand Special Committee of a Sale Transaction, as defined in the Certificate of Designations, if all required stockholder approval shall not have been obtained on or prior to such 120th calendar day, plus an additional 5.00% per annum on the 30th calendar day after such 120th calendar day and on the first day of each subsequent 30 calendar day period, which incremental increase(s) shall continue until such time as the Required Stockholder Approval, as defined in the Certificate of Designations, shall have been obtained.</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Board of Directors declared a dividend on June 30, 2021 in the amount of $3,412,500, comprised of (i) a cash payment of $1,575,000 determined at a Base Rate of 5.0% plus a LIBOR Rate of 1.0%, and (ii) a PIK of $1,837,500 determined at a Base Rate of 7.0%. The PIK dividend has been added to the carrying amount of the Redeemable Senior Preferred Shares in the Company’s consolidated balance sheet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liquidation preference (the "Liquidation Preference") of the Redeemable Senior Preferred Shares is $1,000 per share of Senior Preferred Stock. Prior to April 27, 2023, the Company may redeem the outstanding shares of Redeemable Senior Preferred Stock, in whole or in part, for cash at a price equal to 100% of the Liquidation Preference plus any accrued and unpaid dividends as of the redemption 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and after April 27, 2023, the Company may redeem the outstanding shares of Redeemable Senior Preferred Stock at any time, in whole or in part, for cash at a price equal to the sum of the (a) outstanding Liquidation Preference plus (b) any accrued and unpaid dividends on the shares of Redeemable Senior Preferred Stock redeemed, through and including the applicable redemption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occurrence of a change in control or a liquidation event, the Company will redeem all of the then outstanding Redeemable Senior Preferred Shares for cash at the redemption price described above.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and after the earliest of (i) October 27, 2028, (ii) 30 days after written notice from the Investors to the Company of a failure by the Company to take steps within its control to prevent the Common Stock from no longer being listed, and (iii) the date that is 90 days following the Company’s failure to consummate when due a Mandatory Redemption of the Redeemable Senior Preferred Stock upon the occurrence of a change in control or liquidation event, the Investors may request the Company to pursue a sale transaction, the proceeds of which would be used to redeem the Redeemable Senior Preferred Shares.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associated with the issuance of the Securities were $5.5 million, which along with the $5.0 million discount, have been accounted for as a reduction in the proceeds of the Securities. These net proceeds of $139.5 million have been allocated on the balance sheet to the Redeemable Senior Preferred Shares of $131.4 million, additional paid-in capital of $11.4 million for the warrants, and non-current assets of $3.3 million for the committed financing put right. The Company has presented the Redeemable Senior Preferred Shares in temporary equity and is accreting the carrying amount to its full redemption amount from the date of issuance to the earliest redemption date using the effective interest method. Such accretion totaled $0.5 million for the three and six months ended June 30, 2021.</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used the proceeds from the sale of the Securities to fund the Refinancing (see Note 8, </w:t>
      </w:r>
      <w:r>
        <w:rPr>
          <w:rFonts w:ascii="Arial" w:cs="Arial" w:eastAsia="Arial" w:hAnsi="Arial"/>
          <w:sz w:val="18"/>
          <w:szCs w:val="18"/>
          <w:i w:val="1"/>
          <w:iCs w:val="1"/>
          <w:color w:val="auto"/>
        </w:rPr>
        <w:t>Debt Obligations</w:t>
      </w:r>
      <w:r>
        <w:rPr>
          <w:rFonts w:ascii="Arial" w:cs="Arial" w:eastAsia="Arial" w:hAnsi="Arial"/>
          <w:sz w:val="18"/>
          <w:szCs w:val="18"/>
          <w:color w:val="auto"/>
        </w:rPr>
        <w:t>) and to pay certain fees and expenses relating to the Refinancing and the offering of the Securities.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effective income tax rate (benefit) for the three months and six months ended June 30, 2021 was (18.7)% and 5.7%, respectively. Our effective income tax rate for the three months ended June 30, 2021 differed from the U.S. statutory rate primarily as a result of changes to our valuation allowance for interest limited under section 163(j) of the Internal Revenue Code.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 (benefit) for the three months and six months ended June 30, 2020 was (5.6)% and 5.6%, respectively. Our effective income tax rate for the three months ended June 30, 2020 differed from the U.S. statutory rate primarily as a result of changes to our valuation allowance for interest limited under section 163(j) of the Internal Revenue Code and related favorable interest limitation provisions of the Coronavirus Aid, Relief, and Economic Security Act ("CARES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is required to provide a valuation allowance against deferred income tax assets when it is "more likely than not" that some portion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management’s assessment, as of the second quarter of 2021,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180"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Minimum Annual Commitments with Third-Party Processors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June 30, 2021, the Company is committed to pay minimum processing fees under these agreements of approximately $14.8 million in 2021 and $7.8 million in both 2022 and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information on a loan commitment extended by the Company to another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Acquisitions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15, 2019, a subsidiary of the Company paid $15.2 million cash to acquire certain residual portfolio rights. This asset acquisition became part of the Company's Consumer Payments reportable segment. The initial purchase price is subject to an increase of up to $6.4 million in accordance with the terms of the agreement between the Company and the sellers. As of June 30, 2021, $4.3 million of the $6.4 million total contingent consideration has been paid to the seller, while the remaining $2.1 million will be payable in the first quarter of 2022 if certain criteria are achieved.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See Note 4, </w:t>
      </w:r>
      <w:r>
        <w:rPr>
          <w:rFonts w:ascii="Arial" w:cs="Arial" w:eastAsia="Arial" w:hAnsi="Arial"/>
          <w:sz w:val="18"/>
          <w:szCs w:val="18"/>
          <w:i w:val="1"/>
          <w:iCs w:val="1"/>
          <w:color w:val="212529"/>
        </w:rPr>
        <w:t>Acquisitions</w:t>
      </w:r>
      <w:r>
        <w:rPr>
          <w:rFonts w:ascii="Arial" w:cs="Arial" w:eastAsia="Arial" w:hAnsi="Arial"/>
          <w:sz w:val="18"/>
          <w:szCs w:val="18"/>
          <w:color w:val="212529"/>
        </w:rPr>
        <w:t>, for information about contingent consideration related to acquisitions consummated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Legal Proceedings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 and Warrant to Acquire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2019, the Company, through one of its wholly-owned subsidiaries, executed an interest-bearing loan and commitment agreement with another entity. The Company has loaned the entity a total of $3.5 million at June 30, 2021 and December 31, 2020, with a commitment to loan up to a total of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at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Equity-Method Investment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2020, the Company wrote off its $0.2 million carrying value in an equity-method investment. This loss is reported as a component of other expenses, net on the Company's unaudited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 xml:space="preserve">PHOT </w:t>
      </w:r>
      <w:r>
        <w:rPr>
          <w:rFonts w:ascii="Arial" w:cs="Arial" w:eastAsia="Arial" w:hAnsi="Arial"/>
          <w:sz w:val="18"/>
          <w:szCs w:val="18"/>
          <w:i w:val="1"/>
          <w:iCs w:val="1"/>
          <w:color w:val="000000"/>
        </w:rPr>
        <w:t>Preferred Unit Redemption - Distribution to Non-Controlling Interests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In February 2019, Priority Hospitality Technology, LLC ("PHOT"), a subsidiary of the Company, received a contribution of substantially all of the operating assets of eTab, LLC ("eTab") and CUMULUS POS, LLC ("Cumulus") under asset contribution agreements. PHOT is a part of the Company's Integrated Partners reportable segment. No material liabilities were assumed by PHOT. These contributed assets were composed substantially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("NCIs") in PHOT. Under these redeemable NCIs, the contributors were eligible to receive up to $4.5 million of profits earned by PHOT, plus a preferred yield (6.0% per annum)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At the time of contribution, the Company determined that the contributor’s carrying value of the eTab and Cumulus net assets (as a common control transaction under GAAP) were not material. Under the guidance for a common control transaction, the contribution of the eTab and Cumulus net assets did not result in a change of entity or the receipt of a business, therefore the Company’s financial statements for prior periods were not adjusted to reflect the historical results attributable to the eTab net assets. For the period from February 1, 2019 through October 31, 2020, a total of $250,000 of PHOT’s earnings were attributable to the NCIs of PHOT, and this same amount was distributed in cash to the NCIs during the same period.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Refinancing.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In May 2021, the Company entered into exchange agreements and completed the exchange of 1,428,358 shares of common stock and $814,219 of cash for the Total Preferred Equity Interests. The CEO received 605,623 shares of common stock of the Company in exchange for his 35.3% interest, and the Company’s Executive Vice President of M&amp;A and Corporate Development received 413,081 shares of common stock of the Company in exchange for her 24.1% interest.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establishing the common stock valuation in November 2020 and the date of exchange in May 2021, the Company’s common stock price appreciated to $7.75 per share. The Company’s financial statements for the three months ended June 30, 2021 reflect this exchange as a distribution to non-controlling interests at an appreciated common stock value of $6.975 per share, which incorporates a 10% liquidity discount of $0.775 per share due to trading restrictions under Securities Rule 144. Therefore, the total distribution amounted to $10.8 million, comprised of $10.0 million of common stock and $0.8 million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60" w:firstLine="8"/>
        <w:spacing w:after="0" w:line="282" w:lineRule="auto"/>
        <w:tabs>
          <w:tab w:leader="none" w:pos="40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STOCKHOLDERS' DEFICIT, NON-CONTROLLING INTERESTS AND REDEEMABLE SENIOR PREFERRED STOCK</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22222"/>
        </w:rPr>
        <w:t xml:space="preserve">The Company is authorized to issue 100,000,000 shares of preferred stock with such designations, voting and other rights and preferences as may be determined from time to time by the board of directors. As of June 30, 2021 and December 31, 2020, the Company has not issued any shares of preferred stock. </w:t>
      </w:r>
      <w:r>
        <w:rPr>
          <w:rFonts w:ascii="Arial" w:cs="Arial" w:eastAsia="Arial" w:hAnsi="Arial"/>
          <w:sz w:val="17"/>
          <w:szCs w:val="17"/>
          <w:color w:val="212529"/>
        </w:rPr>
        <w:t>See Note 9,</w:t>
      </w:r>
      <w:r>
        <w:rPr>
          <w:rFonts w:ascii="Arial" w:cs="Arial" w:eastAsia="Arial" w:hAnsi="Arial"/>
          <w:sz w:val="17"/>
          <w:szCs w:val="17"/>
          <w:color w:val="222222"/>
        </w:rPr>
        <w:t xml:space="preserve"> </w:t>
      </w:r>
      <w:r>
        <w:rPr>
          <w:rFonts w:ascii="Arial" w:cs="Arial" w:eastAsia="Arial" w:hAnsi="Arial"/>
          <w:sz w:val="17"/>
          <w:szCs w:val="17"/>
          <w:i w:val="1"/>
          <w:iCs w:val="1"/>
          <w:color w:val="212529"/>
        </w:rPr>
        <w:t>Redeemable Senior Preferred Stock and Warrants</w:t>
      </w:r>
      <w:r>
        <w:rPr>
          <w:rFonts w:ascii="Arial" w:cs="Arial" w:eastAsia="Arial" w:hAnsi="Arial"/>
          <w:sz w:val="17"/>
          <w:szCs w:val="17"/>
          <w:color w:val="212529"/>
        </w:rPr>
        <w:t>, for information about the Redeemable Senior Preferred Stock.</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carrying amounts for the periods presented for the components of which is the deficit attributable to stockholders of the Company and equity attributable to non-controlling interest: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628"/>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Total Priority</w:t>
            </w:r>
          </w:p>
        </w:tc>
        <w:tc>
          <w:tcPr>
            <w:tcW w:w="0" w:type="dxa"/>
            <w:vAlign w:val="bottom"/>
          </w:tcPr>
          <w:p>
            <w:pPr>
              <w:spacing w:after="0"/>
              <w:rPr>
                <w:sz w:val="1"/>
                <w:szCs w:val="1"/>
                <w:color w:val="auto"/>
              </w:rPr>
            </w:pPr>
          </w:p>
        </w:tc>
      </w:tr>
      <w:tr>
        <w:trPr>
          <w:trHeight w:val="94"/>
        </w:trPr>
        <w:tc>
          <w:tcPr>
            <w:tcW w:w="2820" w:type="dxa"/>
            <w:vAlign w:val="bottom"/>
          </w:tcPr>
          <w:p>
            <w:pPr>
              <w:spacing w:after="0"/>
              <w:rPr>
                <w:sz w:val="8"/>
                <w:szCs w:val="8"/>
                <w:color w:val="auto"/>
              </w:rPr>
            </w:pPr>
          </w:p>
        </w:tc>
        <w:tc>
          <w:tcPr>
            <w:tcW w:w="1380" w:type="dxa"/>
            <w:vAlign w:val="bottom"/>
            <w:gridSpan w:val="5"/>
            <w:vMerge w:val="restart"/>
          </w:tcPr>
          <w:p>
            <w:pPr>
              <w:jc w:val="center"/>
              <w:ind w:right="80"/>
              <w:spacing w:after="0" w:line="189" w:lineRule="exact"/>
              <w:rPr>
                <w:sz w:val="20"/>
                <w:szCs w:val="20"/>
                <w:color w:val="auto"/>
              </w:rPr>
            </w:pPr>
            <w:r>
              <w:rPr>
                <w:rFonts w:ascii="Arial" w:cs="Arial" w:eastAsia="Arial" w:hAnsi="Arial"/>
                <w:sz w:val="18"/>
                <w:szCs w:val="18"/>
                <w:color w:val="auto"/>
                <w:w w:val="88"/>
              </w:rPr>
              <w:t>Redeemable</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center"/>
              <w:spacing w:after="0" w:line="95" w:lineRule="exact"/>
              <w:rPr>
                <w:sz w:val="20"/>
                <w:szCs w:val="20"/>
                <w:color w:val="auto"/>
              </w:rPr>
            </w:pPr>
            <w:r>
              <w:rPr>
                <w:rFonts w:ascii="Arial" w:cs="Arial" w:eastAsia="Arial" w:hAnsi="Arial"/>
                <w:sz w:val="10"/>
                <w:szCs w:val="10"/>
                <w:color w:val="auto"/>
              </w:rPr>
              <w:t>Technology</w:t>
            </w:r>
          </w:p>
        </w:tc>
        <w:tc>
          <w:tcPr>
            <w:tcW w:w="0" w:type="dxa"/>
            <w:vAlign w:val="bottom"/>
          </w:tcPr>
          <w:p>
            <w:pPr>
              <w:spacing w:after="0"/>
              <w:rPr>
                <w:sz w:val="1"/>
                <w:szCs w:val="1"/>
                <w:color w:val="auto"/>
              </w:rPr>
            </w:pPr>
          </w:p>
        </w:tc>
      </w:tr>
      <w:tr>
        <w:trPr>
          <w:trHeight w:val="94"/>
        </w:trPr>
        <w:tc>
          <w:tcPr>
            <w:tcW w:w="282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93"/>
              </w:rPr>
              <w:t>Holdings,</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380" w:type="dxa"/>
            <w:vAlign w:val="bottom"/>
            <w:gridSpan w:val="5"/>
            <w:vMerge w:val="restart"/>
          </w:tcPr>
          <w:p>
            <w:pPr>
              <w:jc w:val="center"/>
              <w:ind w:right="80"/>
              <w:spacing w:after="0" w:line="176" w:lineRule="exact"/>
              <w:rPr>
                <w:sz w:val="20"/>
                <w:szCs w:val="20"/>
                <w:color w:val="auto"/>
              </w:rPr>
            </w:pPr>
            <w:r>
              <w:rPr>
                <w:rFonts w:ascii="Arial" w:cs="Arial" w:eastAsia="Arial" w:hAnsi="Arial"/>
                <w:sz w:val="18"/>
                <w:szCs w:val="18"/>
                <w:color w:val="auto"/>
                <w:w w:val="89"/>
              </w:rPr>
              <w:t>Senior Preferred</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80" w:type="dxa"/>
            <w:vAlign w:val="bottom"/>
            <w:gridSpan w:val="3"/>
            <w:vMerge w:val="restart"/>
          </w:tcPr>
          <w:p>
            <w:pPr>
              <w:jc w:val="center"/>
              <w:spacing w:after="0" w:line="176" w:lineRule="exact"/>
              <w:rPr>
                <w:sz w:val="20"/>
                <w:szCs w:val="20"/>
                <w:color w:val="auto"/>
              </w:rPr>
            </w:pPr>
            <w:r>
              <w:rPr>
                <w:rFonts w:ascii="Arial" w:cs="Arial" w:eastAsia="Arial" w:hAnsi="Arial"/>
                <w:sz w:val="18"/>
                <w:szCs w:val="18"/>
                <w:color w:val="auto"/>
                <w:w w:val="89"/>
              </w:rPr>
              <w:t>Treasury Stock</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82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gridSpan w:val="3"/>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Additional</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6"/>
              </w:rPr>
              <w:t>Inc.</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8"/>
                <w:szCs w:val="18"/>
                <w:color w:val="auto"/>
                <w:w w:val="91"/>
              </w:rPr>
              <w:t>Stock (a)</w:t>
            </w:r>
          </w:p>
        </w:tc>
        <w:tc>
          <w:tcPr>
            <w:tcW w:w="60" w:type="dxa"/>
            <w:vAlign w:val="bottom"/>
            <w:vMerge w:val="restart"/>
          </w:tcPr>
          <w:p>
            <w:pPr>
              <w:spacing w:after="0"/>
              <w:rPr>
                <w:sz w:val="7"/>
                <w:szCs w:val="7"/>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8"/>
                <w:szCs w:val="18"/>
                <w:color w:val="auto"/>
                <w:w w:val="92"/>
              </w:rPr>
              <w:t>Preferred Stock</w:t>
            </w:r>
          </w:p>
        </w:tc>
        <w:tc>
          <w:tcPr>
            <w:tcW w:w="80" w:type="dxa"/>
            <w:vAlign w:val="bottom"/>
            <w:vMerge w:val="restart"/>
          </w:tcPr>
          <w:p>
            <w:pPr>
              <w:spacing w:after="0"/>
              <w:rPr>
                <w:sz w:val="7"/>
                <w:szCs w:val="7"/>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Common Stock</w:t>
            </w:r>
          </w:p>
        </w:tc>
        <w:tc>
          <w:tcPr>
            <w:tcW w:w="80" w:type="dxa"/>
            <w:vAlign w:val="bottom"/>
            <w:shd w:val="clear" w:color="auto" w:fill="CCEEFF"/>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gridSpan w:val="2"/>
            <w:vMerge w:val="restart"/>
          </w:tcPr>
          <w:p>
            <w:pPr>
              <w:jc w:val="center"/>
              <w:ind w:right="450"/>
              <w:spacing w:after="0"/>
              <w:rPr>
                <w:sz w:val="20"/>
                <w:szCs w:val="20"/>
                <w:color w:val="auto"/>
              </w:rPr>
            </w:pPr>
            <w:r>
              <w:rPr>
                <w:rFonts w:ascii="Arial" w:cs="Arial" w:eastAsia="Arial" w:hAnsi="Arial"/>
                <w:sz w:val="18"/>
                <w:szCs w:val="18"/>
                <w:color w:val="auto"/>
                <w:w w:val="90"/>
              </w:rPr>
              <w:t>(b)</w:t>
            </w:r>
          </w:p>
        </w:tc>
        <w:tc>
          <w:tcPr>
            <w:tcW w:w="80" w:type="dxa"/>
            <w:vAlign w:val="bottom"/>
            <w:shd w:val="clear" w:color="auto" w:fill="CCEEFF"/>
          </w:tcPr>
          <w:p>
            <w:pPr>
              <w:spacing w:after="0"/>
              <w:rPr>
                <w:sz w:val="7"/>
                <w:szCs w:val="7"/>
                <w:color w:val="auto"/>
              </w:rPr>
            </w:pPr>
          </w:p>
        </w:tc>
        <w:tc>
          <w:tcPr>
            <w:tcW w:w="880" w:type="dxa"/>
            <w:vAlign w:val="bottom"/>
            <w:gridSpan w:val="3"/>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gridSpan w:val="4"/>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300" w:type="dxa"/>
            <w:vAlign w:val="bottom"/>
            <w:tcBorders>
              <w:bottom w:val="single" w:sz="8" w:color="auto"/>
            </w:tcBorders>
            <w:gridSpan w:val="4"/>
            <w:vMerge w:val="continue"/>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7"/>
                <w:szCs w:val="17"/>
                <w:color w:val="auto"/>
              </w:rPr>
              <w:t>Paid-In</w:t>
            </w:r>
          </w:p>
        </w:tc>
        <w:tc>
          <w:tcPr>
            <w:tcW w:w="2100" w:type="dxa"/>
            <w:vAlign w:val="bottom"/>
            <w:tcBorders>
              <w:bottom w:val="single" w:sz="8" w:color="CCEEFF"/>
            </w:tcBorders>
            <w:gridSpan w:val="5"/>
            <w:shd w:val="clear" w:color="auto" w:fill="CCEEFF"/>
          </w:tcPr>
          <w:p>
            <w:pPr>
              <w:ind w:left="20"/>
              <w:spacing w:after="0" w:line="149" w:lineRule="exact"/>
              <w:rPr>
                <w:sz w:val="20"/>
                <w:szCs w:val="20"/>
                <w:color w:val="auto"/>
              </w:rPr>
            </w:pPr>
            <w:r>
              <w:rPr>
                <w:rFonts w:ascii="Arial" w:cs="Arial" w:eastAsia="Arial" w:hAnsi="Arial"/>
                <w:sz w:val="17"/>
                <w:szCs w:val="17"/>
                <w:color w:val="auto"/>
                <w:w w:val="98"/>
              </w:rPr>
              <w:t>Accumulated  Stockholders'</w:t>
            </w: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Amount</w:t>
            </w:r>
          </w:p>
        </w:tc>
        <w:tc>
          <w:tcPr>
            <w:tcW w:w="60" w:type="dxa"/>
            <w:vAlign w:val="bottom"/>
            <w:shd w:val="clear" w:color="auto" w:fill="CCEEFF"/>
          </w:tcPr>
          <w:p>
            <w:pPr>
              <w:spacing w:after="0"/>
              <w:rPr>
                <w:sz w:val="20"/>
                <w:szCs w:val="20"/>
                <w:color w:val="auto"/>
              </w:rPr>
            </w:pPr>
          </w:p>
        </w:tc>
        <w:tc>
          <w:tcPr>
            <w:tcW w:w="13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9"/>
              </w:rPr>
              <w:t>Shares  Amount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Shares</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Amount</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shd w:val="clear" w:color="auto" w:fill="CCEEFF"/>
              </w:rPr>
              <w:t>Shares</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shd w:val="clear" w:color="auto" w:fill="CCEEFF"/>
              </w:rPr>
              <w:t>Amount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(Deficit)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January 1, 2021</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67,391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$(2,388)</w:t>
            </w:r>
          </w:p>
        </w:tc>
        <w:tc>
          <w:tcPr>
            <w:tcW w:w="8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(102,013)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(98,564)</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Equity-classified stock-based</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right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Vesting of stock-based</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Liability-classified stock-based</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compensation converted to equity-</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classified</w:t>
            </w:r>
          </w:p>
        </w:tc>
        <w:tc>
          <w:tcPr>
            <w:tcW w:w="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right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Proceeds from exercise of stock</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Arial" w:cs="Arial" w:eastAsia="Arial" w:hAnsi="Arial"/>
                <w:sz w:val="18"/>
                <w:szCs w:val="18"/>
                <w:color w:val="auto"/>
              </w:rPr>
              <w:t>options</w:t>
            </w: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67,640</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2"/>
              </w:rPr>
              <w:t>$(2,388)</w:t>
            </w:r>
          </w:p>
        </w:tc>
        <w:tc>
          <w:tcPr>
            <w:tcW w:w="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(104,692)</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(99,755)</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2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color w:val="auto"/>
              </w:rPr>
              <w:t>Equity-classified stock-based</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right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Vesting of stock-based</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Proceeds from issuance of</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redeemable senior preferred stock,</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5"/>
                <w:szCs w:val="15"/>
                <w:color w:val="auto"/>
              </w:rPr>
            </w:pPr>
          </w:p>
        </w:tc>
        <w:tc>
          <w:tcPr>
            <w:tcW w:w="68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w w:val="98"/>
              </w:rPr>
              <w:t>131,426</w:t>
            </w:r>
          </w:p>
        </w:tc>
        <w:tc>
          <w:tcPr>
            <w:tcW w:w="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net of discount and issuance costs</w:t>
            </w: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Proceeds from exercise of stock</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options</w:t>
            </w: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Cash dividends declared and paid</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on redeemable senior preferred</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w:t>
            </w:r>
          </w:p>
        </w:tc>
        <w:tc>
          <w:tcPr>
            <w:tcW w:w="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tcBorders>
              <w:right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PIK dividends declared on</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3"/>
              </w:rPr>
              <w:t>1,838</w:t>
            </w:r>
          </w:p>
        </w:tc>
        <w:tc>
          <w:tcPr>
            <w:tcW w:w="60" w:type="dxa"/>
            <w:vAlign w:val="bottom"/>
          </w:tcPr>
          <w:p>
            <w:pPr>
              <w:spacing w:after="0"/>
              <w:rPr>
                <w:sz w:val="15"/>
                <w:szCs w:val="15"/>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w w:val="97"/>
              </w:rPr>
              <w:t>redeemable senior preferred stock</w:t>
            </w: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warrants issued</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Accretion of redeemable senior</w:t>
            </w: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15"/>
                <w:szCs w:val="15"/>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4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preferred stock discount</w:t>
            </w: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PHOT preferred units</w:t>
            </w:r>
          </w:p>
        </w:tc>
        <w:tc>
          <w:tcPr>
            <w:tcW w:w="2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6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gridSpan w:val="4"/>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w:t>
            </w:r>
          </w:p>
        </w:tc>
        <w:tc>
          <w:tcPr>
            <w:tcW w:w="20" w:type="dxa"/>
            <w:vAlign w:val="bottom"/>
            <w:shd w:val="clear" w:color="auto" w:fill="CCEEFF"/>
          </w:tcPr>
          <w:p>
            <w:pPr>
              <w:spacing w:after="0"/>
              <w:rPr>
                <w:sz w:val="19"/>
                <w:szCs w:val="19"/>
                <w:color w:val="auto"/>
              </w:rPr>
            </w:pPr>
          </w:p>
        </w:tc>
        <w:tc>
          <w:tcPr>
            <w:tcW w:w="5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gridSpan w:val="4"/>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140"/>
              <w:spacing w:after="0" w:line="176" w:lineRule="exact"/>
              <w:rPr>
                <w:sz w:val="20"/>
                <w:szCs w:val="20"/>
                <w:color w:val="auto"/>
              </w:rPr>
            </w:pPr>
            <w:r>
              <w:rPr>
                <w:rFonts w:ascii="Arial" w:cs="Arial" w:eastAsia="Arial" w:hAnsi="Arial"/>
                <w:sz w:val="18"/>
                <w:szCs w:val="18"/>
                <w:color w:val="auto"/>
                <w:w w:val="98"/>
              </w:rPr>
              <w:t>Fair value of common shares issued</w:t>
            </w:r>
          </w:p>
        </w:tc>
        <w:tc>
          <w:tcPr>
            <w:tcW w:w="20" w:type="dxa"/>
            <w:vAlign w:val="bottom"/>
          </w:tcPr>
          <w:p>
            <w:pPr>
              <w:spacing w:after="0"/>
              <w:rPr>
                <w:sz w:val="15"/>
                <w:szCs w:val="15"/>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right w:val="single" w:sz="8" w:color="auto"/>
            </w:tcBorders>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9,962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29"/>
        </w:trPr>
        <w:tc>
          <w:tcPr>
            <w:tcW w:w="3020" w:type="dxa"/>
            <w:vAlign w:val="bottom"/>
          </w:tcPr>
          <w:p>
            <w:pPr>
              <w:ind w:left="140"/>
              <w:spacing w:after="0"/>
              <w:rPr>
                <w:sz w:val="20"/>
                <w:szCs w:val="20"/>
                <w:color w:val="auto"/>
              </w:rPr>
            </w:pPr>
            <w:r>
              <w:rPr>
                <w:rFonts w:ascii="Arial" w:cs="Arial" w:eastAsia="Arial" w:hAnsi="Arial"/>
                <w:sz w:val="18"/>
                <w:szCs w:val="18"/>
                <w:color w:val="auto"/>
              </w:rPr>
              <w:t>for PHOT redemption</w:t>
            </w:r>
          </w:p>
        </w:tc>
        <w:tc>
          <w:tcPr>
            <w:tcW w:w="2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6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right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0"/>
              </w:rPr>
              <w:t>$133,762</w:t>
            </w: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69,110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451</w:t>
            </w:r>
          </w:p>
        </w:tc>
        <w:tc>
          <w:tcPr>
            <w:tcW w:w="8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$(2,388)</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$ 14,913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(114,169)</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(101,574)</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8"/>
          </w:tcPr>
          <w:p>
            <w:pPr>
              <w:jc w:val="right"/>
              <w:ind w:right="240"/>
              <w:spacing w:after="0"/>
              <w:rPr>
                <w:sz w:val="20"/>
                <w:szCs w:val="20"/>
                <w:color w:val="auto"/>
              </w:rPr>
            </w:pPr>
            <w:r>
              <w:rPr>
                <w:rFonts w:ascii="Arial" w:cs="Arial" w:eastAsia="Arial" w:hAnsi="Arial"/>
                <w:sz w:val="18"/>
                <w:szCs w:val="18"/>
                <w:color w:val="auto"/>
                <w:w w:val="94"/>
              </w:rPr>
              <w:t>Preferred Stock</w:t>
            </w:r>
          </w:p>
        </w:tc>
        <w:tc>
          <w:tcPr>
            <w:tcW w:w="1260" w:type="dxa"/>
            <w:vAlign w:val="bottom"/>
            <w:gridSpan w:val="7"/>
          </w:tcPr>
          <w:p>
            <w:pPr>
              <w:ind w:left="40"/>
              <w:spacing w:after="0"/>
              <w:rPr>
                <w:sz w:val="20"/>
                <w:szCs w:val="20"/>
                <w:color w:val="auto"/>
              </w:rPr>
            </w:pPr>
            <w:r>
              <w:rPr>
                <w:rFonts w:ascii="Arial" w:cs="Arial" w:eastAsia="Arial" w:hAnsi="Arial"/>
                <w:sz w:val="18"/>
                <w:szCs w:val="18"/>
                <w:color w:val="auto"/>
                <w:w w:val="97"/>
              </w:rPr>
              <w:t>Common Stock</w:t>
            </w:r>
          </w:p>
        </w:tc>
        <w:tc>
          <w:tcPr>
            <w:tcW w:w="20" w:type="dxa"/>
            <w:vAlign w:val="bottom"/>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gridSpan w:val="7"/>
          </w:tcPr>
          <w:p>
            <w:pPr>
              <w:jc w:val="right"/>
              <w:ind w:right="40"/>
              <w:spacing w:after="0"/>
              <w:rPr>
                <w:sz w:val="20"/>
                <w:szCs w:val="20"/>
                <w:color w:val="auto"/>
              </w:rPr>
            </w:pPr>
            <w:r>
              <w:rPr>
                <w:rFonts w:ascii="Arial" w:cs="Arial" w:eastAsia="Arial" w:hAnsi="Arial"/>
                <w:sz w:val="18"/>
                <w:szCs w:val="18"/>
                <w:color w:val="auto"/>
                <w:w w:val="90"/>
              </w:rPr>
              <w:t>Treasury Stock (b)</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3"/>
              </w:rPr>
              <w:t>Total Priority</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gridSpan w:val="4"/>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Technology</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vMerge w:val="restart"/>
            <w:shd w:val="clear" w:color="auto" w:fill="CCEEFF"/>
          </w:tcPr>
          <w:p>
            <w:pPr>
              <w:ind w:left="20"/>
              <w:spacing w:after="0"/>
              <w:rPr>
                <w:sz w:val="20"/>
                <w:szCs w:val="20"/>
                <w:color w:val="auto"/>
              </w:rPr>
            </w:pPr>
            <w:r>
              <w:rPr>
                <w:rFonts w:ascii="Arial" w:cs="Arial" w:eastAsia="Arial" w:hAnsi="Arial"/>
                <w:sz w:val="18"/>
                <w:szCs w:val="18"/>
                <w:color w:val="auto"/>
              </w:rPr>
              <w:t>Additional</w:t>
            </w: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5"/>
              </w:rPr>
              <w:t>Holdings,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vMerge w:val="continue"/>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6"/>
              </w:rPr>
              <w:t>Inc.</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w w:val="91"/>
              </w:rPr>
              <w:t>Shares</w:t>
            </w:r>
          </w:p>
        </w:tc>
        <w:tc>
          <w:tcPr>
            <w:tcW w:w="60" w:type="dxa"/>
            <w:vAlign w:val="bottom"/>
            <w:shd w:val="clear" w:color="auto" w:fill="CCEEFF"/>
          </w:tcPr>
          <w:p>
            <w:pPr>
              <w:spacing w:after="0"/>
              <w:rPr>
                <w:sz w:val="15"/>
                <w:szCs w:val="15"/>
                <w:color w:val="auto"/>
              </w:rPr>
            </w:pPr>
          </w:p>
        </w:tc>
        <w:tc>
          <w:tcPr>
            <w:tcW w:w="800" w:type="dxa"/>
            <w:vAlign w:val="bottom"/>
            <w:gridSpan w:val="4"/>
            <w:vMerge w:val="restart"/>
            <w:shd w:val="clear" w:color="auto" w:fill="CCEEFF"/>
          </w:tcPr>
          <w:p>
            <w:pPr>
              <w:ind w:left="20"/>
              <w:spacing w:after="0"/>
              <w:rPr>
                <w:sz w:val="20"/>
                <w:szCs w:val="20"/>
                <w:color w:val="auto"/>
              </w:rPr>
            </w:pPr>
            <w:r>
              <w:rPr>
                <w:rFonts w:ascii="Arial" w:cs="Arial" w:eastAsia="Arial" w:hAnsi="Arial"/>
                <w:sz w:val="18"/>
                <w:szCs w:val="18"/>
                <w:color w:val="auto"/>
              </w:rPr>
              <w:t>Amount</w:t>
            </w:r>
          </w:p>
        </w:tc>
        <w:tc>
          <w:tcPr>
            <w:tcW w:w="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Shares</w:t>
            </w:r>
          </w:p>
        </w:tc>
        <w:tc>
          <w:tcPr>
            <w:tcW w:w="40" w:type="dxa"/>
            <w:vAlign w:val="bottom"/>
            <w:shd w:val="clear" w:color="auto" w:fill="CCEEFF"/>
          </w:tcPr>
          <w:p>
            <w:pPr>
              <w:spacing w:after="0"/>
              <w:rPr>
                <w:sz w:val="15"/>
                <w:szCs w:val="15"/>
                <w:color w:val="auto"/>
              </w:rPr>
            </w:pPr>
          </w:p>
        </w:tc>
        <w:tc>
          <w:tcPr>
            <w:tcW w:w="6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w w:val="93"/>
              </w:rPr>
              <w:t>Amount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4"/>
              </w:rPr>
              <w:t>Shares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Amount</w:t>
            </w: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Paid-In</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Accumulated</w:t>
            </w:r>
          </w:p>
        </w:tc>
        <w:tc>
          <w:tcPr>
            <w:tcW w:w="40" w:type="dxa"/>
            <w:vAlign w:val="bottom"/>
            <w:shd w:val="clear" w:color="auto" w:fill="CCEEFF"/>
          </w:tcPr>
          <w:p>
            <w:pPr>
              <w:spacing w:after="0"/>
              <w:rPr>
                <w:sz w:val="15"/>
                <w:szCs w:val="15"/>
                <w:color w:val="auto"/>
              </w:rPr>
            </w:pPr>
          </w:p>
        </w:tc>
        <w:tc>
          <w:tcPr>
            <w:tcW w:w="120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auto"/>
              </w:rPr>
              <w:t>Stockholders'</w:t>
            </w: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NCI (c)</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4"/>
            <w:vMerge w:val="continue"/>
            <w:shd w:val="clear" w:color="auto" w:fill="CCEEFF"/>
          </w:tcPr>
          <w:p>
            <w:pPr>
              <w:spacing w:after="0"/>
              <w:rPr>
                <w:sz w:val="19"/>
                <w:szCs w:val="19"/>
                <w:color w:val="auto"/>
              </w:rPr>
            </w:pPr>
          </w:p>
        </w:tc>
        <w:tc>
          <w:tcPr>
            <w:tcW w:w="6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Capital</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(Deficit)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(Deficit)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January 1, 2020</w:t>
            </w:r>
          </w:p>
        </w:tc>
        <w:tc>
          <w:tcPr>
            <w:tcW w:w="20" w:type="dxa"/>
            <w:vAlign w:val="bottom"/>
          </w:tcPr>
          <w:p>
            <w:pPr>
              <w:spacing w:after="0"/>
              <w:rPr>
                <w:sz w:val="19"/>
                <w:szCs w:val="19"/>
                <w:color w:val="auto"/>
              </w:rPr>
            </w:pPr>
          </w:p>
        </w:tc>
        <w:tc>
          <w:tcPr>
            <w:tcW w:w="56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67,061</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451</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2"/>
              </w:rPr>
              <w:t>$(2,388)</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3,651</w:t>
            </w: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(127,674)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(126,343)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Equity-classified stock-based</w:t>
            </w:r>
          </w:p>
        </w:tc>
        <w:tc>
          <w:tcPr>
            <w:tcW w:w="20" w:type="dxa"/>
            <w:vAlign w:val="bottom"/>
            <w:shd w:val="clear" w:color="auto" w:fill="CCEEFF"/>
          </w:tcPr>
          <w:p>
            <w:pPr>
              <w:spacing w:after="0"/>
              <w:rPr>
                <w:sz w:val="15"/>
                <w:szCs w:val="15"/>
                <w:color w:val="auto"/>
              </w:rPr>
            </w:pPr>
          </w:p>
        </w:tc>
        <w:tc>
          <w:tcPr>
            <w:tcW w:w="580" w:type="dxa"/>
            <w:vAlign w:val="bottom"/>
            <w:gridSpan w:val="3"/>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0" w:type="dxa"/>
            <w:vAlign w:val="bottom"/>
            <w:shd w:val="clear" w:color="auto" w:fill="CCEEFF"/>
          </w:tcPr>
          <w:p>
            <w:pPr>
              <w:spacing w:after="0"/>
              <w:rPr>
                <w:sz w:val="19"/>
                <w:szCs w:val="19"/>
                <w:color w:val="auto"/>
              </w:rPr>
            </w:pPr>
          </w:p>
        </w:tc>
        <w:tc>
          <w:tcPr>
            <w:tcW w:w="5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6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5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(5,869)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(5,869)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67,061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(133,543)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(131,874)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w w:val="97"/>
              </w:rPr>
              <w:t>Equity-classified stock compensation</w:t>
            </w: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Borders>
              <w:top w:val="single" w:sz="8" w:color="CCEE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gridSpan w:val="2"/>
          </w:tcPr>
          <w:p>
            <w:pPr>
              <w:ind w:left="30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gridSpan w:val="3"/>
          </w:tcPr>
          <w:p>
            <w:pPr>
              <w:ind w:left="4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580</w:t>
            </w: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580</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 shares of common stock</w:t>
            </w: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5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(7,858)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67,061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(141,401)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(139,152)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328"/>
        <w:spacing w:after="0" w:line="258" w:lineRule="auto"/>
        <w:tabs>
          <w:tab w:leader="none" w:pos="65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27, 2021, the Company authorized 250,000 shares and issued 150,000 shares of redeemable senior preferred stock with a par value of $0.001 per share for a purchase price of $1,000 per share under the Securities Purchase Agreement.</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cost</w:t>
      </w:r>
    </w:p>
    <w:p>
      <w:pPr>
        <w:spacing w:after="0" w:line="9" w:lineRule="exact"/>
        <w:rPr>
          <w:rFonts w:ascii="Arial" w:cs="Arial" w:eastAsia="Arial" w:hAnsi="Arial"/>
          <w:sz w:val="18"/>
          <w:szCs w:val="18"/>
          <w:color w:val="auto"/>
        </w:rPr>
      </w:pPr>
    </w:p>
    <w:p>
      <w:pPr>
        <w:jc w:val="both"/>
        <w:ind w:left="660" w:hanging="328"/>
        <w:spacing w:after="0" w:line="270" w:lineRule="auto"/>
        <w:tabs>
          <w:tab w:leader="none" w:pos="657" w:val="left"/>
        </w:tabs>
        <w:numPr>
          <w:ilvl w:val="0"/>
          <w:numId w:val="7"/>
        </w:numPr>
        <w:rPr>
          <w:rFonts w:ascii="Arial" w:cs="Arial" w:eastAsia="Arial" w:hAnsi="Arial"/>
          <w:sz w:val="17"/>
          <w:szCs w:val="17"/>
          <w:color w:val="auto"/>
        </w:rPr>
      </w:pPr>
      <w:r>
        <w:rPr>
          <w:rFonts w:ascii="Arial" w:cs="Arial" w:eastAsia="Arial" w:hAnsi="Arial"/>
          <w:sz w:val="17"/>
          <w:szCs w:val="17"/>
          <w:color w:val="222222"/>
        </w:rPr>
        <w:t xml:space="preserve">Prior to third quarter 2020, this balance was related to the acquisition of certain assets from YapStone, Inc. by the Company's PRET subsidiary during 2019. As part of the consideration for the assets acquired from YapStone, Inc. by PRET, YapStone, Inc. was issued a NCI in PRET with an initial estimated fair value and carrying value of $5,654,000. For all reporting periods since PRET's inception through June 30, 2020, no earnings or losses were attributable to the NCIs of PRET. During the three months ended September 30, 2020, a gain on a sale of assets from PRET resulted in the attribution of a total of </w:t>
      </w:r>
      <w:r>
        <w:rPr>
          <w:rFonts w:ascii="Arial" w:cs="Arial" w:eastAsia="Arial" w:hAnsi="Arial"/>
          <w:sz w:val="17"/>
          <w:szCs w:val="17"/>
          <w:color w:val="000000"/>
        </w:rPr>
        <w:t>$45.1 million to the NCIs of PRET. This amount was also distributed in a final redemption of the NCIs'</w:t>
      </w:r>
      <w:r>
        <w:rPr>
          <w:rFonts w:ascii="Arial" w:cs="Arial" w:eastAsia="Arial" w:hAnsi="Arial"/>
          <w:sz w:val="17"/>
          <w:szCs w:val="17"/>
          <w:color w:val="222222"/>
        </w:rPr>
        <w:t xml:space="preserve"> </w:t>
      </w:r>
      <w:r>
        <w:rPr>
          <w:rFonts w:ascii="Arial" w:cs="Arial" w:eastAsia="Arial" w:hAnsi="Arial"/>
          <w:sz w:val="17"/>
          <w:szCs w:val="17"/>
          <w:color w:val="000000"/>
        </w:rPr>
        <w:t xml:space="preserve">interests in PRET during the three months ended </w:t>
      </w:r>
      <w:r>
        <w:rPr>
          <w:rFonts w:ascii="Arial" w:cs="Arial" w:eastAsia="Arial" w:hAnsi="Arial"/>
          <w:sz w:val="17"/>
          <w:szCs w:val="17"/>
          <w:color w:val="222222"/>
        </w:rPr>
        <w:t>September 30, 2020</w:t>
      </w:r>
      <w:r>
        <w:rPr>
          <w:rFonts w:ascii="Arial" w:cs="Arial" w:eastAsia="Arial" w:hAnsi="Arial"/>
          <w:sz w:val="17"/>
          <w:szCs w:val="17"/>
          <w:color w:val="000000"/>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is included in Salary and employee benefits in the accompanying unaudited condensed consolidated statements of operations. The Company recognizes the effects of forfeitures on compensation expense as the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Expense recognized for equity-classified stock compensation by plan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gridSpan w:val="4"/>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9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Equity Incentive Plan</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recognized compensation expense of $35 thousand in the three months and six months ended June 30, 2021, and $108 thousand during the three months and six months ended June 30, 2020, related to liability-classified stock compensation under the 2018 Equity Incentive Plan whereby the service inception date preceded the future grant-date.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the Company converted a $313 thousand liability-classified stock compensation accrual for restricted stock units under the 2018 Equity Incentive Plan, whereby the service inception date preceded the future grant-date, to an equity-classified award when the restricted stock units were granted.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 for the stock-based compensation was not material for the three months and six months ended June 30, 2021 and June 30,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16, 2021, the Priority Technology Holdings, Inc. 2021 Employee Stock Purchase Plan ("2021 Stock Purchase Plan") was adopted by the Board of Directors. The maximum number of shares available for purchase under the plan is 20,000 shares. Shares issued under the plan may be authorized but unissued or reacquired shares of common stock. The plan became effective on July 1, 2021, to all employees of the Company who work more than 20 hours per week and have been employed by the Company for at least 30 days.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beginning on July 1, 2021. The plan provides eligible employees the opportunity to purchase shares of the Company's common stock on a quarterly basis through payroll deductions at a price equal to 95% of the lesser of the fair value on the first and last trading day of each quarter.</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2021 and December 31, 2020, the Company no longer has any fair value estimates that are required to be remeasured at the end of each reporting period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are carried at amortized cost. Substantially all of the Company's notes receivable are secured, and the Company has provided for allowances when it believes that certain notes receivable may not be collectible. The fair value of the Company's notes receivable, net at June 30, 2021 and December 31, 2020 was approximately $4.2 million and $7.7 million, respectively. On the fair value hierarchy, Level 3 inputs are used to estimate the fair value of these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Outstanding debt obligations (see Note 8, </w:t>
      </w:r>
      <w:r>
        <w:rPr>
          <w:rFonts w:ascii="Arial" w:cs="Arial" w:eastAsia="Arial" w:hAnsi="Arial"/>
          <w:sz w:val="18"/>
          <w:szCs w:val="18"/>
          <w:i w:val="1"/>
          <w:iCs w:val="1"/>
          <w:color w:val="auto"/>
        </w:rPr>
        <w:t>Debt Obligations</w:t>
      </w:r>
      <w:r>
        <w:rPr>
          <w:rFonts w:ascii="Arial" w:cs="Arial" w:eastAsia="Arial" w:hAnsi="Arial"/>
          <w:sz w:val="18"/>
          <w:szCs w:val="18"/>
          <w:color w:val="auto"/>
        </w:rPr>
        <w:t>) are reflected in the Company's consolidated balance sheets at carrying value since the Company did not elect to remeasure debt obligations to fair value at the end of each reporting period.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 xml:space="preserve">The fair value of the of the term loan facility under the </w:t>
      </w:r>
      <w:r>
        <w:rPr>
          <w:rFonts w:ascii="Arial" w:cs="Arial" w:eastAsia="Arial" w:hAnsi="Arial"/>
          <w:sz w:val="17"/>
          <w:szCs w:val="17"/>
          <w:color w:val="000000"/>
        </w:rPr>
        <w:t>Credit and Guaranty Agreement at June 30, 2021 was estimated to be approximately $294.8 million</w:t>
      </w:r>
      <w:r>
        <w:rPr>
          <w:rFonts w:ascii="Arial" w:cs="Arial" w:eastAsia="Arial" w:hAnsi="Arial"/>
          <w:sz w:val="17"/>
          <w:szCs w:val="17"/>
          <w:color w:val="212529"/>
        </w:rPr>
        <w:t xml:space="preserve"> The fair value of the term loan facility under the Borrowers' Senior Credit Agreement at December 31, 2020 was estimated to be approximately $278.0 million. The fair value of these notes at </w:t>
      </w:r>
      <w:r>
        <w:rPr>
          <w:rFonts w:ascii="Arial" w:cs="Arial" w:eastAsia="Arial" w:hAnsi="Arial"/>
          <w:sz w:val="17"/>
          <w:szCs w:val="17"/>
          <w:color w:val="000000"/>
        </w:rPr>
        <w:t>June 30, 2021 and December 31, 2020,</w:t>
      </w:r>
      <w:r>
        <w:rPr>
          <w:rFonts w:ascii="Arial" w:cs="Arial" w:eastAsia="Arial" w:hAnsi="Arial"/>
          <w:sz w:val="17"/>
          <w:szCs w:val="17"/>
          <w:color w:val="212529"/>
        </w:rPr>
        <w:t xml:space="preserve"> with a notional value and carrying value (gross of deferred costs and discounts) of $300 million and $279.4 million, respectively, was estimated using binding and non-binding quoted prices in an active secondary market, which considers the Borrowers' credit risk and market related conditions, and is within Level 3 of the fair value hierarchy.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the Borrowers' other long-term debt obligations approximate fair value due to mechanisms in the credit agreements that adjust the applicable interest rates and the lack of a market for these debt obligations.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SEGMENT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2021, the Company has three reportable segments. The Consumer Payments operating segment and the Integrated Partners operating segments are each reported as separate reportable segments. The Commercial Payments and Institutional Services (sometimes referred to as Managed Services) operating segments are aggregated into one reportable segment, Commercial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about our three reportable segments:</w:t>
      </w:r>
    </w:p>
    <w:p>
      <w:pPr>
        <w:spacing w:after="0" w:line="225" w:lineRule="exact"/>
        <w:rPr>
          <w:sz w:val="20"/>
          <w:szCs w:val="20"/>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 </w:t>
      </w:r>
      <w:r>
        <w:rPr>
          <w:rFonts w:ascii="Arial" w:cs="Arial" w:eastAsia="Arial" w:hAnsi="Arial"/>
          <w:sz w:val="18"/>
          <w:szCs w:val="18"/>
          <w:color w:val="auto"/>
        </w:rPr>
        <w:t>represents services provided to certain enterprise customers, including outsourced sales force to those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automation services to commercial customers.</w:t>
      </w:r>
    </w:p>
    <w:p>
      <w:pPr>
        <w:spacing w:after="0" w:line="170"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Integrated Partners – </w:t>
      </w:r>
      <w:r>
        <w:rPr>
          <w:rFonts w:ascii="Arial" w:cs="Arial" w:eastAsia="Arial" w:hAnsi="Arial"/>
          <w:sz w:val="18"/>
          <w:szCs w:val="18"/>
          <w:color w:val="auto"/>
        </w:rPr>
        <w:t>represents payment adjacent services that are provided primarily to the health care, real estate, and hospitality industries. In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2020, the Company sold a substantial portion of the assets of this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costs of corporate functions and shared services not allocated to the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revenues, consolidated income (loss) from operations, and consolidated depreciation and amortization are as follows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shd w:val="clear" w:color="auto" w:fill="CCEEFF"/>
          </w:tcPr>
          <w:p>
            <w:pPr>
              <w:spacing w:after="0"/>
              <w:rPr>
                <w:sz w:val="19"/>
                <w:szCs w:val="19"/>
                <w:color w:val="auto"/>
              </w:rPr>
            </w:pPr>
          </w:p>
        </w:tc>
        <w:tc>
          <w:tcPr>
            <w:tcW w:w="314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shd w:val="clear" w:color="auto" w:fill="CCEEFF"/>
          </w:tcPr>
          <w:p>
            <w:pPr>
              <w:spacing w:after="0"/>
              <w:rPr>
                <w:sz w:val="19"/>
                <w:szCs w:val="19"/>
                <w:color w:val="auto"/>
              </w:rPr>
            </w:pPr>
          </w:p>
        </w:tc>
        <w:tc>
          <w:tcPr>
            <w:tcW w:w="300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Consumer Payments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119,625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81,707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228,018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167,738</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Payments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Integrated Partners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9,529</w:t>
            </w:r>
          </w:p>
        </w:tc>
      </w:tr>
      <w:tr>
        <w:trPr>
          <w:trHeight w:val="248"/>
        </w:trPr>
        <w:tc>
          <w:tcPr>
            <w:tcW w:w="4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189,289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Consumer Payments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27,811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14,422</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Payments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Integrated Partners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Consolidated income from operations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Payments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Commercial Payments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Partners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48"/>
        </w:trPr>
        <w:tc>
          <w:tcPr>
            <w:tcW w:w="4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depreciation and amortization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income from operations of reportable segments to net loss is provided in the following table: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shd w:val="clear" w:color="auto" w:fill="CCEEFF"/>
          </w:tcPr>
          <w:p>
            <w:pPr>
              <w:spacing w:after="0"/>
              <w:rPr>
                <w:sz w:val="19"/>
                <w:szCs w:val="19"/>
                <w:color w:val="auto"/>
              </w:rPr>
            </w:pPr>
          </w:p>
        </w:tc>
        <w:tc>
          <w:tcPr>
            <w:tcW w:w="314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shd w:val="clear" w:color="auto" w:fill="CCEEFF"/>
          </w:tcPr>
          <w:p>
            <w:pPr>
              <w:spacing w:after="0"/>
              <w:rPr>
                <w:sz w:val="19"/>
                <w:szCs w:val="19"/>
                <w:color w:val="auto"/>
              </w:rPr>
            </w:pPr>
          </w:p>
        </w:tc>
        <w:tc>
          <w:tcPr>
            <w:tcW w:w="300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4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from operations of reportable segments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16,874</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(9,284)</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(21,983)</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Debt modification and extinguishment costs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revenue is generated in the United States.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 xml:space="preserve">For the three months and six months </w:t>
      </w:r>
      <w:r>
        <w:rPr>
          <w:rFonts w:ascii="Arial" w:cs="Arial" w:eastAsia="Arial" w:hAnsi="Arial"/>
          <w:sz w:val="16"/>
          <w:szCs w:val="16"/>
          <w:color w:val="000000"/>
        </w:rPr>
        <w:t>ended June 30, 2021 and June 30, 2020</w:t>
      </w:r>
      <w:r>
        <w:rPr>
          <w:rFonts w:ascii="Arial" w:cs="Arial" w:eastAsia="Arial" w:hAnsi="Arial"/>
          <w:sz w:val="16"/>
          <w:szCs w:val="16"/>
          <w:color w:val="212529"/>
        </w:rPr>
        <w:t>, no one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potentially move the underlying merchant relationships to another merchant acquirer upon notice to the Company and completion of a "wind down" period. For the three months ended June 30, 2021 and June 30, 2020, merchants referred by one ISO organization with potential merchant portability rights generated revenue within the Company's Consumer Payments reportable segment that represented approximately 23.2% and 21.4%, respectively, of the Company's consolidated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22, 2020, Priority Real Estate Holdings, LLC ("PRET"), a majority-owned and consolidated subsidiary of the Company, sold certain assets comprising its RentPayment business, which was part of the Integrated Partners reportable segment. The allocation of net proceeds from the sale, after transaction costs, to the PRET members included the return of each member’s invested capital in PRET and excess proceeds were distributed in accordance with the distribution provisions of the PRET governing agreement. Approximately $51.4 million and $45.1 million of the excess proceeds were distributed to the Company and the non-controlling interests, respectively. The initial allocation of net proceeds remained subject to final adjustment with the PRET members at December 31, 2020. During the first quarter of 2021, it was determined that an additional $0.5 million of the excess proceeds was due to the non-controlling interests, which amounts were included in other expenses, net in the unaudited condensed consolidated statement of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and six months ended June 30, 2020, RentPayment generated $4.4 million and $8.2 million of revenue, respectively, and $0.9 million and $1.5 million of income from operations, respectively.</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loss per common share: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shd w:val="clear" w:color="auto" w:fill="CCEEFF"/>
          </w:tcPr>
          <w:p>
            <w:pPr>
              <w:spacing w:after="0"/>
              <w:rPr>
                <w:sz w:val="19"/>
                <w:szCs w:val="19"/>
                <w:color w:val="auto"/>
              </w:rPr>
            </w:pPr>
          </w:p>
        </w:tc>
        <w:tc>
          <w:tcPr>
            <w:tcW w:w="314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shd w:val="clear" w:color="auto" w:fill="CCEEFF"/>
          </w:tcPr>
          <w:p>
            <w:pPr>
              <w:spacing w:after="0"/>
              <w:rPr>
                <w:sz w:val="19"/>
                <w:szCs w:val="19"/>
                <w:color w:val="auto"/>
              </w:rPr>
            </w:pPr>
          </w:p>
        </w:tc>
        <w:tc>
          <w:tcPr>
            <w:tcW w:w="300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Common Share:</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line="176" w:lineRule="exact"/>
              <w:rPr>
                <w:sz w:val="20"/>
                <w:szCs w:val="20"/>
                <w:color w:val="auto"/>
              </w:rPr>
            </w:pPr>
            <w:r>
              <w:rPr>
                <w:rFonts w:ascii="Arial" w:cs="Arial" w:eastAsia="Arial" w:hAnsi="Arial"/>
                <w:sz w:val="18"/>
                <w:szCs w:val="18"/>
                <w:color w:val="auto"/>
                <w:w w:val="93"/>
              </w:rPr>
              <w:t>Less: Dividends and accretion attributable to redeemable</w:t>
            </w:r>
          </w:p>
        </w:tc>
        <w:tc>
          <w:tcPr>
            <w:tcW w:w="3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(3,911)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senior preferred stockholders</w:t>
            </w:r>
          </w:p>
        </w:tc>
        <w:tc>
          <w:tcPr>
            <w:tcW w:w="3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Less: Non-controlling interest preferred unit redemptions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common shares outstanding(a)</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67,088</w:t>
            </w:r>
          </w:p>
        </w:tc>
        <w:tc>
          <w:tcPr>
            <w:tcW w:w="0" w:type="dxa"/>
            <w:vAlign w:val="bottom"/>
          </w:tcPr>
          <w:p>
            <w:pPr>
              <w:spacing w:after="0"/>
              <w:rPr>
                <w:sz w:val="1"/>
                <w:szCs w:val="1"/>
                <w:color w:val="auto"/>
              </w:rPr>
            </w:pPr>
          </w:p>
        </w:tc>
      </w:tr>
      <w:tr>
        <w:trPr>
          <w:trHeight w:val="234"/>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Basic and Diluted Loss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660" w:right="20" w:hanging="328"/>
        <w:spacing w:after="0" w:line="277"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weighted-average common stock shares outstanding include the 1.8 million warrants issued under the Securities Purchase Agreement (refer to Note 9</w:t>
      </w:r>
      <w:r>
        <w:rPr>
          <w:rFonts w:ascii="Arial" w:cs="Arial" w:eastAsia="Arial" w:hAnsi="Arial"/>
          <w:sz w:val="18"/>
          <w:szCs w:val="18"/>
          <w:i w:val="1"/>
          <w:iCs w:val="1"/>
          <w:color w:val="auto"/>
        </w:rPr>
        <w:t>, Redeemable Senior Preferred Stock and Warrants).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Potentially anti-dilutive securities that were excluded from loss per common share for the three months and six months ended June 30, 2021 and June 30, 2020 that could be dilutive in future periods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40" w:type="dxa"/>
            <w:vAlign w:val="bottom"/>
            <w:tcBorders>
              <w:bottom w:val="single" w:sz="8" w:color="auto"/>
            </w:tcBorders>
            <w:gridSpan w:val="3"/>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Common Stock Equivalents at</w:t>
            </w:r>
          </w:p>
        </w:tc>
      </w:tr>
      <w:tr>
        <w:trPr>
          <w:trHeight w:val="223"/>
        </w:trPr>
        <w:tc>
          <w:tcPr>
            <w:tcW w:w="7600" w:type="dxa"/>
            <w:vAlign w:val="bottom"/>
          </w:tcPr>
          <w:p>
            <w:pPr>
              <w:spacing w:after="0"/>
              <w:rPr>
                <w:sz w:val="19"/>
                <w:szCs w:val="19"/>
                <w:color w:val="auto"/>
              </w:rPr>
            </w:pPr>
          </w:p>
        </w:tc>
        <w:tc>
          <w:tcPr>
            <w:tcW w:w="1880" w:type="dxa"/>
            <w:vAlign w:val="bottom"/>
            <w:gridSpan w:val="2"/>
          </w:tcPr>
          <w:p>
            <w:pPr>
              <w:ind w:left="360"/>
              <w:spacing w:after="0"/>
              <w:rPr>
                <w:sz w:val="20"/>
                <w:szCs w:val="20"/>
                <w:color w:val="auto"/>
              </w:rPr>
            </w:pPr>
            <w:r>
              <w:rPr>
                <w:rFonts w:ascii="Arial" w:cs="Arial" w:eastAsia="Arial" w:hAnsi="Arial"/>
                <w:sz w:val="18"/>
                <w:szCs w:val="18"/>
                <w:b w:val="1"/>
                <w:bCs w:val="1"/>
                <w:color w:val="auto"/>
              </w:rPr>
              <w:t>June 30, 2021</w:t>
            </w:r>
          </w:p>
        </w:tc>
        <w:tc>
          <w:tcPr>
            <w:tcW w:w="176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 2020</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warrants on common stock (a)</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Outstanding options and warrants issued to adviser (a)</w:t>
            </w:r>
          </w:p>
        </w:tc>
        <w:tc>
          <w:tcPr>
            <w:tcW w:w="17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 (b)</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Liability-classified restricted stock units</w:t>
            </w:r>
          </w:p>
        </w:tc>
        <w:tc>
          <w:tcPr>
            <w:tcW w:w="17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 awards (b)</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r>
      <w:tr>
        <w:trPr>
          <w:trHeight w:val="20"/>
        </w:trPr>
        <w:tc>
          <w:tcPr>
            <w:tcW w:w="7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Issued by M.I. Acquisitions, Inc. prior to July 25, 2018.</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Granted under the 2018 Equity Incentive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2020, 2019 and 2018 and the section entitled "Management's Discussion and Analysis of Financial Condition and Results of Operations," included in the Company's Annual Report on Form 10-K filed with the U.S. Securities and Exchange Commission on March 31, 2021 (the "Annual Report").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included in this Quarterly Report or our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section includes a discussion and analysis of our results of operations for the three months ended June 30, 2021 (or second quarter 2021) compared to the three months ended June 30, 2020 (or second quarter 2020), and the six months ended June 30, 2021 (or first half 2021) compared to the six months ended June 30, 2020 (or first half 2020).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our latest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Three Months Ended June 30, 2021 Compared to the Three Months Ended June 30, 2020</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shd w:val="clear" w:color="auto" w:fill="CCEEFF"/>
          </w:tcPr>
          <w:p>
            <w:pPr>
              <w:spacing w:after="0"/>
              <w:rPr>
                <w:sz w:val="19"/>
                <w:szCs w:val="19"/>
                <w:color w:val="auto"/>
              </w:rPr>
            </w:pPr>
          </w:p>
        </w:tc>
        <w:tc>
          <w:tcPr>
            <w:tcW w:w="3320" w:type="dxa"/>
            <w:vAlign w:val="bottom"/>
            <w:gridSpan w:val="5"/>
            <w:shd w:val="clear" w:color="auto" w:fill="CCEEFF"/>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r>
      <w:tr>
        <w:trPr>
          <w:trHeight w:val="196"/>
        </w:trPr>
        <w:tc>
          <w:tcPr>
            <w:tcW w:w="4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Costs of services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89,831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62,398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44.0 %</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Salary and employee benefits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33.2 %</w:t>
            </w:r>
          </w:p>
        </w:tc>
      </w:tr>
      <w:tr>
        <w:trPr>
          <w:trHeight w:val="142"/>
        </w:trPr>
        <w:tc>
          <w:tcPr>
            <w:tcW w:w="4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2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83.7 %</w:t>
            </w:r>
          </w:p>
        </w:tc>
      </w:tr>
      <w:tr>
        <w:trPr>
          <w:trHeight w:val="250"/>
        </w:trPr>
        <w:tc>
          <w:tcPr>
            <w:tcW w:w="4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net</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34.1 %</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259.0 %</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*Calculation is not meaningful ("nm").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Six Months Ended June 30, 2021 Compared to the Six Months Ended June 30, 2020</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40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238,311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189,289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196"/>
        </w:trPr>
        <w:tc>
          <w:tcPr>
            <w:tcW w:w="4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Costs of services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171,694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128,762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33.3 %</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Salary and employee benefits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19,793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226,379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181,699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24.6 %</w:t>
            </w:r>
          </w:p>
        </w:tc>
      </w:tr>
      <w:tr>
        <w:trPr>
          <w:trHeight w:val="142"/>
        </w:trPr>
        <w:tc>
          <w:tcPr>
            <w:tcW w:w="4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2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57.2 %</w:t>
            </w:r>
          </w:p>
        </w:tc>
      </w:tr>
      <w:tr>
        <w:trPr>
          <w:trHeight w:val="250"/>
        </w:trPr>
        <w:tc>
          <w:tcPr>
            <w:tcW w:w="4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income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(8,322)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income, net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net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(22,135)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12.2 %</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(13,727)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*Calculation is not meaningful ("nm").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three months ended June 30, 2021 compared to the three months ended June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119,625</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81,707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37,918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105,177</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30,740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14,448</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98.7 %</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10,297</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13,875,957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9,010,908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4,865,049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150,598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92,842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57,756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62.2 %</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4,041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0.5%</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Key Indicators: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75,070</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64,247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10,823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123.8 %</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Key Indicators: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13,051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(109,038)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14,634</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70.4 %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Corporate expense</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(7,229)</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7,405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83.7 %</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13,964,079</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9,197,245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4,766,834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51.8 %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150,781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six months ended June 30, 2021 compared to the six months ended June 30,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shd w:val="clear" w:color="auto" w:fill="CCEEFF"/>
          </w:tcPr>
          <w:p>
            <w:pPr>
              <w:spacing w:after="0"/>
              <w:rPr>
                <w:sz w:val="19"/>
                <w:szCs w:val="19"/>
                <w:color w:val="auto"/>
              </w:rPr>
            </w:pPr>
          </w:p>
        </w:tc>
        <w:tc>
          <w:tcPr>
            <w:tcW w:w="3440" w:type="dxa"/>
            <w:vAlign w:val="bottom"/>
            <w:gridSpan w:val="5"/>
            <w:shd w:val="clear" w:color="auto" w:fill="CCEEFF"/>
          </w:tcPr>
          <w:p>
            <w:pPr>
              <w:ind w:left="400"/>
              <w:spacing w:after="0"/>
              <w:rPr>
                <w:sz w:val="20"/>
                <w:szCs w:val="20"/>
                <w:color w:val="auto"/>
              </w:rPr>
            </w:pPr>
            <w:r>
              <w:rPr>
                <w:rFonts w:ascii="Arial" w:cs="Arial" w:eastAsia="Arial" w:hAnsi="Arial"/>
                <w:sz w:val="18"/>
                <w:szCs w:val="18"/>
                <w:b w:val="1"/>
                <w:bCs w:val="1"/>
                <w:color w:val="auto"/>
              </w:rPr>
              <w:t>Six Months Ended June 30,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228,018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167,738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60,280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200,207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153,316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27,811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14,422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92.8 %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18,876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17,240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25,747,896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19,397,656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6,350,240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278,086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212,273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income from operations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Operating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10.3 %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Key Indicators: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138,518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136,925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transaction volume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87.0 %</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9,529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(6,777)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Key Indicators: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246,607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Merchant bankcard transaction volume</w:t>
            </w: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27,680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16,874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Corporate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(15,748)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57.2 %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25,910,838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19,781,188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6,129,650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278,403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Results and Trends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outbreak of COVID-19 in the United States, which was declared a pandemic by the World Health Organization on March 11, 2020, adversely affected commercial activity and contributed to a significant decline in economic activity in 2020, particularly in the second quarter of 2020.</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Starting in mid-March 2020 through April 2020, COVID-19 had a significant negative affect on our results. This impact was evident in a decline in merchant bankcard volume and our revenue particularly during the period of restrictive shelter-in-place requirements instituted across the United States toward the end of March 2020 through April 2020. In May 2020, as shelter in place restrictions began to be lifted and regional economies started to reopen, our processing volumes began to return, and revenue growth was supplemented by the acceleration of certain specialized product offerings and ecommerce payment transactions. This recovery momentum continued through the second half of 2020 and first half of 2021.</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there continues to be uncertainty regarding the future economic impacts of COVID-19 variants, our operating results reflect a significant recovery from the pandemic's negative affects during the first half of 2020. The pandemic’s future impact on the overall economy and our results are beyond our ability to predict or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revenue in second quarter 2021 of $125.0 million increased by $32.7 million, or 35.4%, from revenue in second quarter 2020 of $92.4 million. Revenue growth of $37.9 million in our Consumer Payments segment was partially offset by revenue declines of $1.6 million and $3.6 million in our Commercial Payments and Integrated Partners segments,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in Consumer Payments segment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Consumer payments revenue in the second quarter 2021 of $119.6 million increased $37.9 million, or 46.4%, compared to revenue in second quarter 2020 of $81.7 million. This increase was driven by $36.2 million, or 47.6%, revenue growth from our base merchant business, and was supplemented by $1.7 million, or 30.6%, revenue growth from specialized ecommerce merchants. Starting in March 2020 through April 2020, COVID-19 had a significant negative affect on our results. This impact was evident in a decline in merchant bankcard processing dollar value ("volume") and revenue during the period of restrictive shelter-in-place requirements instituted across the United States toward the end of March 2020 through April 2020. In May 2020, as shelter in place restrictions began to be lifted and regional economies started to reopen, our processing volumes began to return, and revenue growth was supplemented by the acceleration of ecommerce payment transactions. This recovery momentum continued through the second half of 2020 and first half of 2021. The pandemic’s negative impact to second quarter 2020 revenue contributed to the exceptionally high second quarter 2021 comparative revenue growth rate; however, the pandemic’s precise impact to the second quarter revenue growth rate is not quantifiable by the Company.</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Merchant bankcard volume in the second quarter of 2021 of $13.9 billion increased by $4.9 billion, or 54.0%, as compared with $9.0 billion in the second quarter of 2020. Merchant bankcard transactions of 150.6 million in the second quarter of 2021 increased by 62.2%, as compared with 92.8 million in the second quarter of 2020. Average ticket (calculated by dividing bankcard processing dollar value by the associated number of transactions processed) of $92.14 in second quarter 2021 decreased by 5.1%, as compared with $97.06 in second quarter 2020. The pandemic’s influence on consumer behavior impacted the comparative volume, vertical industry mix and overall consumer spending trends. Following the pandemic declaration in March 2020, consumers began to conduct fewer payment transactions at higher average tickets, and card-not-present transactions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Revenue in Commercial Payments segment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Payments revenue in second quarter 2021 of $4.0 million decreased by $1.6 million, or 28.5%, compared to revenue in second quarter 2020 of $5.7 million. Revenue in this segment is derived primarily from the accounts payable automated solutions business and from our curated managed services business.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accounts payable automated solutions business in the second quarter of 2021 of $1.6 million increased $0.2 million, or 16.3%, from $1.4 million in second quarter of 2020. This increase was due to increased volume from existing customers. Revenue from our curated managed services business in the second quarter of 2021 of $2.4 million decreased by $1.8 million, or 43.3%, from revenue in the second quarter of 2020 of $4.2 million. This decrease was driven by a decline and curtailment in 2020 of a customer’s merchant financing program in response to the COVID-19 related economic conditions and subsequent changes in the customer’s business model. However, this customer initiated a new supplier enablement program during the first quarter of 2021 which contributed $1.1 million of revenue in second quarter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 in Integrated Partners segment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Integrated Partners revenue in the second quarter of 2021 of $1.3 million decreased by $3.6 million, or 73.0%, compared to revenue in the second quarter of 2020 of $5.0 million. PRET comprised $0.8 million and $4.5 million of this segment's revenue in the second quarter of 2021 and 2020, respectively. Through September 22, 2020, PRET was comprised of our RentPayment and Landlord Station businesses. RentPayment, which was sold on September 22, 2020, generated revenue of $4.4 million in the second quarter of 2020. Simultaneous with the sale of RentPayment, PRET entered into revenue-producing agreements with the buyer to provide ongoing technology support and payment processing services, which offers us an opportunity to expand this relationship and provide payment processing services to existing customers of the buyer. Revenue in the second quarter 2021 of $0.8 million from PRET’s ongoing business increased $0.7 million, or 547.1%, compared with revenue of $0.1 million in the second quarter of 2020. Priority PayRight Health Solutions and PHOT comprise the remainder of this segment's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revenue in the first half of 2021 of $238.3 million increased by $49.0 million, or 25.9%, from revenue in the first half of 2020 of $189.3 million. Revenue growth of $60.3 million in our Consumer Payments segment was partially offset by revenue declines of $4.5 million and $6.8 million in our Commercial Payments and Integrated Partners segments,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in Consumer Payments segment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Consumer payments revenue in the first half of 2021 of $228.0 million increased $60.3 million, or 35.9%, compared to revenue in the first half of 2020 of $167.7 million. This increase was driven by $48.8 million, or 30.6%, revenue growth from our base merchant business, and was supplemented by $11.4 million, or 137.9%, revenue growth from specialized ecommerce merchants. Starting in March 2020 through April 2020, COVID-19 had a significant negative affect on our results. This impact was evident in a decline in merchant bankcard volume and revenue during the period of restrictive shelter-in-place requirements instituted across the United States toward the end of March 2020 through April 2020. In May 2020, as shelter in place restrictions began to be lifted and regional economies started to reopen, our processing volumes began to return, and revenue growth was supplemented by the acceleration of ecommerce payment transactions. This recovery momentum continued through the second half of 2020 and first half of 2021. The pandemic’s negative impact to first half 2020 revenue contributed to the exceptionally high first half 2021 comparative revenue growth rate; however, the pandemic’s precise impact to the first half revenue growth rate is not quantifiable by the Company.</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Merchant bankcard volume in the first half of 2021 of $25.7 billion increased by $6.4 billion, or 32.7%, as compared with $19.4 billion in the first half of 2020. Merchant bankcard transactions of 278.1 million in the first half of 2021 increased by 31.0%, as compared with 212.3 million in the first half of</w:t>
      </w:r>
    </w:p>
    <w:p>
      <w:pPr>
        <w:jc w:val="both"/>
        <w:spacing w:after="0" w:line="260" w:lineRule="auto"/>
        <w:rPr>
          <w:sz w:val="20"/>
          <w:szCs w:val="20"/>
          <w:color w:val="auto"/>
        </w:rPr>
      </w:pPr>
      <w:r>
        <w:rPr>
          <w:rFonts w:ascii="Arial" w:cs="Arial" w:eastAsia="Arial" w:hAnsi="Arial"/>
          <w:sz w:val="18"/>
          <w:szCs w:val="18"/>
          <w:color w:val="auto"/>
        </w:rPr>
        <w:t>2020. Average ticket of $92.59 in the first half of 2021 increased 1.3%, as compared with $91.38 in first half of 2020. The pandemic’s influence on consumer behavior impacted the comparative volume, vertical industry mix and overall consumer spending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Revenue in Commercial Payments segment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Payments revenue in the first half of 2021 of $7.5 million decreased by $4.5 million, or 37.3%, compared to revenue in the first half of 2020 of $12.0 million. Revenue in this segment is derived primarily from the accounts payable automated solutions business and from our curated managed services business.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accounts payable automated solutions business in the first half of 2021 of $3.3 million increased $0.3 million, or 10.5%, from $3.0 million in the first half of 2020. This increase was due to increased business from existing customers. Revenue from our curated managed services business in the first half of 2021 of $4.2 million decreased by $4.8 million, or 53.1%, from revenue in first half 2020 of $9.0 million. This decrease was driven by a decline and curtailment in 2020 of a customer’s merchant financing program in response to the COVID-19 related economic conditions and subsequent changes in the customer’s business model. However, this customer initiated a new supplier enablement program during the first quarter 2021 which contributed $1.5 million of revenue in the first half of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Revenue in Integrated Partners segment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Integrated Partners revenue in the first half of 2021 of $2.8 million, decreased by $6.8 million, or 71.1%, compared to revenue in the first half of 2020 of $9.5 million. PRET comprised $1.6 million and $8.5 million of this segment's revenue in the first half of 2021 and 2020, respectively. Through September 22, 2020, PRET was comprised of our RentPayment and our Landlord Station businesses. RentPayment, which was sold on September 22, 2020, generated revenue of $8.2 million in the first half of 2020. Simultaneous with the sale of RentPayment, PRET entered into revenue-producing agreements with the buyer to provide ongoing technology support and payment processing services, which offers us an opportunity to expand this relationship and provide payment processing services to existing customers of the buyer. Revenue in the first half of 2021 of $1.6 million from PRET’s ongoing business increased $1.3 million, or 562.7%, compared with revenue of $0.2 million in the in the first half of 2020. Priority PayRight Health Solutions and PHOT comprise the remainder of this segment's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consolidated operating expenses in the second quarter of 2021 of $117.6 million increased $29.3 million, or 33.2%, from consolidated operating expenses in the second quarter of 2020 of $88.3 million. This increase was driven by an increase in costs of services. Costs of services is the second quarter of 2021 of $89.8 million increased by $27.4 million or 44.0%, from costs of services in the second quarter of 2020 of $62.4 million due to higher revenues in the second quarter of 2021. Depreciation and amortization expense in the second quarter of 2021 of $10.7 million increased by $0.4 million, or 3.5%, from depreciation and amortization expense in the second quarter of 2020 of $10.4 million. Salary and employee benefits expense in the second quarter of 2021 of $10.4 million increased $0.8 million, or 8.3%, from salary and employee benefits expense in the second quarter of 2020 of $9.6 million, primarily attributable to higher incentive compensation accruals driven by our improved financial results and higher stock-based compensation. Selling, General &amp; Administrative ("SG&amp;A") expense in the second quarter of 2021 of $6.7 million increased $0.7 million, or 11.6%, from SG&amp;A expense in the second quarter of 2020 of $6.0 million, primarily attributable to acquisition and corporate financing activities. During the second quarter of 2021, Corporate SG&amp;A expense included $1.8 million of professional fees and expenses incurred in connection with the pending acquisition of Finxera, the April 2021 debt refinancing and issuance of redeemable senior preferred stock, and other acquisition activities. During the second quarter of 2020, Corporate SG&amp;A expense included $0.5 million of professional fees and expenses primarily incurred in connection with acquisition and litigation activities, and the Integrated Partners segment SG&amp;A expense included $0.8 million of acquisition-related transition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operating expenses in the first half of 2021 of $226.4 million increased $44.7 million, or 24.6%, from consolidated operating expenses in the first half of 2020 of $181.7 million. This increase was driven by higher costs of services. Costs of services in the first of half 2021 of $171.7 million increased $42.9 million, or 33.3%, from costs of services in the first of half 2020 of $128.8 million due to higher revenues in the first half of 2021. Depreciation and amortization expense in the first half of 2021 of $19.8 million decreased by $0.8 million, or 4.1%, from depreciation and amortization expense in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half of 2020 of $20.6 million. Salary and employee benefits expense in the first half of 2021 of $19.9 million increased $0.2 million, or 1.1%, from salary and employee benefits expense in the first half of 2020 of $19.7 million. SG&amp;A expense in the first half of 2021 of $15.0 million increased $2.4 million, or 18.8%, from SG&amp;A expense in the first half of 2020 of $12.6 million. During the first half of 2021, Corporate SG&amp;A expense included $5.5 million of professional fees and expenses incurred in connection with the pending acquisition of Finxera, the April 2021 debt refinancing and issuance of preferred stock, and other acquisition activities. During the first half of 2020, Corporate SG&amp;A expense included $1.0 million of professional fees and expenses primarily incurred in connection with acquisition and litigation activities, and the Integrated Partners segment SG&amp;A expense included $1.7 million of acquisition-related transition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income from operations in the second quarter of 2021 of $7.4 million increased by $3.4 million, or 83.7%, from $4.0 million in the second quarter of 2020. This increase was the result of $5.2 million of higher revenue less costs of services partially offset by $0.8 million of higher salary and employee benefits expense, $0.7 million of higher SG&amp;A expense and $0.4 million of higher depreciation and amortization expense.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Consumer Payments segment contributed $14.4 million in income from operations for the second quarter of 2021, an increase of $7.2 million, or 98.7%, from $7.3 million in the second quarter of 2020. This increase was the result of $9.5 million higher revenue less costs of services and $0.2 million of lower SG&amp;A expense being partially offset by $0.8 million of higher salary and employee benefits expense and $1.6 million of higher depreciation and amortization expense.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Commercial Payments segment had an income from operations slightly above breakeven for the second quarter of 2021 compared to income from operations of $0.5 million for the second quarter of 2020. This decline was primarily the result of $0.5 million of lower revenues less costs of services.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Integrated Partners segment contributed income from operations of $0.2 million for the second quarter of 2021, a decrease of $0.7 million compared to $0.8 million of income from operations for the second quarter of 2020. The decrease was driven by the September 2020 sale of PRET’s RentPayment business. Revenues less costs of services decreased by $3.7 million, which was largely offset by decreases in SG&amp;A of $1.2 million, depreciation and amortization expense of $1.3 million and salary and employee benefits of $0.6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were $7.2 million for the second quarter of 2021, an increase of $2.7 million from expenses of $4.6 million for the second quarter of 2020. This increase was driven by a $2.1 million increase in professional fees and expenses and a $0.6 million increase in salaries and employee benefits, as described above in the prior section for Consolidated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income from operations in the first half of 2021 of $11.9 million increased by $4.3 million, or 57.2%, from $7.6 million in the first half of 2020. This increase was the result of $6.1 million of higher revenue less costs of services and $0.8 million of lower depreciation and amortization expense being partially offset by $0.2 million of higher salary and employee benefits expense and $2.4 million of higher SG&amp;A expense.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Consumer Payments segment contributed $27.8 million in income from operations in the first half of 2021, an increase of $13.4 million, or 92.8%, from $14.4 million in the first half of 2020. This increase was the result of $15.0 million higher revenue less costs of services and $0.7 million of lower SG&amp;A expense being partially offset by $0.7 million of higher salary and employee benefits expense and $1.6 million of higher depreciation and amortization expense.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Commercial Payments segment had a loss from operations of $0.4 million in the first half of 2021 compared to income from operations of $1.2 million in the first half of 2020. This $1.6 million decline was the result of $2.0 million of lower revenues less costs of services, partially offset by $0.4 million of lower salary and employee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Integrated Partners segment contributed income from operations of $0.3 million in the first half of 2021, a decrease of $1.0 million compared to $1.2 million of income from operations in the first half of 2020. The decrease was driven by the September 2020 sale of PRET’s RentPayment business. Revenues less costs of services decreased by $7.0 million, which was largely offset by decreases in SG&amp;A of $2.4 million, depreciation and amortization expense of $2.4 million and salary and employee benefits of $1.2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were $15.7 million in the first half of 2021, an increase of $6.5 million from expenses of $9.3 million in the first half of 2020. This increase was driven by a $5.3 million increase in professional fees and expenses and a $1.2 million increase in salaries and employee benefits, as described above in the prior section for Consolidated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2021 Compared to Three Months Ended June 30, 2020</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expense in the second quarter of 2021 of $7.3 million decreased by $4.4 million, or 37.6%, from $11.7 million in the second quarter of 2020. This decline was primarily driven by lower outstanding debt resulting from the $106.5 million senior debt principal repayment in September 2020 and the $104.5 million subordinated debt retirement in April 2021. Proceeds from the RentPayment sale in September 2020 were used to fund the senior debt principal repayment, and proceeds from the issuance of our redeemable senior preferred stock in April 2021 were used to fund the subordinated debt retirement. The senior debt refinancing in April 2021 reduced the interest rate on our senior indebtedness by 75 basis points.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included cash interest, payment-in-kind interest, and amortization of deferred financing costs and debt discounts. During the second quarter of 2021 and 2020, interest expense was comprised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Borders>
              <w:bottom w:val="single" w:sz="8" w:color="auto"/>
            </w:tcBorders>
            <w:shd w:val="clear" w:color="auto" w:fill="CCEEFF"/>
          </w:tcPr>
          <w:p>
            <w:pPr>
              <w:spacing w:after="0"/>
              <w:rPr>
                <w:sz w:val="19"/>
                <w:szCs w:val="19"/>
                <w:color w:val="auto"/>
              </w:rPr>
            </w:pPr>
          </w:p>
        </w:tc>
        <w:tc>
          <w:tcPr>
            <w:tcW w:w="2900" w:type="dxa"/>
            <w:vAlign w:val="bottom"/>
            <w:tcBorders>
              <w:bottom w:val="single" w:sz="8" w:color="auto"/>
            </w:tcBorders>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6"/>
              </w:rPr>
              <w:t>Three Months Ended June 30,</w:t>
            </w:r>
          </w:p>
        </w:tc>
      </w:tr>
      <w:tr>
        <w:trPr>
          <w:trHeight w:val="223"/>
        </w:trPr>
        <w:tc>
          <w:tcPr>
            <w:tcW w:w="8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Payment-in-kind</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2,024</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80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11,668</w:t>
            </w:r>
          </w:p>
        </w:tc>
      </w:tr>
      <w:tr>
        <w:trPr>
          <w:trHeight w:val="21"/>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2021 Compared to Six Months Ended June 30, 2020</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 the first half of 2021 of $16.5 million decreased by $5.5 million, or 25.2%, from $22.0 million in the first half of 2020. This decline was primarily driven by the factors described above for the three months ended June 30, 2021 compared to three months ended June 30, 2020.</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included cash interest, payment-in-kind interest, and amortization of deferred financing costs and debt discounts. During the first half of 2021 and 2020, interest expense was comprised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gridSpan w:val="4"/>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8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Payment-in-kind</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other</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8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21,983</w:t>
            </w: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and Six Months Ended June 30, 2021 Compared to Three and Six Months Ended June 30,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April 2021, we wrote off unamortized deferred costs and discounts of $3.0 million associated with the retirement of our subordinated debt facility and refinancing of our senior debt facility, and expensed $5.3 million of third-party costs incurred in connection with the refinancing. In the first quarter of 2020, we expensed $0.4 million of third-party costs incurred in connection with the amendment of our debt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We assess all available positive and negative evidence to estimate whether sufficient taxable income will be generated in the future to permit use of the existing deferred tax assets. ASC 740, Income Taxes, requires that all sources of future taxable income be considered in making this determination. The Tax Cuts and Jobs Act of 2017 amended section 163(j) of the Internal Revenue Code. Section 163(j), as amended, limits the business interest deduction to 30% of ATI. For taxable years through 2021, the calculation of Available Taxable Income ("ATI") closely aligns with EBITDA. Commencing in 2022, the ATI limitation more closely aligns with EBITDA, without adjusting for depreciation and amortization. Any business interest in excess of the annual limitation is carried forward indefinitely. In March 2020, the CARES Act was enacted, which among other provisions, provides for the increase of the 163(j) ATI limitation from 30% to 50% for tax years 2019 and 2020.</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With respect to recording a deferred tax benefit for the carryforward of business interest expense, GAAP applies a "more likely than not" threshold for assessing recoverability. Based on management’s assessment, as of the second quarter of 2021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22222"/>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We have used a discrete effective tax rate method to calculate taxes for the fiscal three- and six-month periods ended June 30, 2021. We determined that since small changes in estimated "ordinary" income would result in significant changes in the estimated annual effective tax rate, the historical method would not provide a reliable estimate of the year to date tax provision for the fiscal three and six month periods ended June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describes key changes that have occurred to our consolidated balance sheet at June 30, 2021 compared to December 31, 2020.</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current assets of $86.3 million at June 30, 2021 decreased by $49.6 million from $135.9 million at December 31, 2020 due primarily to the following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Unrestricted cash of $11.1 million at June 30, 2021 increased by $1.9 million from $9.2 million at December 31, 2020. Net unrestricted cash provided by operating activities of $15.5 million and net cash provided by financing activities of $69.4 million were largely offset by 83.1 million used in investing activities. Cash used in investing activities was comprised of capitalized software development of $3.7 million, purchases of property and equipment of $1.5 million, and acquisitions of a business and intangible assets of $77.9 million. Net cash provided by financing activities was comprised of net repayments of long-term debt totaling $384.6 million, primarily in connection with the April 2021 debt refinancing, payment of debt issuance and modification costs of $7.6 million, borrowings under the revolving credit facility of $30.0 million, proceeds from issuing senior preferred equity of $150.0 million, payment of $10.5 million of preferred equity issuance fees and costs, payment of the cash portion of redeemable senior preferred stockholder dividends of $1.6 million, proceeds from the exercise of stock options of $0.8 million and cash distribution to non-controlling interests in a subsidiary of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cash of $18.2 million decreased by $60.6 million in first half 2021, largely attributable to the transfer of customer restricted cash from a Priority-owned account to a bank-owned FBO account resulting from a change in our business practice for certain types of customer deposits and cash advance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 of allowance for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of $50.6 million increased $9.3 million in first half 2021, largely attributable to higher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of $442.9 million at June 30, 2021 decreased by $25.0 million from $417.8 million at December 31, 2020 due primarily to the $49.6 million decrease in current assets and the following increases in long-term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Goodwill of $124.1 million increased $17.2 million in the first half of 2021, resulting from the acquisition of C&amp;H Financial Services, Inc. in June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Intangible assets, net of accumulated amortization, of $145.8 million increased $47.8 million in first half 2021, resulting from amortization expense of $15.7 million and total additions of $63.4 million from the tuck-in acquisitions in April and June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non-current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non-current assets of $10.9 million increased $8.9 million in first half 2021, resulting largely from value allocation of $3.3 million to a put right related to future issuance of up to $100 million of additional redeemable senior preferred stock to provide partial financing for the pending acquisition of Finxera and other permitted acquisitions, and $5.7 million of underwriting fees paid in connection with the delayed draw term loan facility, the proceeds of which may be used to provide partial financing for the pending acquisition of Finxera. The April 2021 issuance of redeemable senior preferred stock and debt refinancing are discussed below in the subsequent section for Liquidity and Capital Resources.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current liabilities of $84.2 million at June 30, 2021 decreased by $64.7 million from $148.8 million at December 31, 2020 due primarily to the following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Settlement obligations of $11.3 million at June 30, 2021 decreased by $61.6 million from $72.9 million at December 31, 2020 largely attributable to the transfer of customer restricted cash from a Priority-owned account to a bank-owned FBO account resulting from a change in our business practice for certain types of customer cash advance activities. This decrease is directly correlated with the corresponding decrease in restricted cash.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portion of long-term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portion of long-term debt of $3.0 million at June 30, 2021 decreased by $16.4 million from $19.4 million at December 31, 2020 due to the April 2021 debt refinancing, which reduced minimum annual amortization to quarterly installments in aggregate annual amounts equal to 1.0% of original principal, with the balance paid upon maturity in April 2027. The April 2021 debt refinancing is discussed below in the subsequent section for Liquidity and Capital Resources.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liabilities of $410.7 million at June 30, 2021 decreased by $105.7 million from $516.4 million at December 31, 2020 due primarily to the $64.7 million decrease in current liabilities and the following changes in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net of current portion, discounts and debt issuance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Long-term debt of $318.2 million, including borrowings under the revolving credit facility of $30.0 million at June 30, 2021 decreased by $39.7 million from $357.9 million at December 31, 2020 due largely to the April 2021 debt refinancing. Borrowings under the revolving credit facility of $30.0 million at June 30, 2021 increased by $30.0 million from no outstanding borrowings at December 31, 2020. In June 2021, $30.0 million was borrowed under the revolving credit facility to partially fund the acquisition of C&amp;H Financial Services, Inc. The April 2021 debt refinancing is discussed below in the subsequent section for Liquidity and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Redeemable senior preferred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Redeemable senior preferred stock of $133.8 million at June 30, 2021 increased by $133.8 million due to the April 2021 issuance and sale of the Initial Redeemable Senior Preferred Stock. The April 2021 issuance of redeemable senior preferred stock is discussed below in the subsequent section for Liquidity and Capital Resources.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issued $150 million of redeemable senior preferred stock along with detachable Warrants to purchase up to 1,803,841 shares of the Company’s common stock, par value $0.001 per share, at an exercise price $0.001. The Company received a commitment from the investors to purchase up to an additional $100 million of redeemable senior preferred stock to provide partial financing for the pending Finxera acquisition and other permitted acquisitions. Issuance fees and costs of $10.5 million were paid by the Company in connection with this transaction. The net proceeds of $139.5 million were allocated on the balance sheet, based upon valuations, to the redeemable senior preferred stock of $131.4 million, additional paid-in capital of $11.4 million for the warrants, and non-current assets of $3.3 million for the committed financing put right.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Stockholders' deficit: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deficit of $101.6 million at June 30, 2021 increased by $3.0 million from a deficit of $98.6 million at December 31, 2020. Accumulated deficit of $114.2 million increased $12.2 million in the first half of 2021 due to the net loss of $12.2 million.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 paid-in capital of $14.9 million increased $9.1 million in first half 2021. Total increases of $23.8 million resulted from $11.4 million from issuance of detachable warrants, $10.0 million from issuance of common stock in redemptions of non-controlling interest preferred units, $1.7 million from stock-based compensation, and $0.8 million from stock option exercises. Total decreases of $14.7 million resulted from $10.8 million of non-controlling interest preferred unit redemptions and $3.9 million of dividends to redeemable senior preferred stockholders, including $0.5 million of discount accretion. The preferred unit redemption is discussed below in PHOT Preferred Unit Redemption – Distribution to Non-Controlling Interests.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facility are sufficient to meet our working capital requirements for at least the next twelve months. This is based upon management’s estimates and assumptions, including utilizing the most currently available information regarding the effects of the COVID-19 pandemic on our financial results. Actual future results could differ materially, as the magnitude, duration and effects of the COVID-19 pandemic are difficult to predict, and ultimately could negatively impact our liquidity and capital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working capital, defined as current assets less current liabilities, was $2.2 million at June 30, 2021 and $(13.0) million December 31, 2020, respectively. At June 30, 2021, we had $30.0 million outstanding under the $40.0 million revolving credit facility of our Senior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our changes in cash flows for the comparative six month periods ended June 30,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20" w:type="dxa"/>
            <w:vAlign w:val="bottom"/>
            <w:tcBorders>
              <w:bottom w:val="single" w:sz="8" w:color="auto"/>
            </w:tcBorders>
            <w:shd w:val="clear" w:color="auto" w:fill="CCEEFF"/>
          </w:tcPr>
          <w:p>
            <w:pPr>
              <w:spacing w:after="0"/>
              <w:rPr>
                <w:sz w:val="19"/>
                <w:szCs w:val="19"/>
                <w:color w:val="auto"/>
              </w:rPr>
            </w:pPr>
          </w:p>
        </w:tc>
        <w:tc>
          <w:tcPr>
            <w:tcW w:w="2540" w:type="dxa"/>
            <w:vAlign w:val="bottom"/>
            <w:tcBorders>
              <w:bottom w:val="single" w:sz="8" w:color="auto"/>
            </w:tcBorders>
            <w:gridSpan w:val="4"/>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8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350"/>
              <w:spacing w:after="0"/>
              <w:rPr>
                <w:sz w:val="20"/>
                <w:szCs w:val="20"/>
                <w:color w:val="auto"/>
              </w:rPr>
            </w:pPr>
            <w:r>
              <w:rPr>
                <w:rFonts w:ascii="Arial" w:cs="Arial" w:eastAsia="Arial" w:hAnsi="Arial"/>
                <w:sz w:val="18"/>
                <w:szCs w:val="18"/>
                <w:color w:val="auto"/>
                <w:w w:val="92"/>
              </w:rPr>
              <w:t>(45,124)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9,822</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2"/>
              </w:rPr>
              <w:t>(83,082)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69,429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2"/>
              </w:rPr>
              <w:t>(58,777)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operating activities, which includes changes in restricted cash, was $45.1 million in the first half of 2021 compared to net cash provided by operating activities of $9.8 million in the first half of 2020. Restricted cash operating activities, which are operating activities related to disbursement and receipt of restricted cash held on behalf of customers, used $60.6 million of cash in the first half of 2021 and used $2.1 million of cash in the first half of 2020. This comparative change in restricted cash flow is driven by the June 2021 transfer of customer restricted cash from a Priority-owned account to a bank-owned FBO account resulting from a change in our business practice for certain types of customer cash advance activities. Unrestricted cash activities provided $15.5 million of cash in the first half of 2021 and provided $11.9 million of cash in the first half of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$83.1 million in the first half 2021 compared to net cash used in investing activities of $7.5 million in the first half of 2020. Cash used to acquire intangible portfolio assets amounted to $43.4 million in the first half of 2021 compared to $3.3 million in the first half of 2020. Cash used to acquire a business in the first half of 2021 amounted to $34.5 million. Cash used to acquire property, equipment, and software amounted to $5.2 million in the first half of 2021 and $4.2 million in the first half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financing activities was $69.4 million in the first half of 2021 compared to net cash used in financing activities of $1.8 million in the first half of 2020. In the first half of 2021, total debt principal repayments were $384.6 million; proceeds from the issuance of long-term debt, net of deferred discounts and debt issuance costs, were $286.0 million; proceeds from borrowings under the revolving credit facility were $30.0 million; proceeds from issuance of senior preferred equity, net of discounts and issuance costs, were $139.5 million; cash portion of dividend paid to redeemable senior preferred stockholder was $1.6 million; cash portion of preferred unit redemption to non-controlling interests was $0.8 million and proceeds from exercise of stock options was $0.8 million. In the first half of 2020, senior debt principal repayments of $2.0 million and debt modification costs of $2.7 million were offset by $3.0 million of net borrowings under the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at June 30,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27, 2021, we refinanced our previous credit facilities by entering into a new Credit Agreement. The Credit Agreement, is comprised of a senior secured first lien term loan facility in an aggregate principal amount of $300.0 million (the "Initial Term Loan", or "Term Loan"), a senior secured revolving credit facility in an aggregate amount not to exceed $40.0 million outstanding at any time, and a senior secured first lien delayed draw term loan facility in an aggregate principal amount of $290.0 million ("Delayed Draw Term Loan", or "Term Loan"), the proceeds of which may be used to fund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 of Finxera. The Term Loan’s interest rate is LIBOR (1.0% floor) plus 5.75%, which is a 75 basis point reduction from LIBOR (1.0% floor) plus 6.5% under the prior senior indebtedness.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2021, we had outstanding debt obligations of $330.0 million compared to $382.0 million at December 31, 2020, a decrease of $52.0 million. The debt balance at June 30, 2021 consisted of $300.0 million outstanding under the Initial Term Loan and $30 million outstanding under the revolving credit facility. Minimum amortization of the Initial Term Loan are equal quarterly installments in aggregate annual amounts equal to 1.0% of original principal, with the balance paid upon maturity. The Initial Term Loan matures in April 2027 and the revolving credit facility expires in April 2026.</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to the Consolidated Adjusted EBITDA (as defined in the Credit Agreement). If applicable, the maximum permitted Total Net Leverage Ratio is 6.50:1.00 at each fiscal quarter ended September 30, 2021 through June 30, 2022, 6.00:1.00 at each fiscal quarter ended September 30, 2022 through June 30, 2023, and 5.50:1.00 at each fiscal quarter ended September 30, 2023 each fiscal quarter thereafter.</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were in compliance with our financial covenants. Total Net Leverage Ratio, Consolidated Total Debt, and Consolidated Adjusted EBITDA are defined in the Credit and Guaranty Agreement and are summarized below:</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Net Leverage Ratio means, at any date of determination, the ratio of Consolidated Total Debt for such date, to Consolidated Adjusted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Total Debt is the aggregate principal amount of indebtedness minus the aggregate amount of unrestricted cash at the balance sheet date.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Adjusted EBITDA is consolidated net income plus any applicable items determined in accordance with clauses (i)(b) through (i)(x) of the Consolidated Adjusted EBITDA definition, minus any applicable items determined in accordance with clauses (ii)(a) through (ii)(h) of the Consolidated Adjusted EBITDA.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Under the provisions of the agreement, calculation of Consolidated Adjusted EBITDA is determined on a last twelve months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Adjusted EBITDA is a non-GAAP liquidity measure. For determining the Total Net Leverage Ratio at June 30, 2021, Consolidated Adjusted EBITDA was calculated as follows in accordance with the referenced clause definitions from the Credit and Guaranty Agreement executed on April 27,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Last Twelve Months Ended</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Net Income (GAAP)</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Applicable Adjustments: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Gain on sale of business, less amounts attributable and paid to NCIs (clause (ii)(c))</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(62,091)</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Interest expense (clause (i)(b))</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39,309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 (clause (i)(d))</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39,933</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Income tax expense (clause (i)(c))</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10,976</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Non-cash stock-based compensation (clause (i)(j))</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Arial" w:cs="Arial" w:eastAsia="Arial" w:hAnsi="Arial"/>
                <w:sz w:val="18"/>
                <w:szCs w:val="18"/>
                <w:color w:val="auto"/>
              </w:rPr>
              <w:t>Acquisition transition services (clause (i)(k))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Debt extinguishment and modification expenses (clause (i)(h))</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Arial" w:cs="Arial" w:eastAsia="Arial" w:hAnsi="Arial"/>
                <w:sz w:val="18"/>
                <w:szCs w:val="18"/>
                <w:color w:val="auto"/>
              </w:rPr>
              <w:t>Impairment of intangible asset (clause (i)(f))</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Provision for allowance for note receivable (clause (i)(f))</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Change in fair value of contingent consideration for business combinations (clause (ii)(a))</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Certain legal fees and expenses (clause (i)(m))</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Litigation settlement recoveries (clause (i)(k))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Professional, accounting and consulting fees (clause (i)(k))</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Arial" w:cs="Arial" w:eastAsia="Arial" w:hAnsi="Arial"/>
                <w:sz w:val="18"/>
                <w:szCs w:val="18"/>
                <w:color w:val="auto"/>
              </w:rPr>
              <w:t>Other professional and consulting fees (clause (i)(h))</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adjustments (clause (i)(k))</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Arial" w:cs="Arial" w:eastAsia="Arial" w:hAnsi="Arial"/>
                <w:sz w:val="18"/>
                <w:szCs w:val="18"/>
                <w:color w:val="auto"/>
              </w:rPr>
              <w:t>Pro forma impact of disposal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 forma impact of acquisitions and transactions</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Consolidated Adjusted EBITDA (non-GAAP)</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At June 30, 2021, the Total Net Leverage Ratio was 3.43:1.00, calculated as follows:</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ratio)</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Consolidated Total Debt: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360" w:type="dxa"/>
            <w:vAlign w:val="bottom"/>
          </w:tcPr>
          <w:p>
            <w:pPr>
              <w:ind w:left="240"/>
              <w:spacing w:after="0"/>
              <w:rPr>
                <w:sz w:val="20"/>
                <w:szCs w:val="20"/>
                <w:color w:val="auto"/>
              </w:rPr>
            </w:pPr>
            <w:r>
              <w:rPr>
                <w:rFonts w:ascii="Arial" w:cs="Arial" w:eastAsia="Arial" w:hAnsi="Arial"/>
                <w:sz w:val="18"/>
                <w:szCs w:val="18"/>
                <w:color w:val="auto"/>
              </w:rPr>
              <w:t>Long-term debt, net of discounts and deferred financing costs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318,187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Unamortized debt discounts and deferred financing costs</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unrestricted cash</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23"/>
        </w:trPr>
        <w:tc>
          <w:tcPr>
            <w:tcW w:w="8360" w:type="dxa"/>
            <w:vAlign w:val="bottom"/>
          </w:tcPr>
          <w:p>
            <w:pPr>
              <w:ind w:left="240"/>
              <w:spacing w:after="0"/>
              <w:rPr>
                <w:sz w:val="20"/>
                <w:szCs w:val="20"/>
                <w:color w:val="auto"/>
              </w:rPr>
            </w:pPr>
            <w:r>
              <w:rPr>
                <w:rFonts w:ascii="Arial" w:cs="Arial" w:eastAsia="Arial" w:hAnsi="Arial"/>
                <w:sz w:val="18"/>
                <w:szCs w:val="18"/>
                <w:color w:val="auto"/>
              </w:rPr>
              <w:t>Consolidated Net Debt</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318,889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 Net Leverage Ratio</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3.43x</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Senior Preferred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27, 2021, we entered into the Securities Purchase Agreement with credit funds managed by certain affiliates of Ares Management Corporation ("Investors"), pursuant to which we issued and sold 150,000 shares of Redeemable Senior Preferred Stock, par value $0.001 per share, at a purchase price of $150.0 million, or $1,000 per Redeemable Senior Preferred Share, less a $5.0 million discount, and issued Warrants to purchase up to 1,803,841 shares of the Company’s common stock, par value $0.001 per share, at an exercise price $0.001. The exercise price and the number of shares issuable upon exercise of the warrants are subject to certain adjustments from time to time on the terms outlined in the Warrants.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issuance and sale of the Initial Redeemable Senior Preferred Stock, under the Securities Purchase Agreement, upon the consummation of the Company’s acquisition of Finxera, we may issue and sell to the Investors an additional 50,000 shares of Redeemable Senior Preferred Stock, at a purchase price of $50.0 million, or $1,000 per share ("Acquisition Redeemable Senior Preferred Stock"), less a discount of $625,000. We may also issue and sell to the Investors up to an additional 50,000 shares of Redeemable Senior Preferred Stock, at a purchase price of $1,000 per share, less a discount of $625,000, within 18 months after the consummation of the Acquisition Redeemable Senior Preferred Stock sale, upon the completion of a permitted acquisition and satisfaction of certain customary closing conditions.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used the proceeds from the sale of the Initial Redeemable Senior Preferred Stock to repay our subordinated debt, pay certain fees and expenses relating to the debt refinancing and the Securities Purchase Agreement, and fund an April 2021 asset acquisition.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27, 2021 the Company entered into a Registration Rights Agreement, by and among the Company and the Investors pursuant to which the Company agreed to provide certain registration rights with respect to the shares of Common Stock issuable upon exercise of the Warrants (the "Registrable Securities").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Registration Rights Agreement, the holders of the Registrable Securities were granted piggyback rights to be included in certain underwritten offerings of Common Stock and the right to demand a shelf registration of Registrable Securities.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Redeemable Senior Preferred Stock has a quarterly cumulative preferred dividend at LIBOR plus 12.0%, with a cash portion at the discretion of the Company at LIBOR (1.0% floor) plus 5.0% and PIK portion at 7.0%. The dividend is subject to a 2.0% increase if the Company elects the cash portion to be added to PIK. There are scheduled dividend rate increases after the fifth anniversary of issuance. In June 2021, the Company’s Board of Directors declared and authorized the second quarter 2021 dividend with a 6.0% cash portion of $1.6 million and a 7.0% PIK portion of $1.8 million. The Company paid the dividend on June 30, 2021. Additionally, the Company recorded $0.5 million of discount accretion.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 on Liquidity and Capital Resources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current assessment is that we anticipate cash on hand, funds generated from operations and available borrowings under our revolving credit facility to be sufficient to meet our working capital requirements, and that we will remain in compliance with our debt covenants. However, </w:t>
      </w:r>
      <w:r>
        <w:rPr>
          <w:rFonts w:ascii="Arial" w:cs="Arial" w:eastAsia="Arial" w:hAnsi="Arial"/>
          <w:sz w:val="18"/>
          <w:szCs w:val="18"/>
          <w:color w:val="212529"/>
        </w:rPr>
        <w:t>the ongoing magnitude,</w:t>
      </w:r>
      <w:r>
        <w:rPr>
          <w:rFonts w:ascii="Arial" w:cs="Arial" w:eastAsia="Arial" w:hAnsi="Arial"/>
          <w:sz w:val="18"/>
          <w:szCs w:val="18"/>
          <w:color w:val="auto"/>
        </w:rPr>
        <w:t xml:space="preserve"> </w:t>
      </w:r>
      <w:r>
        <w:rPr>
          <w:rFonts w:ascii="Arial" w:cs="Arial" w:eastAsia="Arial" w:hAnsi="Arial"/>
          <w:sz w:val="18"/>
          <w:szCs w:val="18"/>
          <w:color w:val="212529"/>
        </w:rPr>
        <w:t>duration and effects of the COVID-19 pandemic on our future results of operation, cash flows, and financial condition are difficult to predict at this time, and our current assessment is subject to material revision.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PHOT </w:t>
      </w:r>
      <w:r>
        <w:rPr>
          <w:rFonts w:ascii="Arial" w:cs="Arial" w:eastAsia="Arial" w:hAnsi="Arial"/>
          <w:sz w:val="18"/>
          <w:szCs w:val="18"/>
          <w:b w:val="1"/>
          <w:bCs w:val="1"/>
          <w:i w:val="1"/>
          <w:iCs w:val="1"/>
          <w:color w:val="000000"/>
        </w:rPr>
        <w:t>Preferred Unit Redemption - Distribution to Non-Controlling Interests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In February 2019, PHOT, a subsidiary of the Company, received a contribution of substantially all of the operating assets eTab and Cumulus under asset contribution agreements. PHOT is a part of the Company’s Integrated Partners reportable segment. No material liabilities were assumed by PHOT. These contributed assets were composed substantially of technology-related assets. Prior to these transactions, eTab was 80.0% owned by the Company’s CEO. No cash consideration was paid to the contributors of the eTab or Cumulus assets on the date of the transactions. As consideration for these contributed assets, the contributors were issued redeemable NCIs in PHOT. Under these redeemable NCIs, the contributors were eligible to receive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31F20"/>
        </w:rPr>
        <w:t>to $4.5 million of profits earned by PHOT, plus a preferred yield (6.0% per annum)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At the time of contribution, the Company determined that the contributor’s carrying value of the eTab and Cumulus net assets (as a common control transaction under GAAP) were not material. Under the guidance for a common control transaction, the contribution of the eTab and Cumulus net assets did not result in a change of entity or the receipt of a business, therefore the Company’s financial statements for prior periods were not adjusted to reflect the historical results attributable to the eTab net assets. For the period from February 1, 2019 through October 31, 2020, a total of $250,000 of PHOT’s earnings were attributable to the NCIs of PHOT, and this same amount was distributed in cash to the NCIs during the same period.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 xml:space="preserve">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debt refinancing. </w:t>
      </w:r>
      <w:r>
        <w:rPr>
          <w:rFonts w:ascii="Arial" w:cs="Arial" w:eastAsia="Arial" w:hAnsi="Arial"/>
          <w:sz w:val="17"/>
          <w:szCs w:val="17"/>
          <w:color w:val="000000"/>
        </w:rPr>
        <w:t>The April 2021 debt refinancing is discussed above in the prior section for Liquidity and Capital Resources.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May 2021, the Company entered into exchange agreements and completed the exchange of 1,428,358 shares of common stock and $814,219 of cash for the Total Preferred Equity Interests. The CEO received 605,623 shares of common stock of the Company in exchange for his 35.3% interest, and the Company’s Executive Vice President of M&amp;A and Corporate Development received 413,081 shares of common stock of the Company in exchange for her 24.1% interest. Subsequent to establishing the common stock valuation in November 2020 and the date of exchange in May 2021, the Company’s common stock price appreciated to $7.75 per share. The Company’s financial statements for the three-months ended June 30, 2021 reflect this exchange as a distribution to non-controlling interests at an appreciated common stock value of $6.975 per share, which incorporates a 10% liquidity discount of $0.775 per share due to Rule 144 trading restrictions. Therefore, the total distribution amounted to $10.8 million, comprised of $10.0 million of common stock and $0.8 million of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See Note 4,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and Note 11,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our unaudited condensed consolidated financial statements in Part I, Item 1 of this Quarterly Report on Form 10-Q for disclosure information about potential contingent payments that we may be required to make in future periods that are not required to be recognized in our consolidated balance sheets as of June 30, 2021 or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Except as described in the following, there have been no significant changes to our contractual obligations compared to those disclosed in "Management's Discussion and Analysis of Financial Condition and Results of Operations of Priority" included in the Annual Report for the year ended December 31, 2020. Changes in the minimum annual spend commitments with third-party processor partners and contingent consideration for acquisitions are further described in Note 11,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an updated schedule of debt repayments under the Credit and Guaranty Agreement executed on April 27, 2021, see Note 8, </w:t>
      </w:r>
      <w:r>
        <w:rPr>
          <w:rFonts w:ascii="Arial" w:cs="Arial" w:eastAsia="Arial" w:hAnsi="Arial"/>
          <w:sz w:val="17"/>
          <w:szCs w:val="17"/>
          <w:i w:val="1"/>
          <w:iCs w:val="1"/>
          <w:color w:val="auto"/>
        </w:rPr>
        <w:t>Debt Obligations.</w:t>
      </w:r>
      <w:r>
        <w:rPr>
          <w:rFonts w:ascii="Arial" w:cs="Arial" w:eastAsia="Arial" w:hAnsi="Arial"/>
          <w:sz w:val="17"/>
          <w:szCs w:val="17"/>
          <w:color w:val="auto"/>
        </w:rPr>
        <w:t xml:space="preserve"> Also, at December 31, 2020, the Company accrued approximately $6.2 million for the remaining cash consideration it estimates it will be required to pay under an assignment of merchant portfolio rights agreement and related reseller agreement it executed with a third-party in October 2019. Payments are required to be made on a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basis through September 30, 2022. The Company continues to review its estimate of the remaining consideration to be paid and will adjust its obligation accordingly if deemed necessary. As of June 30, 2021, the only change in the amounts accrued was for the required payment made in the first and second quarters of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most recent Annual Report on Form 10-K. There have been no material changes to these critical accounting policies and estimates as of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time to time, new accounting pronouncements are issued by the Financial Accounting Standards Board or other standards setting bodies that may affect our current and/or future financial statements. See Note 1, </w:t>
      </w:r>
      <w:r>
        <w:rPr>
          <w:rFonts w:ascii="Arial" w:cs="Arial" w:eastAsia="Arial" w:hAnsi="Arial"/>
          <w:sz w:val="18"/>
          <w:szCs w:val="18"/>
          <w:i w:val="1"/>
          <w:iCs w:val="1"/>
          <w:color w:val="auto"/>
        </w:rPr>
        <w:t>Basis of Presentation and Significant Accounting Policies</w:t>
      </w:r>
      <w:r>
        <w:rPr>
          <w:rFonts w:ascii="Arial" w:cs="Arial" w:eastAsia="Arial" w:hAnsi="Arial"/>
          <w:sz w:val="18"/>
          <w:szCs w:val="18"/>
          <w:color w:val="auto"/>
        </w:rPr>
        <w:t>, to our unaudited condensed consolidated financial statements included in Part 1,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2020. Our exposures to market risk have not changed materially since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Management, with the participation of the CEO and CFO, has evaluated the effectiveness of the Company's disclosure controls and procedures as of June 30, 2021. Based on that evaluation, the Company's CEO and CFO concluded that the Company's disclosure controls and procedures were effective as of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12529"/>
        </w:rPr>
        <w:t>b) 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There were no changes in the Company’s internal control over financial reporting during the second quarter of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800" w:type="dxa"/>
            <w:vAlign w:val="bottom"/>
          </w:tcPr>
          <w:p>
            <w:pPr>
              <w:spacing w:after="0"/>
              <w:rPr>
                <w:sz w:val="17"/>
                <w:szCs w:val="17"/>
                <w:color w:val="auto"/>
              </w:rPr>
            </w:pPr>
          </w:p>
        </w:tc>
        <w:tc>
          <w:tcPr>
            <w:tcW w:w="974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580" w:type="dxa"/>
            <w:vAlign w:val="bottom"/>
            <w:gridSpan w:val="2"/>
          </w:tcPr>
          <w:p>
            <w:pPr>
              <w:spacing w:after="0"/>
              <w:rPr>
                <w:rFonts w:ascii="Arial" w:cs="Arial" w:eastAsia="Arial" w:hAnsi="Arial"/>
                <w:sz w:val="18"/>
                <w:szCs w:val="18"/>
                <w:color w:val="0000FF"/>
              </w:rPr>
            </w:pPr>
            <w:hyperlink r:id="rId6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0" w:type="dxa"/>
            <w:vAlign w:val="bottom"/>
          </w:tcPr>
          <w:p>
            <w:pPr>
              <w:spacing w:after="0"/>
              <w:rPr>
                <w:sz w:val="24"/>
                <w:szCs w:val="24"/>
                <w:color w:val="auto"/>
              </w:rPr>
            </w:pPr>
          </w:p>
        </w:tc>
        <w:tc>
          <w:tcPr>
            <w:tcW w:w="9740" w:type="dxa"/>
            <w:vAlign w:val="bottom"/>
            <w:gridSpan w:val="8"/>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 xml:space="preserve">Certificate of Designations of Redeemable Senior Preferred Stock </w:t>
              </w:r>
            </w:hyperlink>
            <w:r>
              <w:rPr>
                <w:rFonts w:ascii="Arial" w:cs="Arial" w:eastAsia="Arial" w:hAnsi="Arial"/>
                <w:sz w:val="18"/>
                <w:szCs w:val="18"/>
                <w:color w:val="0000FF"/>
                <w:w w:val="92"/>
              </w:rPr>
              <w:t>(incorporated by reference to Exhibit 3.1 to the Current Report on</w:t>
            </w:r>
          </w:p>
        </w:tc>
      </w:tr>
      <w:tr>
        <w:trPr>
          <w:trHeight w:val="189"/>
        </w:trPr>
        <w:tc>
          <w:tcPr>
            <w:tcW w:w="24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740" w:type="dxa"/>
            <w:vAlign w:val="bottom"/>
            <w:tcBorders>
              <w:top w:val="single" w:sz="8" w:color="0000FF"/>
            </w:tcBorders>
            <w:gridSpan w:val="4"/>
          </w:tcPr>
          <w:p>
            <w:pPr>
              <w:spacing w:after="0" w:line="189" w:lineRule="exact"/>
              <w:rPr>
                <w:sz w:val="20"/>
                <w:szCs w:val="20"/>
                <w:color w:val="auto"/>
              </w:rPr>
            </w:pPr>
            <w:r>
              <w:rPr>
                <w:rFonts w:ascii="Arial" w:cs="Arial" w:eastAsia="Arial" w:hAnsi="Arial"/>
                <w:sz w:val="18"/>
                <w:szCs w:val="18"/>
                <w:color w:val="0000FF"/>
              </w:rPr>
              <w:t>Form 8-K, filed May 3, 2021).</w:t>
            </w:r>
          </w:p>
        </w:tc>
        <w:tc>
          <w:tcPr>
            <w:tcW w:w="40" w:type="dxa"/>
            <w:vAlign w:val="bottom"/>
          </w:tcPr>
          <w:p>
            <w:pPr>
              <w:spacing w:after="0"/>
              <w:rPr>
                <w:sz w:val="16"/>
                <w:szCs w:val="16"/>
                <w:color w:val="auto"/>
              </w:rPr>
            </w:pPr>
          </w:p>
        </w:tc>
        <w:tc>
          <w:tcPr>
            <w:tcW w:w="474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80" w:type="dxa"/>
            <w:vAlign w:val="bottom"/>
            <w:gridSpan w:val="2"/>
          </w:tcPr>
          <w:p>
            <w:pPr>
              <w:spacing w:after="0"/>
              <w:rPr>
                <w:rFonts w:ascii="Arial" w:cs="Arial" w:eastAsia="Arial" w:hAnsi="Arial"/>
                <w:sz w:val="18"/>
                <w:szCs w:val="18"/>
                <w:color w:val="0000FF"/>
              </w:rPr>
            </w:pPr>
            <w:hyperlink r:id="rId6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0" w:type="dxa"/>
            <w:vAlign w:val="bottom"/>
          </w:tcPr>
          <w:p>
            <w:pPr>
              <w:spacing w:after="0"/>
              <w:rPr>
                <w:sz w:val="19"/>
                <w:szCs w:val="19"/>
                <w:color w:val="auto"/>
              </w:rPr>
            </w:pPr>
          </w:p>
        </w:tc>
        <w:tc>
          <w:tcPr>
            <w:tcW w:w="9740" w:type="dxa"/>
            <w:vAlign w:val="bottom"/>
            <w:gridSpan w:val="8"/>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Second Amended and Restated Certificate of Incorporation of Priority Technology Holdings, Inc. (incorporated by reference to Exhibit</w:t>
              </w:r>
            </w:hyperlink>
          </w:p>
        </w:tc>
      </w:tr>
      <w:tr>
        <w:trPr>
          <w:trHeight w:val="169"/>
        </w:trPr>
        <w:tc>
          <w:tcPr>
            <w:tcW w:w="2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72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66">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Current Report on Form 8-K, filed July 31, 2018).</w:t>
              </w:r>
            </w:hyperlink>
          </w:p>
        </w:tc>
        <w:tc>
          <w:tcPr>
            <w:tcW w:w="20" w:type="dxa"/>
            <w:vAlign w:val="bottom"/>
          </w:tcPr>
          <w:p>
            <w:pPr>
              <w:spacing w:after="0"/>
              <w:rPr>
                <w:sz w:val="14"/>
                <w:szCs w:val="14"/>
                <w:color w:val="auto"/>
              </w:rPr>
            </w:pPr>
          </w:p>
        </w:tc>
      </w:tr>
      <w:tr>
        <w:trPr>
          <w:trHeight w:val="20"/>
        </w:trPr>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-410845</wp:posOffset>
            </wp:positionV>
            <wp:extent cx="28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40" w:lineRule="exact"/>
        <w:rPr>
          <w:sz w:val="20"/>
          <w:szCs w:val="20"/>
          <w:color w:val="auto"/>
        </w:rPr>
      </w:pPr>
    </w:p>
    <w:p>
      <w:pPr>
        <w:ind w:left="20"/>
        <w:spacing w:after="0"/>
        <w:tabs>
          <w:tab w:leader="none" w:pos="1000" w:val="left"/>
        </w:tabs>
        <w:rPr>
          <w:rFonts w:ascii="Arial" w:cs="Arial" w:eastAsia="Arial" w:hAnsi="Arial"/>
          <w:sz w:val="18"/>
          <w:szCs w:val="18"/>
          <w:color w:val="0000FF"/>
        </w:rPr>
      </w:pPr>
      <w:hyperlink w:anchor="page56">
        <w:r>
          <w:rPr>
            <w:rFonts w:ascii="Arial" w:cs="Arial" w:eastAsia="Arial" w:hAnsi="Arial"/>
            <w:sz w:val="18"/>
            <w:szCs w:val="18"/>
            <w:u w:val="single" w:color="auto"/>
            <w:color w:val="0000FF"/>
          </w:rPr>
          <w:t>3.3</w:t>
        </w:r>
      </w:hyperlink>
      <w:r>
        <w:rPr>
          <w:rFonts w:ascii="Arial" w:cs="Arial" w:eastAsia="Arial" w:hAnsi="Arial"/>
          <w:sz w:val="18"/>
          <w:szCs w:val="18"/>
          <w:color w:val="0000FF"/>
        </w:rPr>
        <w:tab/>
        <w:t>*</w:t>
      </w:r>
    </w:p>
    <w:p>
      <w:pPr>
        <w:spacing w:after="0" w:line="36" w:lineRule="exact"/>
        <w:rPr>
          <w:sz w:val="20"/>
          <w:szCs w:val="20"/>
          <w:color w:val="auto"/>
        </w:rPr>
      </w:pPr>
    </w:p>
    <w:p>
      <w:pPr>
        <w:ind w:left="2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4.1</w:t>
        </w:r>
      </w:hyperlink>
    </w:p>
    <w:p>
      <w:pPr>
        <w:spacing w:after="0" w:line="50" w:lineRule="exact"/>
        <w:rPr>
          <w:sz w:val="20"/>
          <w:szCs w:val="20"/>
          <w:color w:val="auto"/>
        </w:rPr>
      </w:pPr>
    </w:p>
    <w:p>
      <w:pPr>
        <w:ind w:left="20"/>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10.1</w:t>
        </w:r>
      </w:hyperlink>
    </w:p>
    <w:p>
      <w:pPr>
        <w:spacing w:after="0" w:line="198" w:lineRule="exact"/>
        <w:rPr>
          <w:sz w:val="20"/>
          <w:szCs w:val="20"/>
          <w:color w:val="auto"/>
        </w:rPr>
      </w:pPr>
    </w:p>
    <w:p>
      <w:pPr>
        <w:ind w:left="20"/>
        <w:spacing w:after="0"/>
        <w:tabs>
          <w:tab w:leader="none" w:pos="1000" w:val="left"/>
        </w:tabs>
        <w:rPr>
          <w:rFonts w:ascii="Arial" w:cs="Arial" w:eastAsia="Arial" w:hAnsi="Arial"/>
          <w:sz w:val="18"/>
          <w:szCs w:val="18"/>
          <w:color w:val="0000FF"/>
        </w:rPr>
      </w:pPr>
      <w:hyperlink w:anchor="page59">
        <w:r>
          <w:rPr>
            <w:rFonts w:ascii="Arial" w:cs="Arial" w:eastAsia="Arial" w:hAnsi="Arial"/>
            <w:sz w:val="18"/>
            <w:szCs w:val="18"/>
            <w:u w:val="single" w:color="auto"/>
            <w:color w:val="0000FF"/>
          </w:rPr>
          <w:t>10.2</w:t>
        </w:r>
      </w:hyperlink>
      <w:r>
        <w:rPr>
          <w:rFonts w:ascii="Arial" w:cs="Arial" w:eastAsia="Arial" w:hAnsi="Arial"/>
          <w:sz w:val="18"/>
          <w:szCs w:val="18"/>
          <w:color w:val="0000FF"/>
        </w:rPr>
        <w:tab/>
        <w:t>*</w:t>
      </w:r>
    </w:p>
    <w:p>
      <w:pPr>
        <w:spacing w:after="0" w:line="50" w:lineRule="exact"/>
        <w:rPr>
          <w:sz w:val="20"/>
          <w:szCs w:val="20"/>
          <w:color w:val="auto"/>
        </w:rPr>
      </w:pPr>
    </w:p>
    <w:p>
      <w:pPr>
        <w:ind w:left="2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10.3†</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10.4†</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Certificate of Amendment to the Certificate of Incorporation of Priority Technology Holdings, Inc.</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 xml:space="preserve">Form of Warrant </w:t>
        </w:r>
      </w:hyperlink>
      <w:r>
        <w:rPr>
          <w:rFonts w:ascii="Arial" w:cs="Arial" w:eastAsia="Arial" w:hAnsi="Arial"/>
          <w:sz w:val="18"/>
          <w:szCs w:val="18"/>
          <w:u w:val="single" w:color="auto"/>
          <w:color w:val="0000FF"/>
        </w:rPr>
        <w:t>(incorporated by reference to Exhibit 4.1 to the Current Report on Form 8-K, filed 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-10160</wp:posOffset>
            </wp:positionV>
            <wp:extent cx="285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 w:lineRule="exact"/>
        <w:rPr>
          <w:sz w:val="20"/>
          <w:szCs w:val="20"/>
          <w:color w:val="auto"/>
        </w:rPr>
      </w:pPr>
    </w:p>
    <w:p>
      <w:pPr>
        <w:spacing w:after="0" w:line="256" w:lineRule="auto"/>
        <w:rPr>
          <w:rFonts w:ascii="Arial" w:cs="Arial" w:eastAsia="Arial" w:hAnsi="Arial"/>
          <w:sz w:val="17"/>
          <w:szCs w:val="17"/>
          <w:u w:val="single" w:color="auto"/>
          <w:color w:val="0000FF"/>
        </w:rPr>
      </w:pPr>
      <w:hyperlink r:id="rId69">
        <w:r>
          <w:rPr>
            <w:rFonts w:ascii="Arial" w:cs="Arial" w:eastAsia="Arial" w:hAnsi="Arial"/>
            <w:sz w:val="17"/>
            <w:szCs w:val="17"/>
            <w:u w:val="single" w:color="auto"/>
            <w:color w:val="0000FF"/>
          </w:rPr>
          <w:t>Asset Purchase Agreement by and between MRI Payments LLC, MRI Software LLC, and Priority Real Estate Technology LLC, dated</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August 31, 2020 (incorporated by reference to Exhibit 10.1 to the current Report on Form 8-K, filed September 1, 2020).</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Priority Technology Holdings, Inc. 2021 Employee Stock Purchase Plan</w:t>
        </w:r>
      </w:hyperlink>
    </w:p>
    <w:p>
      <w:pPr>
        <w:spacing w:after="0" w:line="50" w:lineRule="exact"/>
        <w:rPr>
          <w:sz w:val="20"/>
          <w:szCs w:val="20"/>
          <w:color w:val="auto"/>
        </w:rPr>
      </w:pPr>
    </w:p>
    <w:p>
      <w:pPr>
        <w:ind w:right="440"/>
        <w:spacing w:after="0" w:line="261" w:lineRule="auto"/>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 xml:space="preserve">Securities Purchase Agreement, dated as of April 27, 2021, among the Company and the Investors named therein </w:t>
        </w:r>
      </w:hyperlink>
      <w:r>
        <w:rPr>
          <w:rFonts w:ascii="Arial" w:cs="Arial" w:eastAsia="Arial" w:hAnsi="Arial"/>
          <w:sz w:val="18"/>
          <w:szCs w:val="18"/>
          <w:u w:val="single" w:color="auto"/>
          <w:color w:val="0000FF"/>
        </w:rPr>
        <w:t>(incorporated by reference to Exhibit 10.1 to the Current Report on Form 8-K, filed May 3, 2021).</w:t>
      </w:r>
    </w:p>
    <w:p>
      <w:pPr>
        <w:spacing w:after="0" w:line="200" w:lineRule="exact"/>
        <w:rPr>
          <w:sz w:val="20"/>
          <w:szCs w:val="20"/>
          <w:color w:val="auto"/>
        </w:rPr>
      </w:pPr>
    </w:p>
    <w:p>
      <w:pPr>
        <w:spacing w:after="0" w:line="295" w:lineRule="exact"/>
        <w:rPr>
          <w:sz w:val="20"/>
          <w:szCs w:val="20"/>
          <w:color w:val="auto"/>
        </w:rPr>
      </w:pPr>
    </w:p>
    <w:p>
      <w:pPr>
        <w:ind w:right="400"/>
        <w:spacing w:after="0" w:line="258"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 xml:space="preserve">Registration Rights Agreement, dated as of April 27, 2021, among the Company and the Investors, named therein </w:t>
        </w:r>
      </w:hyperlink>
      <w:r>
        <w:rPr>
          <w:rFonts w:ascii="Arial" w:cs="Arial" w:eastAsia="Arial" w:hAnsi="Arial"/>
          <w:sz w:val="18"/>
          <w:szCs w:val="18"/>
          <w:u w:val="single" w:color="auto"/>
          <w:color w:val="0000FF"/>
        </w:rPr>
        <w:t>(incorporated by reference to Exhibit 10.2 to the Current Report on Form 8-K, filed May 3, 2021).</w:t>
      </w:r>
    </w:p>
    <w:p>
      <w:pPr>
        <w:spacing w:after="0" w:line="1" w:lineRule="exact"/>
        <w:rPr>
          <w:sz w:val="20"/>
          <w:szCs w:val="20"/>
          <w:color w:val="auto"/>
        </w:rPr>
      </w:pPr>
    </w:p>
    <w:p>
      <w:pPr>
        <w:sectPr>
          <w:pgSz w:w="11900" w:h="16838" w:orient="portrait"/>
          <w:cols w:equalWidth="0" w:num="2">
            <w:col w:w="1100" w:space="280"/>
            <w:col w:w="984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700" w:type="dxa"/>
            <w:vAlign w:val="bottom"/>
            <w:gridSpan w:val="3"/>
          </w:tcPr>
          <w:p>
            <w:pPr>
              <w:spacing w:after="0" w:line="170" w:lineRule="exact"/>
              <w:rPr>
                <w:rFonts w:ascii="Arial" w:cs="Arial" w:eastAsia="Arial" w:hAnsi="Arial"/>
                <w:sz w:val="18"/>
                <w:szCs w:val="18"/>
                <w:color w:val="0000FF"/>
              </w:rPr>
            </w:pPr>
            <w:hyperlink r:id="rId73">
              <w:r>
                <w:rPr>
                  <w:rFonts w:ascii="Arial" w:cs="Arial" w:eastAsia="Arial" w:hAnsi="Arial"/>
                  <w:sz w:val="18"/>
                  <w:szCs w:val="18"/>
                  <w:color w:val="0000FF"/>
                </w:rPr>
                <w:t>10.</w:t>
              </w:r>
            </w:hyperlink>
            <w:r>
              <w:rPr>
                <w:rFonts w:ascii="Arial" w:cs="Arial" w:eastAsia="Arial" w:hAnsi="Arial"/>
                <w:sz w:val="18"/>
                <w:szCs w:val="18"/>
                <w:u w:val="single" w:color="auto"/>
                <w:color w:val="0000FF"/>
              </w:rPr>
              <w:t>5†</w:t>
            </w:r>
          </w:p>
        </w:tc>
        <w:tc>
          <w:tcPr>
            <w:tcW w:w="680" w:type="dxa"/>
            <w:vAlign w:val="bottom"/>
          </w:tcPr>
          <w:p>
            <w:pPr>
              <w:spacing w:after="0"/>
              <w:rPr>
                <w:sz w:val="17"/>
                <w:szCs w:val="17"/>
                <w:color w:val="auto"/>
              </w:rPr>
            </w:pPr>
          </w:p>
        </w:tc>
        <w:tc>
          <w:tcPr>
            <w:tcW w:w="9860" w:type="dxa"/>
            <w:vAlign w:val="bottom"/>
            <w:gridSpan w:val="8"/>
          </w:tcPr>
          <w:p>
            <w:pPr>
              <w:spacing w:after="0" w:line="170"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 xml:space="preserve">Credit Agreement, dated as of April 27, 2021, among the Loan Parties named therein and Truist Bank </w:t>
              </w:r>
            </w:hyperlink>
            <w:r>
              <w:rPr>
                <w:rFonts w:ascii="Arial" w:cs="Arial" w:eastAsia="Arial" w:hAnsi="Arial"/>
                <w:sz w:val="18"/>
                <w:szCs w:val="18"/>
                <w:color w:val="0000FF"/>
                <w:w w:val="94"/>
              </w:rPr>
              <w:t>(incorporated by reference to</w:t>
            </w:r>
          </w:p>
        </w:tc>
      </w:tr>
      <w:tr>
        <w:trPr>
          <w:trHeight w:val="189"/>
        </w:trPr>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32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0000FF"/>
              </w:rPr>
              <w:t>Exhibit 10.3 to the Current Report on Form 8-K, filed May 3, 2021).</w:t>
            </w:r>
          </w:p>
        </w:tc>
        <w:tc>
          <w:tcPr>
            <w:tcW w:w="40" w:type="dxa"/>
            <w:vAlign w:val="bottom"/>
          </w:tcPr>
          <w:p>
            <w:pPr>
              <w:spacing w:after="0"/>
              <w:rPr>
                <w:sz w:val="16"/>
                <w:szCs w:val="16"/>
                <w:color w:val="auto"/>
              </w:rPr>
            </w:pPr>
          </w:p>
        </w:tc>
        <w:tc>
          <w:tcPr>
            <w:tcW w:w="2100" w:type="dxa"/>
            <w:vAlign w:val="bottom"/>
            <w:tcBorders>
              <w:top w:val="single" w:sz="8" w:color="0000FF"/>
            </w:tcBorders>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28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60" w:type="dxa"/>
            <w:vAlign w:val="bottom"/>
            <w:gridSpan w:val="8"/>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Chief Executive Officer pursuant to Rule 13a-14 and Rule 15d-14(a), promulgated under the Securities and Exchange</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Act of 1934, as amended.</w:t>
              </w:r>
            </w:hyperlink>
          </w:p>
        </w:tc>
        <w:tc>
          <w:tcPr>
            <w:tcW w:w="20" w:type="dxa"/>
            <w:vAlign w:val="bottom"/>
          </w:tcPr>
          <w:p>
            <w:pPr>
              <w:spacing w:after="0"/>
              <w:rPr>
                <w:sz w:val="13"/>
                <w:szCs w:val="13"/>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80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420" w:type="dxa"/>
            <w:vAlign w:val="bottom"/>
            <w:gridSpan w:val="2"/>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8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60" w:type="dxa"/>
            <w:vAlign w:val="bottom"/>
            <w:gridSpan w:val="8"/>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Certification of Chief Financial Officer pursuant to Rule 13a-14 and Rule 15d-14(a), promulgated under the Securities and Exchange</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Act of 1934, as amended.</w:t>
              </w:r>
            </w:hyperlink>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380" w:hanging="1354"/>
        <w:spacing w:after="0" w:line="235" w:lineRule="auto"/>
        <w:tabs>
          <w:tab w:leader="none" w:pos="1002" w:val="left"/>
        </w:tabs>
        <w:numPr>
          <w:ilvl w:val="0"/>
          <w:numId w:val="14"/>
        </w:numPr>
        <w:rPr>
          <w:rFonts w:ascii="Arial" w:cs="Arial" w:eastAsia="Arial" w:hAnsi="Arial"/>
          <w:sz w:val="18"/>
          <w:szCs w:val="18"/>
          <w:u w:val="single" w:color="auto"/>
          <w:color w:val="0000FF"/>
        </w:rPr>
      </w:pPr>
      <w:r>
        <w:rPr>
          <w:rFonts w:ascii="Arial" w:cs="Arial" w:eastAsia="Arial" w:hAnsi="Arial"/>
          <w:sz w:val="18"/>
          <w:szCs w:val="18"/>
          <w:color w:val="auto"/>
        </w:rPr>
        <w:t xml:space="preserve">** </w:t>
      </w:r>
      <w:hyperlink w:anchor="page74">
        <w:r>
          <w:rPr>
            <w:rFonts w:ascii="Arial" w:cs="Arial" w:eastAsia="Arial" w:hAnsi="Arial"/>
            <w:sz w:val="18"/>
            <w:szCs w:val="18"/>
            <w:u w:val="single" w:color="auto"/>
            <w:color w:val="0000FF"/>
          </w:rPr>
          <w:t>Certification of Chief Executive Officer and Chief Financial Officer pursuant to 18 U.S.C. Section 1350, as adopted pursuant to Section</w:t>
        </w:r>
      </w:hyperlink>
      <w:r>
        <w:rPr>
          <w:rFonts w:ascii="Arial" w:cs="Arial" w:eastAsia="Arial" w:hAnsi="Arial"/>
          <w:sz w:val="18"/>
          <w:szCs w:val="18"/>
          <w:color w:val="auto"/>
        </w:rPr>
        <w:t xml:space="preserve"> </w:t>
      </w:r>
      <w:hyperlink w:anchor="page74">
        <w:r>
          <w:rPr>
            <w:rFonts w:ascii="Arial" w:cs="Arial" w:eastAsia="Arial" w:hAnsi="Arial"/>
            <w:sz w:val="18"/>
            <w:szCs w:val="18"/>
            <w:u w:val="single" w:color="auto"/>
            <w:color w:val="0000FF"/>
          </w:rPr>
          <w:t>906 of the Sarbanes-Oxley Act of 2002.</w:t>
        </w:r>
      </w:hyperlink>
    </w:p>
    <w:tbl>
      <w:tblPr>
        <w:tblLayout w:type="fixed"/>
        <w:tblInd w:w="20" w:type="dxa"/>
        <w:tblCellMar>
          <w:top w:w="0" w:type="dxa"/>
          <w:left w:w="0" w:type="dxa"/>
          <w:bottom w:w="0" w:type="dxa"/>
          <w:right w:w="0" w:type="dxa"/>
        </w:tblCellMar>
      </w:tblP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101.INS</w:t>
            </w:r>
          </w:p>
        </w:tc>
        <w:tc>
          <w:tcPr>
            <w:tcW w:w="10340" w:type="dxa"/>
            <w:vAlign w:val="bottom"/>
          </w:tcPr>
          <w:p>
            <w:pPr>
              <w:ind w:left="160"/>
              <w:spacing w:after="0" w:line="176" w:lineRule="exact"/>
              <w:rPr>
                <w:sz w:val="20"/>
                <w:szCs w:val="20"/>
                <w:color w:val="auto"/>
              </w:rPr>
            </w:pPr>
            <w:r>
              <w:rPr>
                <w:rFonts w:ascii="Arial" w:cs="Arial" w:eastAsia="Arial" w:hAnsi="Arial"/>
                <w:sz w:val="18"/>
                <w:szCs w:val="18"/>
                <w:color w:val="auto"/>
                <w:w w:val="93"/>
              </w:rPr>
              <w:t>*   XBRL Instance Document - the instance document does not appear in the Interactive Data File because its XBRL tags are embedded</w:t>
            </w:r>
          </w:p>
        </w:tc>
      </w:tr>
      <w:tr>
        <w:trPr>
          <w:trHeight w:val="229"/>
        </w:trPr>
        <w:tc>
          <w:tcPr>
            <w:tcW w:w="84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Schema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Label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Presentation Linkbase Document</w:t>
            </w:r>
          </w:p>
        </w:tc>
      </w:tr>
    </w:tbl>
    <w:p>
      <w:pPr>
        <w:ind w:right="3300" w:firstLine="26"/>
        <w:spacing w:after="0" w:line="453" w:lineRule="auto"/>
        <w:tabs>
          <w:tab w:leader="none" w:pos="10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u w:val="single" w:color="auto"/>
          <w:color w:val="0000FF"/>
        </w:rPr>
      </w:pPr>
    </w:p>
    <w:p>
      <w:pPr>
        <w:ind w:right="3200" w:firstLine="8"/>
        <w:spacing w:after="0" w:line="290" w:lineRule="auto"/>
        <w:tabs>
          <w:tab w:leader="none" w:pos="1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Schedules have been omitted pursuant to Item 601(b)(2) of Regulation S-K. The registrant hereby undertakes to furnish supplemental copies of any of the omitted schedules upon request by the SEC.</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5800" w:type="dxa"/>
            <w:vAlign w:val="bottom"/>
            <w:gridSpan w:val="4"/>
          </w:tcPr>
          <w:p>
            <w:pPr>
              <w:ind w:left="1580"/>
              <w:spacing w:after="0"/>
              <w:rPr>
                <w:sz w:val="20"/>
                <w:szCs w:val="20"/>
                <w:color w:val="auto"/>
              </w:rPr>
            </w:pPr>
            <w:r>
              <w:rPr>
                <w:rFonts w:ascii="Arial" w:cs="Arial" w:eastAsia="Arial" w:hAnsi="Arial"/>
                <w:sz w:val="18"/>
                <w:szCs w:val="18"/>
                <w:color w:val="auto"/>
              </w:rPr>
              <w:t>PRIORITY TECHNOLOGY HOLDINGS, INC.</w:t>
            </w:r>
          </w:p>
        </w:tc>
      </w:tr>
      <w:tr>
        <w:trPr>
          <w:trHeight w:val="702"/>
        </w:trPr>
        <w:tc>
          <w:tcPr>
            <w:tcW w:w="2800" w:type="dxa"/>
            <w:vAlign w:val="bottom"/>
          </w:tcPr>
          <w:p>
            <w:pPr>
              <w:spacing w:after="0"/>
              <w:rPr>
                <w:sz w:val="20"/>
                <w:szCs w:val="20"/>
                <w:color w:val="auto"/>
              </w:rPr>
            </w:pPr>
            <w:r>
              <w:rPr>
                <w:rFonts w:ascii="Arial" w:cs="Arial" w:eastAsia="Arial" w:hAnsi="Arial"/>
                <w:sz w:val="18"/>
                <w:szCs w:val="18"/>
                <w:color w:val="auto"/>
              </w:rPr>
              <w:t>August 16, 2021</w:t>
            </w:r>
          </w:p>
        </w:tc>
        <w:tc>
          <w:tcPr>
            <w:tcW w:w="30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THOMAS C. PRIORE</w:t>
            </w:r>
          </w:p>
        </w:tc>
      </w:tr>
      <w:tr>
        <w:trPr>
          <w:trHeight w:val="142"/>
        </w:trPr>
        <w:tc>
          <w:tcPr>
            <w:tcW w:w="28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Thomas C. Priore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6"/>
        </w:trPr>
        <w:tc>
          <w:tcPr>
            <w:tcW w:w="2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w w:val="91"/>
              </w:rPr>
              <w:t>Chief Executive Officer and Chairman</w:t>
            </w:r>
          </w:p>
        </w:tc>
      </w:tr>
      <w:tr>
        <w:trPr>
          <w:trHeight w:val="230"/>
        </w:trPr>
        <w:tc>
          <w:tcPr>
            <w:tcW w:w="28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74"/>
        </w:trPr>
        <w:tc>
          <w:tcPr>
            <w:tcW w:w="2800" w:type="dxa"/>
            <w:vAlign w:val="bottom"/>
          </w:tcPr>
          <w:p>
            <w:pPr>
              <w:spacing w:after="0"/>
              <w:rPr>
                <w:sz w:val="20"/>
                <w:szCs w:val="20"/>
                <w:color w:val="auto"/>
              </w:rPr>
            </w:pPr>
            <w:r>
              <w:rPr>
                <w:rFonts w:ascii="Arial" w:cs="Arial" w:eastAsia="Arial" w:hAnsi="Arial"/>
                <w:sz w:val="18"/>
                <w:szCs w:val="18"/>
                <w:color w:val="auto"/>
              </w:rPr>
              <w:t>August 16, 2021</w:t>
            </w:r>
          </w:p>
        </w:tc>
        <w:tc>
          <w:tcPr>
            <w:tcW w:w="30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MICHAEL T. VOLLKOMMER</w:t>
            </w:r>
          </w:p>
        </w:tc>
      </w:tr>
      <w:tr>
        <w:trPr>
          <w:trHeight w:val="142"/>
        </w:trPr>
        <w:tc>
          <w:tcPr>
            <w:tcW w:w="28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Michael T. Vollkommer</w:t>
            </w:r>
          </w:p>
        </w:tc>
        <w:tc>
          <w:tcPr>
            <w:tcW w:w="220" w:type="dxa"/>
            <w:vAlign w:val="bottom"/>
          </w:tcPr>
          <w:p>
            <w:pPr>
              <w:spacing w:after="0"/>
              <w:rPr>
                <w:sz w:val="12"/>
                <w:szCs w:val="12"/>
                <w:color w:val="auto"/>
              </w:rPr>
            </w:pPr>
          </w:p>
        </w:tc>
      </w:tr>
      <w:tr>
        <w:trPr>
          <w:trHeight w:val="176"/>
        </w:trPr>
        <w:tc>
          <w:tcPr>
            <w:tcW w:w="2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r>
      <w:tr>
        <w:trPr>
          <w:trHeight w:val="230"/>
        </w:trPr>
        <w:tc>
          <w:tcPr>
            <w:tcW w:w="28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0500"/>
          </w:cols>
          <w:pgMar w:left="320" w:top="125" w:right="1079" w:bottom="1440" w:gutter="0" w:footer="0" w:header="0"/>
        </w:sectPr>
      </w:pPr>
    </w:p>
    <w:bookmarkStart w:id="55" w:name="page56"/>
    <w:bookmarkEnd w:id="55"/>
    <w:p>
      <w:pPr>
        <w:ind w:left="7780"/>
        <w:spacing w:after="0"/>
        <w:rPr>
          <w:sz w:val="20"/>
          <w:szCs w:val="20"/>
          <w:color w:val="auto"/>
        </w:rPr>
      </w:pPr>
      <w:r>
        <w:rPr>
          <w:rFonts w:ascii="Arial" w:cs="Arial" w:eastAsia="Arial" w:hAnsi="Arial"/>
          <w:sz w:val="20"/>
          <w:szCs w:val="20"/>
          <w:color w:val="auto"/>
        </w:rPr>
        <w:t>EX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CERTIFICATE OF AMENDMENT TO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CERTIFICATE OF INCORPORATION OF</w:t>
      </w:r>
    </w:p>
    <w:p>
      <w:pPr>
        <w:jc w:val="center"/>
        <w:ind w:right="-19"/>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Priority Technology Holdings, Inc., a corporation organized and existing under the laws of the Delaware (the “</w:t>
      </w:r>
      <w:r>
        <w:rPr>
          <w:rFonts w:ascii="Arial" w:cs="Arial" w:eastAsia="Arial" w:hAnsi="Arial"/>
          <w:sz w:val="20"/>
          <w:szCs w:val="20"/>
          <w:u w:val="single" w:color="auto"/>
          <w:color w:val="auto"/>
        </w:rPr>
        <w:t>Company</w:t>
      </w:r>
      <w:r>
        <w:rPr>
          <w:rFonts w:ascii="Arial" w:cs="Arial" w:eastAsia="Arial" w:hAnsi="Arial"/>
          <w:sz w:val="20"/>
          <w:szCs w:val="20"/>
          <w:color w:val="auto"/>
        </w:rPr>
        <w:t>”), in accordance with the provisions of Section 242 of the General Corporation Law of the State of Delaware (the “</w:t>
      </w:r>
      <w:r>
        <w:rPr>
          <w:rFonts w:ascii="Arial" w:cs="Arial" w:eastAsia="Arial" w:hAnsi="Arial"/>
          <w:sz w:val="20"/>
          <w:szCs w:val="20"/>
          <w:u w:val="single" w:color="auto"/>
          <w:color w:val="auto"/>
        </w:rPr>
        <w:t>Code</w:t>
      </w:r>
      <w:r>
        <w:rPr>
          <w:rFonts w:ascii="Arial" w:cs="Arial" w:eastAsia="Arial" w:hAnsi="Arial"/>
          <w:sz w:val="20"/>
          <w:szCs w:val="20"/>
          <w:color w:val="auto"/>
        </w:rPr>
        <w:t>”), the certificate of incorporation and bylaws of the Company, hereby executes and submits the following Certificate of Amendment to the Certificate of Incorporation:</w:t>
      </w:r>
    </w:p>
    <w:p>
      <w:pPr>
        <w:spacing w:after="0" w:line="19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name of the Company is Priority Technology Holdings, Inc.</w:t>
      </w:r>
    </w:p>
    <w:p>
      <w:pPr>
        <w:spacing w:after="0" w:line="188" w:lineRule="exact"/>
        <w:rPr>
          <w:rFonts w:ascii="Arial" w:cs="Arial" w:eastAsia="Arial" w:hAnsi="Arial"/>
          <w:sz w:val="20"/>
          <w:szCs w:val="20"/>
          <w:color w:val="auto"/>
        </w:rPr>
      </w:pPr>
    </w:p>
    <w:p>
      <w:pPr>
        <w:jc w:val="both"/>
        <w:ind w:firstLine="8"/>
        <w:spacing w:after="0" w:line="237"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Second Amended and Restated Certificate of Incorporation of the Company as granted by the Secretary of Delaware on July 25, 2018 (the “</w:t>
      </w:r>
      <w:r>
        <w:rPr>
          <w:rFonts w:ascii="Arial" w:cs="Arial" w:eastAsia="Arial" w:hAnsi="Arial"/>
          <w:sz w:val="20"/>
          <w:szCs w:val="20"/>
          <w:u w:val="single" w:color="auto"/>
          <w:color w:val="auto"/>
        </w:rPr>
        <w:t>Certificate</w:t>
      </w:r>
      <w:r>
        <w:rPr>
          <w:rFonts w:ascii="Arial" w:cs="Arial" w:eastAsia="Arial" w:hAnsi="Arial"/>
          <w:sz w:val="20"/>
          <w:szCs w:val="20"/>
          <w:color w:val="auto"/>
        </w:rPr>
        <w:t>”) is hereby amended by striking Section A of Article V thereof in its entirety and inserting in lieu thereof the following:</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 [Reserved]”</w:t>
      </w:r>
    </w:p>
    <w:p>
      <w:pPr>
        <w:spacing w:after="0" w:line="20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Certificate is hereby amended by striking Section B of Article V thereof in its entirety and inserting in lieu thereof the following:</w:t>
      </w:r>
    </w:p>
    <w:p>
      <w:pPr>
        <w:spacing w:after="0" w:line="225" w:lineRule="exact"/>
        <w:rPr>
          <w:rFonts w:ascii="Arial" w:cs="Arial" w:eastAsia="Arial" w:hAnsi="Arial"/>
          <w:sz w:val="18"/>
          <w:szCs w:val="18"/>
          <w:color w:val="auto"/>
        </w:rPr>
      </w:pPr>
    </w:p>
    <w:p>
      <w:pPr>
        <w:jc w:val="both"/>
        <w:ind w:left="660" w:right="700"/>
        <w:spacing w:after="0" w:line="254" w:lineRule="auto"/>
        <w:rPr>
          <w:rFonts w:ascii="Arial" w:cs="Arial" w:eastAsia="Arial" w:hAnsi="Arial"/>
          <w:sz w:val="18"/>
          <w:szCs w:val="18"/>
          <w:color w:val="auto"/>
        </w:rPr>
      </w:pPr>
      <w:r>
        <w:rPr>
          <w:rFonts w:ascii="Arial" w:cs="Arial" w:eastAsia="Arial" w:hAnsi="Arial"/>
          <w:sz w:val="19"/>
          <w:szCs w:val="19"/>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w:t>
      </w:r>
    </w:p>
    <w:p>
      <w:pPr>
        <w:spacing w:after="0" w:line="156" w:lineRule="exact"/>
        <w:rPr>
          <w:rFonts w:ascii="Arial" w:cs="Arial" w:eastAsia="Arial" w:hAnsi="Arial"/>
          <w:sz w:val="18"/>
          <w:szCs w:val="18"/>
          <w:color w:val="auto"/>
        </w:rPr>
      </w:pPr>
    </w:p>
    <w:p>
      <w:pPr>
        <w:ind w:right="20" w:firstLine="8"/>
        <w:spacing w:after="0" w:line="24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Certificate is hereby amended by striking Section D of Article VI thereof in its entirety and inserting in lieu thereof the following:</w:t>
      </w:r>
    </w:p>
    <w:p>
      <w:pPr>
        <w:spacing w:after="0" w:line="177" w:lineRule="exact"/>
        <w:rPr>
          <w:sz w:val="20"/>
          <w:szCs w:val="20"/>
          <w:color w:val="auto"/>
        </w:rPr>
      </w:pPr>
    </w:p>
    <w:p>
      <w:pPr>
        <w:jc w:val="both"/>
        <w:ind w:left="660" w:right="700"/>
        <w:spacing w:after="0" w:line="234" w:lineRule="auto"/>
        <w:rPr>
          <w:sz w:val="20"/>
          <w:szCs w:val="20"/>
          <w:color w:val="auto"/>
        </w:rPr>
      </w:pPr>
      <w:r>
        <w:rPr>
          <w:rFonts w:ascii="Arial" w:cs="Arial" w:eastAsia="Arial" w:hAnsi="Arial"/>
          <w:sz w:val="20"/>
          <w:szCs w:val="20"/>
          <w:color w:val="auto"/>
        </w:rPr>
        <w:t>“D.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w:t>
      </w:r>
    </w:p>
    <w:p>
      <w:pPr>
        <w:spacing w:after="0" w:line="183" w:lineRule="exact"/>
        <w:rPr>
          <w:sz w:val="20"/>
          <w:szCs w:val="20"/>
          <w:color w:val="auto"/>
        </w:rPr>
      </w:pPr>
    </w:p>
    <w:p>
      <w:pPr>
        <w:ind w:firstLine="8"/>
        <w:spacing w:after="0" w:line="24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Certificate is hereby amended by striking Section B of Article VII thereof in its entirety and inserting in lieu thereof the following:</w:t>
      </w:r>
    </w:p>
    <w:p>
      <w:pPr>
        <w:spacing w:after="0" w:line="163" w:lineRule="exact"/>
        <w:rPr>
          <w:sz w:val="20"/>
          <w:szCs w:val="20"/>
          <w:color w:val="auto"/>
        </w:rPr>
      </w:pPr>
    </w:p>
    <w:p>
      <w:pPr>
        <w:jc w:val="both"/>
        <w:ind w:left="660" w:right="680"/>
        <w:spacing w:after="0" w:line="231" w:lineRule="auto"/>
        <w:rPr>
          <w:sz w:val="20"/>
          <w:szCs w:val="20"/>
          <w:color w:val="auto"/>
        </w:rPr>
      </w:pPr>
      <w:r>
        <w:rPr>
          <w:rFonts w:ascii="Arial" w:cs="Arial" w:eastAsia="Arial" w:hAnsi="Arial"/>
          <w:sz w:val="20"/>
          <w:szCs w:val="20"/>
          <w:color w:val="auto"/>
        </w:rPr>
        <w:t>“B.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84" w:lineRule="exact"/>
        <w:rPr>
          <w:sz w:val="20"/>
          <w:szCs w:val="20"/>
          <w:color w:val="auto"/>
        </w:rPr>
      </w:pPr>
    </w:p>
    <w:p>
      <w:pPr>
        <w:ind w:left="660" w:right="3760" w:hanging="652"/>
        <w:spacing w:after="0" w:line="50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Certificate is hereby amended by adding the following to Section C of Article XI: “12. “Exchange Act” means the Securities Exchange Act of 1934, as amended.</w:t>
      </w:r>
    </w:p>
    <w:p>
      <w:pPr>
        <w:spacing w:after="0" w:line="1" w:lineRule="exact"/>
        <w:rPr>
          <w:rFonts w:ascii="Arial" w:cs="Arial" w:eastAsia="Arial" w:hAnsi="Arial"/>
          <w:sz w:val="18"/>
          <w:szCs w:val="18"/>
          <w:color w:val="auto"/>
        </w:rPr>
      </w:pPr>
    </w:p>
    <w:p>
      <w:pPr>
        <w:ind w:left="660" w:right="680"/>
        <w:spacing w:after="0" w:line="246" w:lineRule="auto"/>
        <w:rPr>
          <w:rFonts w:ascii="Arial" w:cs="Arial" w:eastAsia="Arial" w:hAnsi="Arial"/>
          <w:sz w:val="18"/>
          <w:szCs w:val="18"/>
          <w:color w:val="auto"/>
        </w:rPr>
      </w:pPr>
      <w:r>
        <w:rPr>
          <w:rFonts w:ascii="Arial" w:cs="Arial" w:eastAsia="Arial" w:hAnsi="Arial"/>
          <w:sz w:val="20"/>
          <w:szCs w:val="20"/>
          <w:color w:val="auto"/>
        </w:rPr>
        <w:t>13. “Priority Holder” means Priority Investment Holdings, LLC and Priority Incentive Equity Holdings, LLC or their Affiliates.”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114776157v2</w:t>
      </w:r>
    </w:p>
    <w:p>
      <w:pPr>
        <w:sectPr>
          <w:pgSz w:w="11900" w:h="16838" w:orient="portrait"/>
          <w:cols w:equalWidth="0" w:num="1">
            <w:col w:w="11240"/>
          </w:cols>
          <w:pgMar w:left="320" w:top="122" w:right="339" w:bottom="1440" w:gutter="0" w:footer="0" w:header="0"/>
        </w:sectPr>
      </w:pPr>
    </w:p>
    <w:bookmarkStart w:id="56" w:name="page57"/>
    <w:bookmarkEnd w:id="56"/>
    <w:p>
      <w:pPr>
        <w:ind w:left="7780"/>
        <w:spacing w:after="0"/>
        <w:rPr>
          <w:sz w:val="20"/>
          <w:szCs w:val="20"/>
          <w:color w:val="auto"/>
        </w:rPr>
      </w:pPr>
      <w:r>
        <w:rPr>
          <w:rFonts w:ascii="Arial" w:cs="Arial" w:eastAsia="Arial" w:hAnsi="Arial"/>
          <w:sz w:val="20"/>
          <w:szCs w:val="20"/>
          <w:color w:val="auto"/>
        </w:rPr>
        <w:t>EX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8"/>
        <w:spacing w:after="0" w:line="23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That thereafter, pursuant to resolution of its Board of Directors, a meeting of the stockholders of said Company was duly called and held upon notice in accordance with Section 222 of the Code at which meeting the necessary number of shares as required by statute were voted in favor of the amendment.</w:t>
      </w:r>
    </w:p>
    <w:p>
      <w:pPr>
        <w:spacing w:after="0" w:line="182" w:lineRule="exact"/>
        <w:rPr>
          <w:rFonts w:ascii="Arial" w:cs="Arial" w:eastAsia="Arial" w:hAnsi="Arial"/>
          <w:sz w:val="20"/>
          <w:szCs w:val="20"/>
          <w:color w:val="auto"/>
        </w:rPr>
      </w:pPr>
    </w:p>
    <w:p>
      <w:pPr>
        <w:ind w:left="660" w:hanging="652"/>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That said amendment was duly adopted in accordance with Section 242 of the Code.</w:t>
      </w:r>
    </w:p>
    <w:p>
      <w:pPr>
        <w:spacing w:after="0" w:line="202" w:lineRule="exact"/>
        <w:rPr>
          <w:rFonts w:ascii="Arial" w:cs="Arial" w:eastAsia="Arial" w:hAnsi="Arial"/>
          <w:sz w:val="20"/>
          <w:szCs w:val="20"/>
          <w:color w:val="auto"/>
        </w:rPr>
      </w:pPr>
    </w:p>
    <w:p>
      <w:pPr>
        <w:ind w:left="660" w:hanging="652"/>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Certificate of Amendment shall be effective upon the filing with the Secretary of State.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114776157v2</w:t>
      </w:r>
    </w:p>
    <w:p>
      <w:pPr>
        <w:sectPr>
          <w:pgSz w:w="11900" w:h="16838" w:orient="portrait"/>
          <w:cols w:equalWidth="0" w:num="1">
            <w:col w:w="11240"/>
          </w:cols>
          <w:pgMar w:left="320" w:top="122" w:right="339" w:bottom="1440" w:gutter="0" w:footer="0" w:header="0"/>
        </w:sectPr>
      </w:pPr>
    </w:p>
    <w:bookmarkStart w:id="57" w:name="page58"/>
    <w:bookmarkEnd w:id="57"/>
    <w:p>
      <w:pPr>
        <w:ind w:left="7780"/>
        <w:spacing w:after="0"/>
        <w:rPr>
          <w:sz w:val="20"/>
          <w:szCs w:val="20"/>
          <w:color w:val="auto"/>
        </w:rPr>
      </w:pPr>
      <w:r>
        <w:rPr>
          <w:rFonts w:ascii="Arial" w:cs="Arial" w:eastAsia="Arial" w:hAnsi="Arial"/>
          <w:sz w:val="20"/>
          <w:szCs w:val="20"/>
          <w:color w:val="auto"/>
        </w:rPr>
        <w:t>EX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Certificate of Amendment to be executed and attested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April __, 2021.</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spacing w:after="0" w:line="29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-14605</wp:posOffset>
            </wp:positionV>
            <wp:extent cx="753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20"/>
          <w:szCs w:val="20"/>
          <w:color w:val="auto"/>
        </w:rPr>
        <w:t>Name: [●]</w:t>
      </w:r>
    </w:p>
    <w:p>
      <w:pPr>
        <w:ind w:left="1200"/>
        <w:spacing w:after="0"/>
        <w:rPr>
          <w:sz w:val="20"/>
          <w:szCs w:val="20"/>
          <w:color w:val="auto"/>
        </w:rPr>
      </w:pPr>
      <w:r>
        <w:rPr>
          <w:rFonts w:ascii="Arial" w:cs="Arial" w:eastAsia="Arial" w:hAnsi="Arial"/>
          <w:sz w:val="20"/>
          <w:szCs w:val="20"/>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114776157v2</w:t>
      </w:r>
    </w:p>
    <w:p>
      <w:pPr>
        <w:sectPr>
          <w:pgSz w:w="11900" w:h="16838" w:orient="portrait"/>
          <w:cols w:equalWidth="0" w:num="1">
            <w:col w:w="11220"/>
          </w:cols>
          <w:pgMar w:left="320" w:top="122" w:right="3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62626"/>
        </w:rPr>
        <w:t>Priority Technology Holdings,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62626"/>
        </w:rPr>
        <w:t>2021 Employee Stock Purchase Plan</w:t>
      </w:r>
    </w:p>
    <w:p>
      <w:pPr>
        <w:sectPr>
          <w:pgSz w:w="11900" w:h="16838" w:orient="portrait"/>
          <w:cols w:equalWidth="0" w:num="1">
            <w:col w:w="9019"/>
          </w:cols>
          <w:pgMar w:left="1440" w:top="1440" w:right="1440"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20"/>
          <w:szCs w:val="20"/>
          <w:b w:val="1"/>
          <w:bCs w:val="1"/>
          <w:color w:val="auto"/>
        </w:rPr>
        <w:t>TABLE OF CONTENTS</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60" w:type="dxa"/>
            <w:vAlign w:val="bottom"/>
            <w:gridSpan w:val="36"/>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Article I Purpose</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1</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0760" w:type="dxa"/>
            <w:vAlign w:val="bottom"/>
            <w:gridSpan w:val="36"/>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Article II Definitions</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1</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340" w:type="dxa"/>
            <w:vAlign w:val="bottom"/>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(a)</w:t>
              </w:r>
            </w:hyperlink>
          </w:p>
        </w:tc>
        <w:tc>
          <w:tcPr>
            <w:tcW w:w="10420" w:type="dxa"/>
            <w:vAlign w:val="bottom"/>
            <w:gridSpan w:val="35"/>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“Acquisition Date"</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1</w:t>
              </w:r>
            </w:hyperlink>
          </w:p>
        </w:tc>
      </w:tr>
      <w:tr>
        <w:trPr>
          <w:trHeight w:val="264"/>
        </w:trPr>
        <w:tc>
          <w:tcPr>
            <w:tcW w:w="340" w:type="dxa"/>
            <w:vAlign w:val="bottom"/>
            <w:tcBorders>
              <w:top w:val="single" w:sz="8" w:color="0563C1"/>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(b)</w:t>
              </w:r>
            </w:hyperlink>
          </w:p>
        </w:tc>
        <w:tc>
          <w:tcPr>
            <w:tcW w:w="1420" w:type="dxa"/>
            <w:vAlign w:val="bottom"/>
            <w:tcBorders>
              <w:top w:val="single" w:sz="8" w:color="0563C1"/>
              <w:bottom w:val="single" w:sz="8" w:color="0563C1"/>
            </w:tcBorders>
            <w:gridSpan w:val="12"/>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“Administrator”</w:t>
              </w:r>
            </w:hyperlink>
          </w:p>
        </w:tc>
        <w:tc>
          <w:tcPr>
            <w:tcW w:w="180" w:type="dxa"/>
            <w:vAlign w:val="bottom"/>
            <w:tcBorders>
              <w:top w:val="single" w:sz="8" w:color="0563C1"/>
            </w:tcBorders>
            <w:gridSpan w:val="5"/>
          </w:tcPr>
          <w:p>
            <w:pPr>
              <w:spacing w:after="0"/>
              <w:rPr>
                <w:sz w:val="22"/>
                <w:szCs w:val="22"/>
                <w:color w:val="auto"/>
              </w:rPr>
            </w:pPr>
          </w:p>
        </w:tc>
        <w:tc>
          <w:tcPr>
            <w:tcW w:w="8820" w:type="dxa"/>
            <w:vAlign w:val="bottom"/>
            <w:gridSpan w:val="18"/>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1</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(c)</w:t>
              </w:r>
            </w:hyperlink>
          </w:p>
        </w:tc>
        <w:tc>
          <w:tcPr>
            <w:tcW w:w="1000" w:type="dxa"/>
            <w:vAlign w:val="bottom"/>
            <w:tcBorders>
              <w:bottom w:val="single" w:sz="8" w:color="0563C1"/>
            </w:tcBorders>
            <w:gridSpan w:val="5"/>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“Affiliate”</w:t>
              </w:r>
            </w:hyperlink>
          </w:p>
        </w:tc>
        <w:tc>
          <w:tcPr>
            <w:tcW w:w="9420" w:type="dxa"/>
            <w:vAlign w:val="bottom"/>
            <w:gridSpan w:val="30"/>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1</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(d)</w:t>
              </w:r>
            </w:hyperlink>
          </w:p>
        </w:tc>
        <w:tc>
          <w:tcPr>
            <w:tcW w:w="780" w:type="dxa"/>
            <w:vAlign w:val="bottom"/>
            <w:tcBorders>
              <w:bottom w:val="single" w:sz="8" w:color="0563C1"/>
            </w:tcBorders>
            <w:gridSpan w:val="3"/>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“Board"</w:t>
              </w:r>
            </w:hyperlink>
          </w:p>
        </w:tc>
        <w:tc>
          <w:tcPr>
            <w:tcW w:w="9640" w:type="dxa"/>
            <w:vAlign w:val="bottom"/>
            <w:gridSpan w:val="32"/>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1</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(e)</w:t>
              </w:r>
            </w:hyperlink>
          </w:p>
        </w:tc>
        <w:tc>
          <w:tcPr>
            <w:tcW w:w="1800" w:type="dxa"/>
            <w:vAlign w:val="bottom"/>
            <w:tcBorders>
              <w:bottom w:val="single" w:sz="8" w:color="0563C1"/>
            </w:tcBorders>
            <w:gridSpan w:val="21"/>
          </w:tcPr>
          <w:p>
            <w:pPr>
              <w:ind w:left="80"/>
              <w:spacing w:after="0"/>
              <w:rPr>
                <w:rFonts w:ascii="Arial" w:cs="Arial" w:eastAsia="Arial" w:hAnsi="Arial"/>
                <w:sz w:val="20"/>
                <w:szCs w:val="20"/>
                <w:i w:val="1"/>
                <w:iCs w:val="1"/>
                <w:color w:val="0563C1"/>
                <w:w w:val="97"/>
              </w:rPr>
            </w:pPr>
            <w:hyperlink w:anchor="page61">
              <w:r>
                <w:rPr>
                  <w:rFonts w:ascii="Arial" w:cs="Arial" w:eastAsia="Arial" w:hAnsi="Arial"/>
                  <w:sz w:val="20"/>
                  <w:szCs w:val="20"/>
                  <w:i w:val="1"/>
                  <w:iCs w:val="1"/>
                  <w:color w:val="0563C1"/>
                  <w:w w:val="97"/>
                </w:rPr>
                <w:t>“Change in Control”</w:t>
              </w:r>
            </w:hyperlink>
          </w:p>
        </w:tc>
        <w:tc>
          <w:tcPr>
            <w:tcW w:w="8620" w:type="dxa"/>
            <w:vAlign w:val="bottom"/>
            <w:gridSpan w:val="14"/>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1</w:t>
              </w:r>
            </w:hyperlink>
          </w:p>
        </w:tc>
      </w:tr>
      <w:tr>
        <w:trPr>
          <w:trHeight w:val="264"/>
        </w:trPr>
        <w:tc>
          <w:tcPr>
            <w:tcW w:w="10760" w:type="dxa"/>
            <w:vAlign w:val="bottom"/>
            <w:gridSpan w:val="36"/>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(f)  </w:t>
              </w:r>
              <w:r>
                <w:rPr>
                  <w:rFonts w:ascii="Arial" w:cs="Arial" w:eastAsia="Arial" w:hAnsi="Arial"/>
                  <w:sz w:val="20"/>
                  <w:szCs w:val="20"/>
                  <w:i w:val="1"/>
                  <w:iCs w:val="1"/>
                  <w:color w:val="0563C1"/>
                </w:rPr>
                <w:t>“Change in Control Date”</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63"/>
        </w:trPr>
        <w:tc>
          <w:tcPr>
            <w:tcW w:w="340" w:type="dxa"/>
            <w:vAlign w:val="bottom"/>
            <w:tcBorders>
              <w:top w:val="single" w:sz="8" w:color="0563C1"/>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(g)</w:t>
              </w:r>
            </w:hyperlink>
          </w:p>
        </w:tc>
        <w:tc>
          <w:tcPr>
            <w:tcW w:w="720" w:type="dxa"/>
            <w:vAlign w:val="bottom"/>
            <w:tcBorders>
              <w:top w:val="single" w:sz="8" w:color="0563C1"/>
              <w:bottom w:val="single" w:sz="8" w:color="0563C1"/>
            </w:tcBorders>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“Code”</w:t>
              </w:r>
            </w:hyperlink>
          </w:p>
        </w:tc>
        <w:tc>
          <w:tcPr>
            <w:tcW w:w="4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160" w:type="dxa"/>
            <w:vAlign w:val="bottom"/>
            <w:tcBorders>
              <w:top w:val="single" w:sz="8" w:color="0563C1"/>
            </w:tcBorders>
          </w:tcPr>
          <w:p>
            <w:pPr>
              <w:spacing w:after="0"/>
              <w:rPr>
                <w:sz w:val="22"/>
                <w:szCs w:val="22"/>
                <w:color w:val="auto"/>
              </w:rPr>
            </w:pPr>
          </w:p>
        </w:tc>
        <w:tc>
          <w:tcPr>
            <w:tcW w:w="14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14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4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4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14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160" w:type="dxa"/>
            <w:vAlign w:val="bottom"/>
            <w:tcBorders>
              <w:top w:val="single" w:sz="8" w:color="0563C1"/>
            </w:tcBorders>
          </w:tcPr>
          <w:p>
            <w:pPr>
              <w:spacing w:after="0"/>
              <w:rPr>
                <w:sz w:val="22"/>
                <w:szCs w:val="22"/>
                <w:color w:val="auto"/>
              </w:rPr>
            </w:pPr>
          </w:p>
        </w:tc>
        <w:tc>
          <w:tcPr>
            <w:tcW w:w="100" w:type="dxa"/>
            <w:vAlign w:val="bottom"/>
            <w:tcBorders>
              <w:top w:val="single" w:sz="8" w:color="0563C1"/>
            </w:tcBorders>
          </w:tcPr>
          <w:p>
            <w:pPr>
              <w:spacing w:after="0"/>
              <w:rPr>
                <w:sz w:val="22"/>
                <w:szCs w:val="22"/>
                <w:color w:val="auto"/>
              </w:rPr>
            </w:pPr>
          </w:p>
        </w:tc>
        <w:tc>
          <w:tcPr>
            <w:tcW w:w="60" w:type="dxa"/>
            <w:vAlign w:val="bottom"/>
            <w:tcBorders>
              <w:top w:val="single" w:sz="8" w:color="0563C1"/>
            </w:tcBorders>
          </w:tcPr>
          <w:p>
            <w:pPr>
              <w:spacing w:after="0"/>
              <w:rPr>
                <w:sz w:val="22"/>
                <w:szCs w:val="22"/>
                <w:color w:val="auto"/>
              </w:rPr>
            </w:pPr>
          </w:p>
        </w:tc>
        <w:tc>
          <w:tcPr>
            <w:tcW w:w="40" w:type="dxa"/>
            <w:vAlign w:val="bottom"/>
            <w:tcBorders>
              <w:top w:val="single" w:sz="8" w:color="0563C1"/>
            </w:tcBorders>
          </w:tcPr>
          <w:p>
            <w:pPr>
              <w:spacing w:after="0"/>
              <w:rPr>
                <w:sz w:val="22"/>
                <w:szCs w:val="22"/>
                <w:color w:val="auto"/>
              </w:rPr>
            </w:pPr>
          </w:p>
        </w:tc>
        <w:tc>
          <w:tcPr>
            <w:tcW w:w="20" w:type="dxa"/>
            <w:vAlign w:val="bottom"/>
            <w:tcBorders>
              <w:top w:val="single" w:sz="8" w:color="0563C1"/>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(h)</w:t>
              </w:r>
            </w:hyperlink>
          </w:p>
        </w:tc>
        <w:tc>
          <w:tcPr>
            <w:tcW w:w="1500" w:type="dxa"/>
            <w:vAlign w:val="bottom"/>
            <w:tcBorders>
              <w:bottom w:val="single" w:sz="8" w:color="0563C1"/>
            </w:tcBorders>
            <w:gridSpan w:val="15"/>
          </w:tcPr>
          <w:p>
            <w:pPr>
              <w:ind w:left="80"/>
              <w:spacing w:after="0"/>
              <w:rPr>
                <w:rFonts w:ascii="Arial" w:cs="Arial" w:eastAsia="Arial" w:hAnsi="Arial"/>
                <w:sz w:val="20"/>
                <w:szCs w:val="20"/>
                <w:i w:val="1"/>
                <w:iCs w:val="1"/>
                <w:color w:val="0563C1"/>
                <w:w w:val="93"/>
              </w:rPr>
            </w:pPr>
            <w:hyperlink w:anchor="page61">
              <w:r>
                <w:rPr>
                  <w:rFonts w:ascii="Arial" w:cs="Arial" w:eastAsia="Arial" w:hAnsi="Arial"/>
                  <w:sz w:val="20"/>
                  <w:szCs w:val="20"/>
                  <w:i w:val="1"/>
                  <w:iCs w:val="1"/>
                  <w:color w:val="0563C1"/>
                  <w:w w:val="93"/>
                </w:rPr>
                <w:t>“Common Stock”</w:t>
              </w:r>
            </w:hyperlink>
          </w:p>
        </w:tc>
        <w:tc>
          <w:tcPr>
            <w:tcW w:w="8920" w:type="dxa"/>
            <w:vAlign w:val="bottom"/>
            <w:gridSpan w:val="20"/>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(i)</w:t>
              </w:r>
            </w:hyperlink>
          </w:p>
        </w:tc>
        <w:tc>
          <w:tcPr>
            <w:tcW w:w="1000" w:type="dxa"/>
            <w:vAlign w:val="bottom"/>
            <w:tcBorders>
              <w:bottom w:val="single" w:sz="8" w:color="0563C1"/>
            </w:tcBorders>
            <w:gridSpan w:val="5"/>
          </w:tcPr>
          <w:p>
            <w:pPr>
              <w:ind w:left="40"/>
              <w:spacing w:after="0"/>
              <w:rPr>
                <w:rFonts w:ascii="Arial" w:cs="Arial" w:eastAsia="Arial" w:hAnsi="Arial"/>
                <w:sz w:val="20"/>
                <w:szCs w:val="20"/>
                <w:i w:val="1"/>
                <w:iCs w:val="1"/>
                <w:color w:val="0563C1"/>
                <w:w w:val="92"/>
              </w:rPr>
            </w:pPr>
            <w:hyperlink w:anchor="page61">
              <w:r>
                <w:rPr>
                  <w:rFonts w:ascii="Arial" w:cs="Arial" w:eastAsia="Arial" w:hAnsi="Arial"/>
                  <w:sz w:val="20"/>
                  <w:szCs w:val="20"/>
                  <w:i w:val="1"/>
                  <w:iCs w:val="1"/>
                  <w:color w:val="0563C1"/>
                  <w:w w:val="92"/>
                </w:rPr>
                <w:t>“Company"</w:t>
              </w:r>
            </w:hyperlink>
          </w:p>
        </w:tc>
        <w:tc>
          <w:tcPr>
            <w:tcW w:w="9420" w:type="dxa"/>
            <w:vAlign w:val="bottom"/>
            <w:gridSpan w:val="30"/>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(j)</w:t>
              </w:r>
            </w:hyperlink>
          </w:p>
        </w:tc>
        <w:tc>
          <w:tcPr>
            <w:tcW w:w="1420" w:type="dxa"/>
            <w:vAlign w:val="bottom"/>
            <w:tcBorders>
              <w:bottom w:val="single" w:sz="8" w:color="0563C1"/>
            </w:tcBorders>
            <w:gridSpan w:val="12"/>
          </w:tcPr>
          <w:p>
            <w:pPr>
              <w:ind w:left="40"/>
              <w:spacing w:after="0"/>
              <w:rPr>
                <w:rFonts w:ascii="Arial" w:cs="Arial" w:eastAsia="Arial" w:hAnsi="Arial"/>
                <w:sz w:val="20"/>
                <w:szCs w:val="20"/>
                <w:i w:val="1"/>
                <w:iCs w:val="1"/>
                <w:color w:val="0563C1"/>
                <w:w w:val="95"/>
              </w:rPr>
            </w:pPr>
            <w:hyperlink w:anchor="page61">
              <w:r>
                <w:rPr>
                  <w:rFonts w:ascii="Arial" w:cs="Arial" w:eastAsia="Arial" w:hAnsi="Arial"/>
                  <w:sz w:val="20"/>
                  <w:szCs w:val="20"/>
                  <w:i w:val="1"/>
                  <w:iCs w:val="1"/>
                  <w:color w:val="0563C1"/>
                  <w:w w:val="95"/>
                </w:rPr>
                <w:t>“Compensation”</w:t>
              </w:r>
            </w:hyperlink>
          </w:p>
        </w:tc>
        <w:tc>
          <w:tcPr>
            <w:tcW w:w="9000" w:type="dxa"/>
            <w:vAlign w:val="bottom"/>
            <w:gridSpan w:val="2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64"/>
        </w:trPr>
        <w:tc>
          <w:tcPr>
            <w:tcW w:w="340" w:type="dxa"/>
            <w:vAlign w:val="bottom"/>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(k)</w:t>
              </w:r>
            </w:hyperlink>
          </w:p>
        </w:tc>
        <w:tc>
          <w:tcPr>
            <w:tcW w:w="10420" w:type="dxa"/>
            <w:vAlign w:val="bottom"/>
            <w:gridSpan w:val="35"/>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“Contribution”</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340" w:type="dxa"/>
            <w:vAlign w:val="bottom"/>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(l)</w:t>
              </w:r>
            </w:hyperlink>
          </w:p>
        </w:tc>
        <w:tc>
          <w:tcPr>
            <w:tcW w:w="10420" w:type="dxa"/>
            <w:vAlign w:val="bottom"/>
            <w:gridSpan w:val="35"/>
          </w:tcPr>
          <w:p>
            <w:pPr>
              <w:ind w:left="4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“Effective Date”</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64"/>
        </w:trPr>
        <w:tc>
          <w:tcPr>
            <w:tcW w:w="340" w:type="dxa"/>
            <w:vAlign w:val="bottom"/>
            <w:tcBorders>
              <w:top w:val="single" w:sz="8" w:color="0563C1"/>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(m)</w:t>
              </w:r>
            </w:hyperlink>
          </w:p>
        </w:tc>
        <w:tc>
          <w:tcPr>
            <w:tcW w:w="1140" w:type="dxa"/>
            <w:vAlign w:val="bottom"/>
            <w:tcBorders>
              <w:top w:val="single" w:sz="8" w:color="0563C1"/>
              <w:bottom w:val="single" w:sz="8" w:color="0563C1"/>
            </w:tcBorders>
            <w:gridSpan w:val="6"/>
          </w:tcPr>
          <w:p>
            <w:pPr>
              <w:ind w:left="140"/>
              <w:spacing w:after="0"/>
              <w:rPr>
                <w:rFonts w:ascii="Arial" w:cs="Arial" w:eastAsia="Arial" w:hAnsi="Arial"/>
                <w:sz w:val="20"/>
                <w:szCs w:val="20"/>
                <w:i w:val="1"/>
                <w:iCs w:val="1"/>
                <w:color w:val="0563C1"/>
                <w:w w:val="95"/>
              </w:rPr>
            </w:pPr>
            <w:hyperlink w:anchor="page61">
              <w:r>
                <w:rPr>
                  <w:rFonts w:ascii="Arial" w:cs="Arial" w:eastAsia="Arial" w:hAnsi="Arial"/>
                  <w:sz w:val="20"/>
                  <w:szCs w:val="20"/>
                  <w:i w:val="1"/>
                  <w:iCs w:val="1"/>
                  <w:color w:val="0563C1"/>
                  <w:w w:val="95"/>
                </w:rPr>
                <w:t>“Employee”</w:t>
              </w:r>
            </w:hyperlink>
          </w:p>
        </w:tc>
        <w:tc>
          <w:tcPr>
            <w:tcW w:w="240" w:type="dxa"/>
            <w:vAlign w:val="bottom"/>
            <w:tcBorders>
              <w:top w:val="single" w:sz="8" w:color="0563C1"/>
            </w:tcBorders>
            <w:gridSpan w:val="4"/>
          </w:tcPr>
          <w:p>
            <w:pPr>
              <w:spacing w:after="0"/>
              <w:rPr>
                <w:sz w:val="22"/>
                <w:szCs w:val="22"/>
                <w:color w:val="auto"/>
              </w:rPr>
            </w:pPr>
          </w:p>
        </w:tc>
        <w:tc>
          <w:tcPr>
            <w:tcW w:w="9040" w:type="dxa"/>
            <w:vAlign w:val="bottom"/>
            <w:gridSpan w:val="25"/>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2</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(n)</w:t>
              </w:r>
            </w:hyperlink>
          </w:p>
        </w:tc>
        <w:tc>
          <w:tcPr>
            <w:tcW w:w="1420" w:type="dxa"/>
            <w:vAlign w:val="bottom"/>
            <w:tcBorders>
              <w:bottom w:val="single" w:sz="8" w:color="0563C1"/>
            </w:tcBorders>
            <w:gridSpan w:val="12"/>
          </w:tcPr>
          <w:p>
            <w:pPr>
              <w:ind w:left="80"/>
              <w:spacing w:after="0"/>
              <w:rPr>
                <w:rFonts w:ascii="Arial" w:cs="Arial" w:eastAsia="Arial" w:hAnsi="Arial"/>
                <w:sz w:val="20"/>
                <w:szCs w:val="20"/>
                <w:i w:val="1"/>
                <w:iCs w:val="1"/>
                <w:color w:val="0563C1"/>
                <w:w w:val="96"/>
              </w:rPr>
            </w:pPr>
            <w:hyperlink w:anchor="page61">
              <w:r>
                <w:rPr>
                  <w:rFonts w:ascii="Arial" w:cs="Arial" w:eastAsia="Arial" w:hAnsi="Arial"/>
                  <w:sz w:val="20"/>
                  <w:szCs w:val="20"/>
                  <w:i w:val="1"/>
                  <w:iCs w:val="1"/>
                  <w:color w:val="0563C1"/>
                  <w:w w:val="96"/>
                </w:rPr>
                <w:t>“Exchange Act”</w:t>
              </w:r>
            </w:hyperlink>
          </w:p>
        </w:tc>
        <w:tc>
          <w:tcPr>
            <w:tcW w:w="9000" w:type="dxa"/>
            <w:vAlign w:val="bottom"/>
            <w:gridSpan w:val="2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(o)</w:t>
              </w:r>
            </w:hyperlink>
          </w:p>
        </w:tc>
        <w:tc>
          <w:tcPr>
            <w:tcW w:w="1780" w:type="dxa"/>
            <w:vAlign w:val="bottom"/>
            <w:tcBorders>
              <w:bottom w:val="single" w:sz="8" w:color="0563C1"/>
            </w:tcBorders>
            <w:gridSpan w:val="20"/>
          </w:tcPr>
          <w:p>
            <w:pPr>
              <w:ind w:left="80"/>
              <w:spacing w:after="0"/>
              <w:rPr>
                <w:rFonts w:ascii="Arial" w:cs="Arial" w:eastAsia="Arial" w:hAnsi="Arial"/>
                <w:sz w:val="20"/>
                <w:szCs w:val="20"/>
                <w:i w:val="1"/>
                <w:iCs w:val="1"/>
                <w:color w:val="0563C1"/>
                <w:w w:val="98"/>
              </w:rPr>
            </w:pPr>
            <w:hyperlink w:anchor="page61">
              <w:r>
                <w:rPr>
                  <w:rFonts w:ascii="Arial" w:cs="Arial" w:eastAsia="Arial" w:hAnsi="Arial"/>
                  <w:sz w:val="20"/>
                  <w:szCs w:val="20"/>
                  <w:i w:val="1"/>
                  <w:iCs w:val="1"/>
                  <w:color w:val="0563C1"/>
                  <w:w w:val="98"/>
                </w:rPr>
                <w:t>“Fair Market Value”</w:t>
              </w:r>
            </w:hyperlink>
          </w:p>
        </w:tc>
        <w:tc>
          <w:tcPr>
            <w:tcW w:w="8640" w:type="dxa"/>
            <w:vAlign w:val="bottom"/>
            <w:gridSpan w:val="15"/>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(p)</w:t>
              </w:r>
            </w:hyperlink>
          </w:p>
        </w:tc>
        <w:tc>
          <w:tcPr>
            <w:tcW w:w="1180" w:type="dxa"/>
            <w:vAlign w:val="bottom"/>
            <w:tcBorders>
              <w:bottom w:val="single" w:sz="8" w:color="0563C1"/>
            </w:tcBorders>
            <w:gridSpan w:val="8"/>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“Offer Date”</w:t>
              </w:r>
            </w:hyperlink>
          </w:p>
        </w:tc>
        <w:tc>
          <w:tcPr>
            <w:tcW w:w="9240" w:type="dxa"/>
            <w:vAlign w:val="bottom"/>
            <w:gridSpan w:val="27"/>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3"/>
        </w:trPr>
        <w:tc>
          <w:tcPr>
            <w:tcW w:w="340" w:type="dxa"/>
            <w:vAlign w:val="bottom"/>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(q)</w:t>
              </w:r>
            </w:hyperlink>
          </w:p>
        </w:tc>
        <w:tc>
          <w:tcPr>
            <w:tcW w:w="10420" w:type="dxa"/>
            <w:vAlign w:val="bottom"/>
            <w:gridSpan w:val="35"/>
          </w:tcPr>
          <w:p>
            <w:pPr>
              <w:ind w:left="8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“Offering Period”</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4"/>
        </w:trPr>
        <w:tc>
          <w:tcPr>
            <w:tcW w:w="340" w:type="dxa"/>
            <w:vAlign w:val="bottom"/>
            <w:tcBorders>
              <w:top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(r)</w:t>
              </w:r>
            </w:hyperlink>
          </w:p>
        </w:tc>
        <w:tc>
          <w:tcPr>
            <w:tcW w:w="1560" w:type="dxa"/>
            <w:vAlign w:val="bottom"/>
            <w:tcBorders>
              <w:top w:val="single" w:sz="8" w:color="0563C1"/>
            </w:tcBorders>
            <w:gridSpan w:val="16"/>
          </w:tcPr>
          <w:p>
            <w:pPr>
              <w:ind w:left="60"/>
              <w:spacing w:after="0"/>
              <w:rPr>
                <w:rFonts w:ascii="Arial" w:cs="Arial" w:eastAsia="Arial" w:hAnsi="Arial"/>
                <w:sz w:val="20"/>
                <w:szCs w:val="20"/>
                <w:color w:val="0563C1"/>
              </w:rPr>
            </w:pPr>
            <w:hyperlink w:anchor="page61">
              <w:r>
                <w:rPr>
                  <w:rFonts w:ascii="Arial" w:cs="Arial" w:eastAsia="Arial" w:hAnsi="Arial"/>
                  <w:sz w:val="20"/>
                  <w:szCs w:val="20"/>
                  <w:color w:val="0563C1"/>
                </w:rPr>
                <w:t>“</w:t>
              </w:r>
              <w:r>
                <w:rPr>
                  <w:rFonts w:ascii="Arial" w:cs="Arial" w:eastAsia="Arial" w:hAnsi="Arial"/>
                  <w:sz w:val="20"/>
                  <w:szCs w:val="20"/>
                  <w:i w:val="1"/>
                  <w:iCs w:val="1"/>
                  <w:color w:val="0563C1"/>
                </w:rPr>
                <w:t>Participant”</w:t>
              </w:r>
            </w:hyperlink>
          </w:p>
        </w:tc>
        <w:tc>
          <w:tcPr>
            <w:tcW w:w="8860" w:type="dxa"/>
            <w:vAlign w:val="bottom"/>
            <w:gridSpan w:val="19"/>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3"/>
        </w:trPr>
        <w:tc>
          <w:tcPr>
            <w:tcW w:w="340" w:type="dxa"/>
            <w:vAlign w:val="bottom"/>
            <w:tcBorders>
              <w:top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w:t>
              </w:r>
            </w:hyperlink>
          </w:p>
        </w:tc>
        <w:tc>
          <w:tcPr>
            <w:tcW w:w="1140" w:type="dxa"/>
            <w:vAlign w:val="bottom"/>
            <w:tcBorders>
              <w:top w:val="single" w:sz="8" w:color="0563C1"/>
            </w:tcBorders>
            <w:gridSpan w:val="6"/>
          </w:tcPr>
          <w:p>
            <w:pPr>
              <w:ind w:left="6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“Person”</w:t>
              </w:r>
            </w:hyperlink>
          </w:p>
        </w:tc>
        <w:tc>
          <w:tcPr>
            <w:tcW w:w="9280" w:type="dxa"/>
            <w:vAlign w:val="bottom"/>
            <w:gridSpan w:val="29"/>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60" w:type="dxa"/>
            <w:vAlign w:val="bottom"/>
            <w:gridSpan w:val="2"/>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(t)</w:t>
              </w:r>
            </w:hyperlink>
          </w:p>
        </w:tc>
        <w:tc>
          <w:tcPr>
            <w:tcW w:w="1480" w:type="dxa"/>
            <w:vAlign w:val="bottom"/>
            <w:tcBorders>
              <w:bottom w:val="single" w:sz="8" w:color="0563C1"/>
            </w:tcBorders>
            <w:gridSpan w:val="14"/>
          </w:tcPr>
          <w:p>
            <w:pPr>
              <w:ind w:left="40"/>
              <w:spacing w:after="0"/>
              <w:rPr>
                <w:rFonts w:ascii="Arial" w:cs="Arial" w:eastAsia="Arial" w:hAnsi="Arial"/>
                <w:sz w:val="20"/>
                <w:szCs w:val="20"/>
                <w:i w:val="1"/>
                <w:iCs w:val="1"/>
                <w:color w:val="0563C1"/>
                <w:w w:val="95"/>
              </w:rPr>
            </w:pPr>
            <w:hyperlink w:anchor="page61">
              <w:r>
                <w:rPr>
                  <w:rFonts w:ascii="Arial" w:cs="Arial" w:eastAsia="Arial" w:hAnsi="Arial"/>
                  <w:sz w:val="20"/>
                  <w:szCs w:val="20"/>
                  <w:i w:val="1"/>
                  <w:iCs w:val="1"/>
                  <w:color w:val="0563C1"/>
                  <w:w w:val="95"/>
                </w:rPr>
                <w:t>“Purchase Price”</w:t>
              </w:r>
            </w:hyperlink>
          </w:p>
        </w:tc>
        <w:tc>
          <w:tcPr>
            <w:tcW w:w="8940" w:type="dxa"/>
            <w:vAlign w:val="bottom"/>
            <w:gridSpan w:val="21"/>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(u)</w:t>
              </w:r>
            </w:hyperlink>
          </w:p>
        </w:tc>
        <w:tc>
          <w:tcPr>
            <w:tcW w:w="1400" w:type="dxa"/>
            <w:vAlign w:val="bottom"/>
            <w:tcBorders>
              <w:bottom w:val="single" w:sz="8" w:color="0563C1"/>
            </w:tcBorders>
            <w:gridSpan w:val="11"/>
          </w:tcPr>
          <w:p>
            <w:pPr>
              <w:ind w:left="80"/>
              <w:spacing w:after="0"/>
              <w:rPr>
                <w:rFonts w:ascii="Arial" w:cs="Arial" w:eastAsia="Arial" w:hAnsi="Arial"/>
                <w:sz w:val="20"/>
                <w:szCs w:val="20"/>
                <w:i w:val="1"/>
                <w:iCs w:val="1"/>
                <w:color w:val="0563C1"/>
                <w:w w:val="95"/>
              </w:rPr>
            </w:pPr>
            <w:hyperlink w:anchor="page61">
              <w:r>
                <w:rPr>
                  <w:rFonts w:ascii="Arial" w:cs="Arial" w:eastAsia="Arial" w:hAnsi="Arial"/>
                  <w:sz w:val="20"/>
                  <w:szCs w:val="20"/>
                  <w:i w:val="1"/>
                  <w:iCs w:val="1"/>
                  <w:color w:val="0563C1"/>
                  <w:w w:val="95"/>
                </w:rPr>
                <w:t>“Securities Act”</w:t>
              </w:r>
            </w:hyperlink>
          </w:p>
        </w:tc>
        <w:tc>
          <w:tcPr>
            <w:tcW w:w="9020" w:type="dxa"/>
            <w:vAlign w:val="bottom"/>
            <w:gridSpan w:val="24"/>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(v)</w:t>
              </w:r>
            </w:hyperlink>
          </w:p>
        </w:tc>
        <w:tc>
          <w:tcPr>
            <w:tcW w:w="760" w:type="dxa"/>
            <w:vAlign w:val="bottom"/>
            <w:tcBorders>
              <w:bottom w:val="single" w:sz="8" w:color="0563C1"/>
            </w:tcBorders>
            <w:gridSpan w:val="2"/>
          </w:tcPr>
          <w:p>
            <w:pPr>
              <w:ind w:left="80"/>
              <w:spacing w:after="0"/>
              <w:rPr>
                <w:rFonts w:ascii="Arial" w:cs="Arial" w:eastAsia="Arial" w:hAnsi="Arial"/>
                <w:sz w:val="20"/>
                <w:szCs w:val="20"/>
                <w:i w:val="1"/>
                <w:iCs w:val="1"/>
                <w:color w:val="0563C1"/>
                <w:w w:val="98"/>
              </w:rPr>
            </w:pPr>
            <w:hyperlink w:anchor="page61">
              <w:r>
                <w:rPr>
                  <w:rFonts w:ascii="Arial" w:cs="Arial" w:eastAsia="Arial" w:hAnsi="Arial"/>
                  <w:sz w:val="20"/>
                  <w:szCs w:val="20"/>
                  <w:i w:val="1"/>
                  <w:iCs w:val="1"/>
                  <w:color w:val="0563C1"/>
                  <w:w w:val="98"/>
                </w:rPr>
                <w:t>“Share”</w:t>
              </w:r>
            </w:hyperlink>
          </w:p>
        </w:tc>
        <w:tc>
          <w:tcPr>
            <w:tcW w:w="9660" w:type="dxa"/>
            <w:vAlign w:val="bottom"/>
            <w:gridSpan w:val="3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3"/>
        </w:trPr>
        <w:tc>
          <w:tcPr>
            <w:tcW w:w="340" w:type="dxa"/>
            <w:vAlign w:val="bottom"/>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(w)</w:t>
              </w:r>
            </w:hyperlink>
          </w:p>
        </w:tc>
        <w:tc>
          <w:tcPr>
            <w:tcW w:w="10420" w:type="dxa"/>
            <w:vAlign w:val="bottom"/>
            <w:gridSpan w:val="35"/>
          </w:tcPr>
          <w:p>
            <w:pPr>
              <w:ind w:left="12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“Share Purchase Right”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4"/>
        </w:trPr>
        <w:tc>
          <w:tcPr>
            <w:tcW w:w="340" w:type="dxa"/>
            <w:vAlign w:val="bottom"/>
            <w:tcBorders>
              <w:top w:val="single" w:sz="8" w:color="0563C1"/>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(x)</w:t>
              </w:r>
            </w:hyperlink>
          </w:p>
        </w:tc>
        <w:tc>
          <w:tcPr>
            <w:tcW w:w="1160" w:type="dxa"/>
            <w:vAlign w:val="bottom"/>
            <w:tcBorders>
              <w:top w:val="single" w:sz="8" w:color="0563C1"/>
              <w:bottom w:val="single" w:sz="8" w:color="0563C1"/>
            </w:tcBorders>
            <w:gridSpan w:val="7"/>
          </w:tcPr>
          <w:p>
            <w:pPr>
              <w:ind w:left="80"/>
              <w:spacing w:after="0"/>
              <w:rPr>
                <w:rFonts w:ascii="Arial" w:cs="Arial" w:eastAsia="Arial" w:hAnsi="Arial"/>
                <w:sz w:val="20"/>
                <w:szCs w:val="20"/>
                <w:i w:val="1"/>
                <w:iCs w:val="1"/>
                <w:color w:val="0563C1"/>
                <w:w w:val="99"/>
              </w:rPr>
            </w:pPr>
            <w:hyperlink w:anchor="page61">
              <w:r>
                <w:rPr>
                  <w:rFonts w:ascii="Arial" w:cs="Arial" w:eastAsia="Arial" w:hAnsi="Arial"/>
                  <w:sz w:val="20"/>
                  <w:szCs w:val="20"/>
                  <w:i w:val="1"/>
                  <w:iCs w:val="1"/>
                  <w:color w:val="0563C1"/>
                  <w:w w:val="99"/>
                </w:rPr>
                <w:t>“Subsidiary”</w:t>
              </w:r>
            </w:hyperlink>
          </w:p>
        </w:tc>
        <w:tc>
          <w:tcPr>
            <w:tcW w:w="900" w:type="dxa"/>
            <w:vAlign w:val="bottom"/>
            <w:tcBorders>
              <w:top w:val="single" w:sz="8" w:color="0563C1"/>
            </w:tcBorders>
            <w:gridSpan w:val="16"/>
          </w:tcPr>
          <w:p>
            <w:pPr>
              <w:spacing w:after="0"/>
              <w:rPr>
                <w:sz w:val="22"/>
                <w:szCs w:val="22"/>
                <w:color w:val="auto"/>
              </w:rPr>
            </w:pPr>
          </w:p>
        </w:tc>
        <w:tc>
          <w:tcPr>
            <w:tcW w:w="8360" w:type="dxa"/>
            <w:vAlign w:val="bottom"/>
            <w:gridSpan w:val="1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3"/>
        </w:trPr>
        <w:tc>
          <w:tcPr>
            <w:tcW w:w="3560" w:type="dxa"/>
            <w:vAlign w:val="bottom"/>
            <w:tcBorders>
              <w:bottom w:val="single" w:sz="8" w:color="0563C1"/>
            </w:tcBorders>
            <w:gridSpan w:val="34"/>
          </w:tcPr>
          <w:p>
            <w:pPr>
              <w:spacing w:after="0"/>
              <w:rPr>
                <w:rFonts w:ascii="Arial" w:cs="Arial" w:eastAsia="Arial" w:hAnsi="Arial"/>
                <w:sz w:val="20"/>
                <w:szCs w:val="20"/>
                <w:color w:val="0563C1"/>
                <w:w w:val="91"/>
              </w:rPr>
            </w:pPr>
            <w:hyperlink w:anchor="page61">
              <w:r>
                <w:rPr>
                  <w:rFonts w:ascii="Arial" w:cs="Arial" w:eastAsia="Arial" w:hAnsi="Arial"/>
                  <w:sz w:val="20"/>
                  <w:szCs w:val="20"/>
                  <w:color w:val="0563C1"/>
                  <w:w w:val="91"/>
                </w:rPr>
                <w:t>Article III Available Shares and Adjustments</w:t>
              </w:r>
            </w:hyperlink>
          </w:p>
        </w:tc>
        <w:tc>
          <w:tcPr>
            <w:tcW w:w="7200" w:type="dxa"/>
            <w:vAlign w:val="bottom"/>
            <w:gridSpan w:val="2"/>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3"/>
        </w:trPr>
        <w:tc>
          <w:tcPr>
            <w:tcW w:w="1060" w:type="dxa"/>
            <w:vAlign w:val="bottom"/>
            <w:gridSpan w:val="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3.1</w:t>
              </w:r>
            </w:hyperlink>
          </w:p>
        </w:tc>
        <w:tc>
          <w:tcPr>
            <w:tcW w:w="9700" w:type="dxa"/>
            <w:vAlign w:val="bottom"/>
            <w:gridSpan w:val="34"/>
          </w:tcPr>
          <w:p>
            <w:pPr>
              <w:ind w:left="2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Available Shares</w:t>
              </w:r>
              <w:r>
                <w:rPr>
                  <w:rFonts w:ascii="Arial" w:cs="Arial" w:eastAsia="Arial" w:hAnsi="Arial"/>
                  <w:sz w:val="20"/>
                  <w:szCs w:val="20"/>
                  <w:color w:val="0563C1"/>
                </w:rPr>
                <w: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3</w:t>
              </w:r>
            </w:hyperlink>
          </w:p>
        </w:tc>
      </w:tr>
      <w:tr>
        <w:trPr>
          <w:trHeight w:val="264"/>
        </w:trPr>
        <w:tc>
          <w:tcPr>
            <w:tcW w:w="1060" w:type="dxa"/>
            <w:vAlign w:val="bottom"/>
            <w:tcBorders>
              <w:top w:val="single" w:sz="8" w:color="0563C1"/>
              <w:bottom w:val="single" w:sz="8" w:color="0563C1"/>
            </w:tcBorders>
            <w:gridSpan w:val="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3.2</w:t>
              </w:r>
            </w:hyperlink>
          </w:p>
        </w:tc>
        <w:tc>
          <w:tcPr>
            <w:tcW w:w="600" w:type="dxa"/>
            <w:vAlign w:val="bottom"/>
            <w:tcBorders>
              <w:top w:val="single" w:sz="8" w:color="0563C1"/>
              <w:bottom w:val="single" w:sz="8" w:color="0563C1"/>
            </w:tcBorders>
            <w:gridSpan w:val="8"/>
          </w:tcPr>
          <w:p>
            <w:pPr>
              <w:ind w:left="20"/>
              <w:spacing w:after="0"/>
              <w:rPr>
                <w:rFonts w:ascii="Arial" w:cs="Arial" w:eastAsia="Arial" w:hAnsi="Arial"/>
                <w:sz w:val="20"/>
                <w:szCs w:val="20"/>
                <w:i w:val="1"/>
                <w:iCs w:val="1"/>
                <w:color w:val="0563C1"/>
                <w:w w:val="85"/>
              </w:rPr>
            </w:pPr>
            <w:hyperlink w:anchor="page61">
              <w:r>
                <w:rPr>
                  <w:rFonts w:ascii="Arial" w:cs="Arial" w:eastAsia="Arial" w:hAnsi="Arial"/>
                  <w:sz w:val="20"/>
                  <w:szCs w:val="20"/>
                  <w:i w:val="1"/>
                  <w:iCs w:val="1"/>
                  <w:color w:val="0563C1"/>
                  <w:w w:val="85"/>
                </w:rPr>
                <w:t>Shares</w:t>
              </w:r>
            </w:hyperlink>
          </w:p>
        </w:tc>
        <w:tc>
          <w:tcPr>
            <w:tcW w:w="800" w:type="dxa"/>
            <w:vAlign w:val="bottom"/>
            <w:tcBorders>
              <w:top w:val="single" w:sz="8" w:color="0563C1"/>
            </w:tcBorders>
            <w:gridSpan w:val="15"/>
          </w:tcPr>
          <w:p>
            <w:pPr>
              <w:spacing w:after="0"/>
              <w:rPr>
                <w:sz w:val="22"/>
                <w:szCs w:val="22"/>
                <w:color w:val="auto"/>
              </w:rPr>
            </w:pPr>
          </w:p>
        </w:tc>
        <w:tc>
          <w:tcPr>
            <w:tcW w:w="8300" w:type="dxa"/>
            <w:vAlign w:val="bottom"/>
            <w:gridSpan w:val="11"/>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4</w:t>
              </w:r>
            </w:hyperlink>
          </w:p>
        </w:tc>
      </w:tr>
      <w:tr>
        <w:trPr>
          <w:trHeight w:val="263"/>
        </w:trPr>
        <w:tc>
          <w:tcPr>
            <w:tcW w:w="1060" w:type="dxa"/>
            <w:vAlign w:val="bottom"/>
            <w:tcBorders>
              <w:bottom w:val="single" w:sz="8" w:color="0563C1"/>
            </w:tcBorders>
            <w:gridSpan w:val="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3.3</w:t>
              </w:r>
            </w:hyperlink>
          </w:p>
        </w:tc>
        <w:tc>
          <w:tcPr>
            <w:tcW w:w="1040" w:type="dxa"/>
            <w:vAlign w:val="bottom"/>
            <w:tcBorders>
              <w:bottom w:val="single" w:sz="8" w:color="0563C1"/>
            </w:tcBorders>
            <w:gridSpan w:val="18"/>
          </w:tcPr>
          <w:p>
            <w:pPr>
              <w:ind w:left="20"/>
              <w:spacing w:after="0"/>
              <w:rPr>
                <w:rFonts w:ascii="Arial" w:cs="Arial" w:eastAsia="Arial" w:hAnsi="Arial"/>
                <w:sz w:val="20"/>
                <w:szCs w:val="20"/>
                <w:i w:val="1"/>
                <w:iCs w:val="1"/>
                <w:color w:val="0563C1"/>
                <w:w w:val="86"/>
              </w:rPr>
            </w:pPr>
            <w:hyperlink w:anchor="page61">
              <w:r>
                <w:rPr>
                  <w:rFonts w:ascii="Arial" w:cs="Arial" w:eastAsia="Arial" w:hAnsi="Arial"/>
                  <w:sz w:val="20"/>
                  <w:szCs w:val="20"/>
                  <w:i w:val="1"/>
                  <w:iCs w:val="1"/>
                  <w:color w:val="0563C1"/>
                  <w:w w:val="86"/>
                </w:rPr>
                <w:t>Adjustments</w:t>
              </w:r>
              <w:r>
                <w:rPr>
                  <w:rFonts w:ascii="Arial" w:cs="Arial" w:eastAsia="Arial" w:hAnsi="Arial"/>
                  <w:sz w:val="20"/>
                  <w:szCs w:val="20"/>
                  <w:color w:val="0563C1"/>
                  <w:w w:val="86"/>
                </w:rPr>
                <w:t>.</w:t>
              </w:r>
            </w:hyperlink>
          </w:p>
        </w:tc>
        <w:tc>
          <w:tcPr>
            <w:tcW w:w="8660" w:type="dxa"/>
            <w:vAlign w:val="bottom"/>
            <w:gridSpan w:val="16"/>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4</w:t>
              </w:r>
            </w:hyperlink>
          </w:p>
        </w:tc>
      </w:tr>
      <w:tr>
        <w:trPr>
          <w:trHeight w:val="263"/>
        </w:trPr>
        <w:tc>
          <w:tcPr>
            <w:tcW w:w="1660" w:type="dxa"/>
            <w:vAlign w:val="bottom"/>
            <w:tcBorders>
              <w:bottom w:val="single" w:sz="8" w:color="0563C1"/>
            </w:tcBorders>
            <w:gridSpan w:val="10"/>
          </w:tcPr>
          <w:p>
            <w:pPr>
              <w:spacing w:after="0"/>
              <w:rPr>
                <w:rFonts w:ascii="Arial" w:cs="Arial" w:eastAsia="Arial" w:hAnsi="Arial"/>
                <w:sz w:val="20"/>
                <w:szCs w:val="20"/>
                <w:color w:val="0563C1"/>
                <w:w w:val="99"/>
              </w:rPr>
            </w:pPr>
            <w:hyperlink w:anchor="page61">
              <w:r>
                <w:rPr>
                  <w:rFonts w:ascii="Arial" w:cs="Arial" w:eastAsia="Arial" w:hAnsi="Arial"/>
                  <w:sz w:val="20"/>
                  <w:szCs w:val="20"/>
                  <w:color w:val="0563C1"/>
                  <w:w w:val="99"/>
                </w:rPr>
                <w:t>Article IV Eligibility</w:t>
              </w:r>
            </w:hyperlink>
          </w:p>
        </w:tc>
        <w:tc>
          <w:tcPr>
            <w:tcW w:w="9100" w:type="dxa"/>
            <w:vAlign w:val="bottom"/>
            <w:gridSpan w:val="26"/>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4</w:t>
              </w:r>
            </w:hyperlink>
          </w:p>
        </w:tc>
      </w:tr>
      <w:tr>
        <w:trPr>
          <w:trHeight w:val="264"/>
        </w:trPr>
        <w:tc>
          <w:tcPr>
            <w:tcW w:w="1060" w:type="dxa"/>
            <w:vAlign w:val="bottom"/>
            <w:tcBorders>
              <w:bottom w:val="single" w:sz="8" w:color="0563C1"/>
            </w:tcBorders>
            <w:gridSpan w:val="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4.1</w:t>
              </w:r>
            </w:hyperlink>
          </w:p>
        </w:tc>
        <w:tc>
          <w:tcPr>
            <w:tcW w:w="1560" w:type="dxa"/>
            <w:vAlign w:val="bottom"/>
            <w:tcBorders>
              <w:bottom w:val="single" w:sz="8" w:color="0563C1"/>
            </w:tcBorders>
            <w:gridSpan w:val="26"/>
          </w:tcPr>
          <w:p>
            <w:pPr>
              <w:ind w:left="20"/>
              <w:spacing w:after="0"/>
              <w:rPr>
                <w:rFonts w:ascii="Arial" w:cs="Arial" w:eastAsia="Arial" w:hAnsi="Arial"/>
                <w:sz w:val="20"/>
                <w:szCs w:val="20"/>
                <w:i w:val="1"/>
                <w:iCs w:val="1"/>
                <w:color w:val="0563C1"/>
                <w:w w:val="89"/>
              </w:rPr>
            </w:pPr>
            <w:hyperlink w:anchor="page61">
              <w:r>
                <w:rPr>
                  <w:rFonts w:ascii="Arial" w:cs="Arial" w:eastAsia="Arial" w:hAnsi="Arial"/>
                  <w:sz w:val="20"/>
                  <w:szCs w:val="20"/>
                  <w:i w:val="1"/>
                  <w:iCs w:val="1"/>
                  <w:color w:val="0563C1"/>
                  <w:w w:val="89"/>
                </w:rPr>
                <w:t>Eligible Employees</w:t>
              </w:r>
            </w:hyperlink>
          </w:p>
        </w:tc>
        <w:tc>
          <w:tcPr>
            <w:tcW w:w="8140" w:type="dxa"/>
            <w:vAlign w:val="bottom"/>
            <w:gridSpan w:val="8"/>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4</w:t>
              </w:r>
            </w:hyperlink>
          </w:p>
        </w:tc>
      </w:tr>
      <w:tr>
        <w:trPr>
          <w:trHeight w:val="263"/>
        </w:trPr>
        <w:tc>
          <w:tcPr>
            <w:tcW w:w="10760" w:type="dxa"/>
            <w:vAlign w:val="bottom"/>
            <w:gridSpan w:val="36"/>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4.2  </w:t>
              </w:r>
              <w:r>
                <w:rPr>
                  <w:rFonts w:ascii="Arial" w:cs="Arial" w:eastAsia="Arial" w:hAnsi="Arial"/>
                  <w:sz w:val="20"/>
                  <w:szCs w:val="20"/>
                  <w:i w:val="1"/>
                  <w:iCs w:val="1"/>
                  <w:color w:val="0563C1"/>
                </w:rPr>
                <w:t>Five Percent Shareholders</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5</w:t>
              </w:r>
            </w:hyperlink>
          </w:p>
        </w:tc>
      </w:tr>
      <w:tr>
        <w:trPr>
          <w:trHeight w:val="264"/>
        </w:trPr>
        <w:tc>
          <w:tcPr>
            <w:tcW w:w="1800" w:type="dxa"/>
            <w:vAlign w:val="bottom"/>
            <w:tcBorders>
              <w:top w:val="single" w:sz="8" w:color="0563C1"/>
              <w:bottom w:val="single" w:sz="8" w:color="0563C1"/>
            </w:tcBorders>
            <w:gridSpan w:val="14"/>
          </w:tcPr>
          <w:p>
            <w:pPr>
              <w:spacing w:after="0"/>
              <w:rPr>
                <w:rFonts w:ascii="Arial" w:cs="Arial" w:eastAsia="Arial" w:hAnsi="Arial"/>
                <w:sz w:val="20"/>
                <w:szCs w:val="20"/>
                <w:color w:val="0563C1"/>
                <w:w w:val="93"/>
              </w:rPr>
            </w:pPr>
            <w:hyperlink w:anchor="page61">
              <w:r>
                <w:rPr>
                  <w:rFonts w:ascii="Arial" w:cs="Arial" w:eastAsia="Arial" w:hAnsi="Arial"/>
                  <w:sz w:val="20"/>
                  <w:szCs w:val="20"/>
                  <w:color w:val="0563C1"/>
                  <w:w w:val="93"/>
                </w:rPr>
                <w:t>Article V Participation</w:t>
              </w:r>
            </w:hyperlink>
          </w:p>
        </w:tc>
        <w:tc>
          <w:tcPr>
            <w:tcW w:w="1380" w:type="dxa"/>
            <w:vAlign w:val="bottom"/>
            <w:tcBorders>
              <w:top w:val="single" w:sz="8" w:color="0563C1"/>
            </w:tcBorders>
            <w:gridSpan w:val="18"/>
          </w:tcPr>
          <w:p>
            <w:pPr>
              <w:spacing w:after="0"/>
              <w:rPr>
                <w:sz w:val="22"/>
                <w:szCs w:val="22"/>
                <w:color w:val="auto"/>
              </w:rPr>
            </w:pPr>
          </w:p>
        </w:tc>
        <w:tc>
          <w:tcPr>
            <w:tcW w:w="7580" w:type="dxa"/>
            <w:vAlign w:val="bottom"/>
            <w:gridSpan w:val="4"/>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5</w:t>
              </w:r>
            </w:hyperlink>
          </w:p>
        </w:tc>
      </w:tr>
      <w:tr>
        <w:trPr>
          <w:trHeight w:val="264"/>
        </w:trPr>
        <w:tc>
          <w:tcPr>
            <w:tcW w:w="1060" w:type="dxa"/>
            <w:vAlign w:val="bottom"/>
            <w:gridSpan w:val="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5.1</w:t>
              </w:r>
            </w:hyperlink>
          </w:p>
        </w:tc>
        <w:tc>
          <w:tcPr>
            <w:tcW w:w="9700" w:type="dxa"/>
            <w:vAlign w:val="bottom"/>
            <w:gridSpan w:val="34"/>
          </w:tcPr>
          <w:p>
            <w:pPr>
              <w:ind w:left="2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Enrollment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5</w:t>
              </w:r>
            </w:hyperlink>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900" w:type="dxa"/>
            <w:vAlign w:val="bottom"/>
            <w:gridSpan w:val="17"/>
            <w:shd w:val="clear" w:color="auto" w:fill="0563C1"/>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060" w:type="dxa"/>
            <w:vAlign w:val="bottom"/>
            <w:tcBorders>
              <w:bottom w:val="single" w:sz="8" w:color="0563C1"/>
            </w:tcBorders>
            <w:gridSpan w:val="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5.2</w:t>
              </w:r>
            </w:hyperlink>
          </w:p>
        </w:tc>
        <w:tc>
          <w:tcPr>
            <w:tcW w:w="1600" w:type="dxa"/>
            <w:vAlign w:val="bottom"/>
            <w:tcBorders>
              <w:bottom w:val="single" w:sz="8" w:color="0563C1"/>
            </w:tcBorders>
            <w:gridSpan w:val="28"/>
          </w:tcPr>
          <w:p>
            <w:pPr>
              <w:ind w:left="20"/>
              <w:spacing w:after="0"/>
              <w:rPr>
                <w:rFonts w:ascii="Arial" w:cs="Arial" w:eastAsia="Arial" w:hAnsi="Arial"/>
                <w:sz w:val="20"/>
                <w:szCs w:val="20"/>
                <w:i w:val="1"/>
                <w:iCs w:val="1"/>
                <w:color w:val="0563C1"/>
                <w:w w:val="89"/>
              </w:rPr>
            </w:pPr>
            <w:hyperlink w:anchor="page61">
              <w:r>
                <w:rPr>
                  <w:rFonts w:ascii="Arial" w:cs="Arial" w:eastAsia="Arial" w:hAnsi="Arial"/>
                  <w:sz w:val="20"/>
                  <w:szCs w:val="20"/>
                  <w:i w:val="1"/>
                  <w:iCs w:val="1"/>
                  <w:color w:val="0563C1"/>
                  <w:w w:val="89"/>
                </w:rPr>
                <w:t>Evergreen Election</w:t>
              </w:r>
              <w:r>
                <w:rPr>
                  <w:rFonts w:ascii="Arial" w:cs="Arial" w:eastAsia="Arial" w:hAnsi="Arial"/>
                  <w:sz w:val="20"/>
                  <w:szCs w:val="20"/>
                  <w:color w:val="0563C1"/>
                  <w:w w:val="89"/>
                </w:rPr>
                <w:t>.</w:t>
              </w:r>
            </w:hyperlink>
          </w:p>
        </w:tc>
        <w:tc>
          <w:tcPr>
            <w:tcW w:w="8100" w:type="dxa"/>
            <w:vAlign w:val="bottom"/>
            <w:gridSpan w:val="6"/>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5</w:t>
              </w:r>
            </w:hyperlink>
          </w:p>
        </w:tc>
      </w:tr>
      <w:tr>
        <w:trPr>
          <w:trHeight w:val="264"/>
        </w:trPr>
        <w:tc>
          <w:tcPr>
            <w:tcW w:w="10760" w:type="dxa"/>
            <w:vAlign w:val="bottom"/>
            <w:gridSpan w:val="36"/>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5.3  </w:t>
              </w:r>
              <w:r>
                <w:rPr>
                  <w:rFonts w:ascii="Arial" w:cs="Arial" w:eastAsia="Arial" w:hAnsi="Arial"/>
                  <w:sz w:val="20"/>
                  <w:szCs w:val="20"/>
                  <w:i w:val="1"/>
                  <w:iCs w:val="1"/>
                  <w:color w:val="0563C1"/>
                </w:rPr>
                <w:t>Same Rights and Privileges</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5</w:t>
              </w:r>
            </w:hyperlink>
          </w:p>
        </w:tc>
      </w:tr>
      <w:tr>
        <w:trPr>
          <w:trHeight w:val="264"/>
        </w:trPr>
        <w:tc>
          <w:tcPr>
            <w:tcW w:w="3020" w:type="dxa"/>
            <w:vAlign w:val="bottom"/>
            <w:tcBorders>
              <w:top w:val="single" w:sz="8" w:color="0563C1"/>
              <w:bottom w:val="single" w:sz="8" w:color="0563C1"/>
            </w:tcBorders>
            <w:gridSpan w:val="31"/>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Article VI Share Purchase Rights</w:t>
              </w:r>
            </w:hyperlink>
          </w:p>
        </w:tc>
        <w:tc>
          <w:tcPr>
            <w:tcW w:w="240" w:type="dxa"/>
            <w:vAlign w:val="bottom"/>
            <w:tcBorders>
              <w:top w:val="single" w:sz="8" w:color="0563C1"/>
            </w:tcBorders>
            <w:gridSpan w:val="2"/>
          </w:tcPr>
          <w:p>
            <w:pPr>
              <w:spacing w:after="0"/>
              <w:rPr>
                <w:sz w:val="22"/>
                <w:szCs w:val="22"/>
                <w:color w:val="auto"/>
              </w:rPr>
            </w:pPr>
          </w:p>
        </w:tc>
        <w:tc>
          <w:tcPr>
            <w:tcW w:w="7500" w:type="dxa"/>
            <w:vAlign w:val="bottom"/>
            <w:gridSpan w:val="3"/>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5</w:t>
              </w:r>
            </w:hyperlink>
          </w:p>
        </w:tc>
      </w:tr>
      <w:tr>
        <w:trPr>
          <w:trHeight w:val="263"/>
        </w:trPr>
        <w:tc>
          <w:tcPr>
            <w:tcW w:w="3020" w:type="dxa"/>
            <w:vAlign w:val="bottom"/>
            <w:tcBorders>
              <w:bottom w:val="single" w:sz="8" w:color="0563C1"/>
            </w:tcBorders>
            <w:gridSpan w:val="31"/>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6.1  </w:t>
              </w:r>
              <w:r>
                <w:rPr>
                  <w:rFonts w:ascii="Arial" w:cs="Arial" w:eastAsia="Arial" w:hAnsi="Arial"/>
                  <w:sz w:val="20"/>
                  <w:szCs w:val="20"/>
                  <w:i w:val="1"/>
                  <w:iCs w:val="1"/>
                  <w:color w:val="0563C1"/>
                </w:rPr>
                <w:t>Number of Shares</w:t>
              </w:r>
            </w:hyperlink>
          </w:p>
        </w:tc>
        <w:tc>
          <w:tcPr>
            <w:tcW w:w="7740" w:type="dxa"/>
            <w:vAlign w:val="bottom"/>
            <w:gridSpan w:val="5"/>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5</w:t>
              </w:r>
            </w:hyperlink>
          </w:p>
        </w:tc>
      </w:tr>
      <w:tr>
        <w:trPr>
          <w:trHeight w:val="264"/>
        </w:trPr>
        <w:tc>
          <w:tcPr>
            <w:tcW w:w="10760" w:type="dxa"/>
            <w:vAlign w:val="bottom"/>
            <w:gridSpan w:val="36"/>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6.2  </w:t>
              </w:r>
              <w:r>
                <w:rPr>
                  <w:rFonts w:ascii="Arial" w:cs="Arial" w:eastAsia="Arial" w:hAnsi="Arial"/>
                  <w:sz w:val="20"/>
                  <w:szCs w:val="20"/>
                  <w:i w:val="1"/>
                  <w:iCs w:val="1"/>
                  <w:color w:val="0563C1"/>
                </w:rPr>
                <w:t>Limitation on Purchases</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6</w:t>
              </w:r>
            </w:hyperlink>
          </w:p>
        </w:tc>
      </w:tr>
      <w:tr>
        <w:trPr>
          <w:trHeight w:val="264"/>
        </w:trPr>
        <w:tc>
          <w:tcPr>
            <w:tcW w:w="1060" w:type="dxa"/>
            <w:vAlign w:val="bottom"/>
            <w:tcBorders>
              <w:top w:val="single" w:sz="8" w:color="0563C1"/>
            </w:tcBorders>
            <w:gridSpan w:val="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6.3</w:t>
              </w:r>
            </w:hyperlink>
          </w:p>
        </w:tc>
        <w:tc>
          <w:tcPr>
            <w:tcW w:w="1960" w:type="dxa"/>
            <w:vAlign w:val="bottom"/>
            <w:tcBorders>
              <w:top w:val="single" w:sz="8" w:color="0563C1"/>
            </w:tcBorders>
            <w:gridSpan w:val="29"/>
          </w:tcPr>
          <w:p>
            <w:pPr>
              <w:ind w:left="2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Purchase Price</w:t>
              </w:r>
            </w:hyperlink>
          </w:p>
        </w:tc>
        <w:tc>
          <w:tcPr>
            <w:tcW w:w="7740" w:type="dxa"/>
            <w:vAlign w:val="bottom"/>
            <w:gridSpan w:val="5"/>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6</w:t>
              </w:r>
            </w:hyperlink>
          </w:p>
        </w:tc>
      </w:tr>
      <w:tr>
        <w:trPr>
          <w:trHeight w:val="20"/>
        </w:trPr>
        <w:tc>
          <w:tcPr>
            <w:tcW w:w="2300" w:type="dxa"/>
            <w:vAlign w:val="bottom"/>
            <w:gridSpan w:val="23"/>
            <w:shd w:val="clear" w:color="auto" w:fill="0563C1"/>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4800" w:type="dxa"/>
            <w:vAlign w:val="bottom"/>
            <w:tcBorders>
              <w:bottom w:val="single" w:sz="8" w:color="0563C1"/>
            </w:tcBorders>
            <w:gridSpan w:val="35"/>
          </w:tcPr>
          <w:p>
            <w:pPr>
              <w:spacing w:after="0"/>
              <w:rPr>
                <w:rFonts w:ascii="Arial" w:cs="Arial" w:eastAsia="Arial" w:hAnsi="Arial"/>
                <w:sz w:val="20"/>
                <w:szCs w:val="20"/>
                <w:color w:val="0563C1"/>
                <w:w w:val="88"/>
              </w:rPr>
            </w:pPr>
            <w:hyperlink w:anchor="page61">
              <w:r>
                <w:rPr>
                  <w:rFonts w:ascii="Arial" w:cs="Arial" w:eastAsia="Arial" w:hAnsi="Arial"/>
                  <w:sz w:val="20"/>
                  <w:szCs w:val="20"/>
                  <w:color w:val="0563C1"/>
                  <w:w w:val="88"/>
                </w:rPr>
                <w:t>Article VII Purchase of Shares Under Share Purchase Rights</w:t>
              </w:r>
            </w:hyperlink>
          </w:p>
        </w:tc>
        <w:tc>
          <w:tcPr>
            <w:tcW w:w="59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6</w:t>
              </w:r>
            </w:hyperlink>
          </w:p>
        </w:tc>
      </w:tr>
    </w:tbl>
    <w:p>
      <w:pPr>
        <w:spacing w:after="0" w:line="200" w:lineRule="exact"/>
        <w:rPr>
          <w:sz w:val="20"/>
          <w:szCs w:val="20"/>
          <w:color w:val="auto"/>
        </w:rPr>
      </w:pPr>
    </w:p>
    <w:p>
      <w:pPr>
        <w:sectPr>
          <w:pgSz w:w="11900" w:h="16838" w:orient="portrait"/>
          <w:cols w:equalWidth="0" w:num="1">
            <w:col w:w="11060"/>
          </w:cols>
          <w:pgMar w:left="400" w:top="118" w:right="439" w:bottom="1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060"/>
          </w:cols>
          <w:pgMar w:left="400" w:top="118" w:right="439" w:bottom="1111" w:gutter="0" w:footer="0" w:header="0"/>
          <w:type w:val="continuous"/>
        </w:sectPr>
      </w:pPr>
    </w:p>
    <w:bookmarkStart w:id="60" w:name="page61"/>
    <w:bookmarkEnd w:id="60"/>
    <w:p>
      <w:pPr>
        <w:jc w:val="center"/>
        <w:ind w:right="-39"/>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7.1</w:t>
              </w:r>
            </w:hyperlink>
          </w:p>
        </w:tc>
        <w:tc>
          <w:tcPr>
            <w:tcW w:w="9680" w:type="dxa"/>
            <w:vAlign w:val="bottom"/>
            <w:gridSpan w:val="21"/>
          </w:tcPr>
          <w:p>
            <w:pPr>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Purchase</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6</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080" w:type="dxa"/>
            <w:vAlign w:val="bottom"/>
            <w:tcBorders>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7.2</w:t>
              </w:r>
            </w:hyperlink>
          </w:p>
        </w:tc>
        <w:tc>
          <w:tcPr>
            <w:tcW w:w="2000" w:type="dxa"/>
            <w:vAlign w:val="bottom"/>
            <w:tcBorders>
              <w:bottom w:val="single" w:sz="8" w:color="0563C1"/>
            </w:tcBorders>
            <w:gridSpan w:val="12"/>
          </w:tcPr>
          <w:p>
            <w:pPr>
              <w:spacing w:after="0"/>
              <w:rPr>
                <w:rFonts w:ascii="Arial" w:cs="Arial" w:eastAsia="Arial" w:hAnsi="Arial"/>
                <w:sz w:val="20"/>
                <w:szCs w:val="20"/>
                <w:i w:val="1"/>
                <w:iCs w:val="1"/>
                <w:color w:val="0563C1"/>
                <w:w w:val="90"/>
              </w:rPr>
            </w:pPr>
            <w:hyperlink w:anchor="page61">
              <w:r>
                <w:rPr>
                  <w:rFonts w:ascii="Arial" w:cs="Arial" w:eastAsia="Arial" w:hAnsi="Arial"/>
                  <w:sz w:val="20"/>
                  <w:szCs w:val="20"/>
                  <w:i w:val="1"/>
                  <w:iCs w:val="1"/>
                  <w:color w:val="0563C1"/>
                  <w:w w:val="90"/>
                </w:rPr>
                <w:t>Registration Compliance</w:t>
              </w:r>
            </w:hyperlink>
          </w:p>
        </w:tc>
        <w:tc>
          <w:tcPr>
            <w:tcW w:w="7680" w:type="dxa"/>
            <w:vAlign w:val="bottom"/>
            <w:gridSpan w:val="9"/>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6</w:t>
              </w:r>
            </w:hyperlink>
          </w:p>
        </w:tc>
      </w:tr>
      <w:tr>
        <w:trPr>
          <w:trHeight w:val="263"/>
        </w:trPr>
        <w:tc>
          <w:tcPr>
            <w:tcW w:w="10760" w:type="dxa"/>
            <w:vAlign w:val="bottom"/>
            <w:gridSpan w:val="2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7.3  </w:t>
              </w:r>
              <w:r>
                <w:rPr>
                  <w:rFonts w:ascii="Arial" w:cs="Arial" w:eastAsia="Arial" w:hAnsi="Arial"/>
                  <w:sz w:val="20"/>
                  <w:szCs w:val="20"/>
                  <w:i w:val="1"/>
                  <w:iCs w:val="1"/>
                  <w:color w:val="0563C1"/>
                </w:rPr>
                <w:t>Delivery of Shares</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63"/>
        </w:trPr>
        <w:tc>
          <w:tcPr>
            <w:tcW w:w="1080" w:type="dxa"/>
            <w:vAlign w:val="bottom"/>
            <w:tcBorders>
              <w:top w:val="single" w:sz="8" w:color="0563C1"/>
              <w:bottom w:val="single" w:sz="8" w:color="0563C1"/>
            </w:tcBorders>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7.4</w:t>
              </w:r>
            </w:hyperlink>
          </w:p>
        </w:tc>
        <w:tc>
          <w:tcPr>
            <w:tcW w:w="580" w:type="dxa"/>
            <w:vAlign w:val="bottom"/>
            <w:tcBorders>
              <w:top w:val="single" w:sz="8" w:color="0563C1"/>
              <w:bottom w:val="single" w:sz="8" w:color="0563C1"/>
            </w:tcBorders>
          </w:tcPr>
          <w:p>
            <w:pPr>
              <w:spacing w:after="0"/>
              <w:rPr>
                <w:rFonts w:ascii="Arial" w:cs="Arial" w:eastAsia="Arial" w:hAnsi="Arial"/>
                <w:sz w:val="20"/>
                <w:szCs w:val="20"/>
                <w:i w:val="1"/>
                <w:iCs w:val="1"/>
                <w:color w:val="0563C1"/>
                <w:w w:val="83"/>
              </w:rPr>
            </w:pPr>
            <w:hyperlink w:anchor="page61">
              <w:r>
                <w:rPr>
                  <w:rFonts w:ascii="Arial" w:cs="Arial" w:eastAsia="Arial" w:hAnsi="Arial"/>
                  <w:sz w:val="20"/>
                  <w:szCs w:val="20"/>
                  <w:i w:val="1"/>
                  <w:iCs w:val="1"/>
                  <w:color w:val="0563C1"/>
                  <w:w w:val="83"/>
                </w:rPr>
                <w:t>Vesting</w:t>
              </w:r>
            </w:hyperlink>
          </w:p>
        </w:tc>
        <w:tc>
          <w:tcPr>
            <w:tcW w:w="880" w:type="dxa"/>
            <w:vAlign w:val="bottom"/>
            <w:tcBorders>
              <w:top w:val="single" w:sz="8" w:color="0563C1"/>
            </w:tcBorders>
            <w:gridSpan w:val="7"/>
          </w:tcPr>
          <w:p>
            <w:pPr>
              <w:spacing w:after="0"/>
              <w:rPr>
                <w:sz w:val="22"/>
                <w:szCs w:val="22"/>
                <w:color w:val="auto"/>
              </w:rPr>
            </w:pPr>
          </w:p>
        </w:tc>
        <w:tc>
          <w:tcPr>
            <w:tcW w:w="8220" w:type="dxa"/>
            <w:vAlign w:val="bottom"/>
            <w:gridSpan w:val="13"/>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64"/>
        </w:trPr>
        <w:tc>
          <w:tcPr>
            <w:tcW w:w="1080" w:type="dxa"/>
            <w:vAlign w:val="bottom"/>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Section 7.5</w:t>
              </w:r>
            </w:hyperlink>
          </w:p>
        </w:tc>
        <w:tc>
          <w:tcPr>
            <w:tcW w:w="9680" w:type="dxa"/>
            <w:vAlign w:val="bottom"/>
            <w:gridSpan w:val="21"/>
          </w:tcPr>
          <w:p>
            <w:pPr>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Nontransferability</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0760" w:type="dxa"/>
            <w:vAlign w:val="bottom"/>
            <w:gridSpan w:val="2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Article VIII Restrictions on Sale</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0"/>
        </w:trPr>
        <w:tc>
          <w:tcPr>
            <w:tcW w:w="2040" w:type="dxa"/>
            <w:vAlign w:val="bottom"/>
            <w:gridSpan w:val="4"/>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0760" w:type="dxa"/>
            <w:vAlign w:val="bottom"/>
            <w:gridSpan w:val="2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Article IX Withdrawal from Participation and Termination of Employment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63"/>
        </w:trPr>
        <w:tc>
          <w:tcPr>
            <w:tcW w:w="2300" w:type="dxa"/>
            <w:vAlign w:val="bottom"/>
            <w:tcBorders>
              <w:top w:val="single" w:sz="8" w:color="0563C1"/>
              <w:bottom w:val="single" w:sz="8" w:color="0563C1"/>
            </w:tcBorders>
            <w:gridSpan w:val="7"/>
          </w:tcPr>
          <w:p>
            <w:pPr>
              <w:spacing w:after="0"/>
              <w:rPr>
                <w:rFonts w:ascii="Arial" w:cs="Arial" w:eastAsia="Arial" w:hAnsi="Arial"/>
                <w:sz w:val="20"/>
                <w:szCs w:val="20"/>
                <w:color w:val="0563C1"/>
                <w:w w:val="91"/>
              </w:rPr>
            </w:pPr>
            <w:hyperlink w:anchor="page61">
              <w:r>
                <w:rPr>
                  <w:rFonts w:ascii="Arial" w:cs="Arial" w:eastAsia="Arial" w:hAnsi="Arial"/>
                  <w:sz w:val="20"/>
                  <w:szCs w:val="20"/>
                  <w:color w:val="0563C1"/>
                  <w:w w:val="91"/>
                </w:rPr>
                <w:t>Article X General Provisions</w:t>
              </w:r>
            </w:hyperlink>
          </w:p>
        </w:tc>
        <w:tc>
          <w:tcPr>
            <w:tcW w:w="3600" w:type="dxa"/>
            <w:vAlign w:val="bottom"/>
            <w:tcBorders>
              <w:top w:val="single" w:sz="8" w:color="0563C1"/>
            </w:tcBorders>
            <w:gridSpan w:val="14"/>
          </w:tcPr>
          <w:p>
            <w:pPr>
              <w:spacing w:after="0"/>
              <w:rPr>
                <w:sz w:val="22"/>
                <w:szCs w:val="22"/>
                <w:color w:val="auto"/>
              </w:rPr>
            </w:pPr>
          </w:p>
        </w:tc>
        <w:tc>
          <w:tcPr>
            <w:tcW w:w="48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63"/>
        </w:trPr>
        <w:tc>
          <w:tcPr>
            <w:tcW w:w="1080" w:type="dxa"/>
            <w:vAlign w:val="bottom"/>
          </w:tcPr>
          <w:p>
            <w:pPr>
              <w:spacing w:after="0"/>
              <w:rPr>
                <w:rFonts w:ascii="Arial" w:cs="Arial" w:eastAsia="Arial" w:hAnsi="Arial"/>
                <w:sz w:val="20"/>
                <w:szCs w:val="20"/>
                <w:color w:val="0563C1"/>
                <w:w w:val="95"/>
              </w:rPr>
            </w:pPr>
            <w:hyperlink w:anchor="page61">
              <w:r>
                <w:rPr>
                  <w:rFonts w:ascii="Arial" w:cs="Arial" w:eastAsia="Arial" w:hAnsi="Arial"/>
                  <w:sz w:val="20"/>
                  <w:szCs w:val="20"/>
                  <w:color w:val="0563C1"/>
                  <w:w w:val="95"/>
                </w:rPr>
                <w:t>Section 10.1</w:t>
              </w:r>
            </w:hyperlink>
          </w:p>
        </w:tc>
        <w:tc>
          <w:tcPr>
            <w:tcW w:w="9680" w:type="dxa"/>
            <w:vAlign w:val="bottom"/>
            <w:gridSpan w:val="21"/>
          </w:tcPr>
          <w:p>
            <w:pPr>
              <w:ind w:left="10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Administration</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0"/>
        </w:trPr>
        <w:tc>
          <w:tcPr>
            <w:tcW w:w="2040" w:type="dxa"/>
            <w:vAlign w:val="bottom"/>
            <w:gridSpan w:val="4"/>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3800" w:type="dxa"/>
            <w:vAlign w:val="bottom"/>
            <w:tcBorders>
              <w:bottom w:val="single" w:sz="8" w:color="0563C1"/>
            </w:tcBorders>
            <w:gridSpan w:val="19"/>
          </w:tcPr>
          <w:p>
            <w:pPr>
              <w:spacing w:after="0"/>
              <w:rPr>
                <w:rFonts w:ascii="Arial" w:cs="Arial" w:eastAsia="Arial" w:hAnsi="Arial"/>
                <w:sz w:val="20"/>
                <w:szCs w:val="20"/>
                <w:color w:val="0563C1"/>
                <w:w w:val="92"/>
              </w:rPr>
            </w:pPr>
            <w:hyperlink w:anchor="page61">
              <w:r>
                <w:rPr>
                  <w:rFonts w:ascii="Arial" w:cs="Arial" w:eastAsia="Arial" w:hAnsi="Arial"/>
                  <w:sz w:val="20"/>
                  <w:szCs w:val="20"/>
                  <w:color w:val="0563C1"/>
                  <w:w w:val="92"/>
                </w:rPr>
                <w:t xml:space="preserve">Section 10.2  </w:t>
              </w:r>
              <w:r>
                <w:rPr>
                  <w:rFonts w:ascii="Arial" w:cs="Arial" w:eastAsia="Arial" w:hAnsi="Arial"/>
                  <w:sz w:val="20"/>
                  <w:szCs w:val="20"/>
                  <w:i w:val="1"/>
                  <w:iCs w:val="1"/>
                  <w:color w:val="0563C1"/>
                  <w:w w:val="92"/>
                </w:rPr>
                <w:t>Delegation by the Administrator</w:t>
              </w:r>
              <w:r>
                <w:rPr>
                  <w:rFonts w:ascii="Arial" w:cs="Arial" w:eastAsia="Arial" w:hAnsi="Arial"/>
                  <w:sz w:val="20"/>
                  <w:szCs w:val="20"/>
                  <w:color w:val="0563C1"/>
                  <w:w w:val="92"/>
                </w:rPr>
                <w:t>.</w:t>
              </w:r>
            </w:hyperlink>
          </w:p>
        </w:tc>
        <w:tc>
          <w:tcPr>
            <w:tcW w:w="6960" w:type="dxa"/>
            <w:vAlign w:val="bottom"/>
            <w:gridSpan w:val="3"/>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7</w:t>
              </w:r>
            </w:hyperlink>
          </w:p>
        </w:tc>
      </w:tr>
      <w:tr>
        <w:trPr>
          <w:trHeight w:val="263"/>
        </w:trPr>
        <w:tc>
          <w:tcPr>
            <w:tcW w:w="10760" w:type="dxa"/>
            <w:vAlign w:val="bottom"/>
            <w:gridSpan w:val="2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10.3  </w:t>
              </w:r>
              <w:r>
                <w:rPr>
                  <w:rFonts w:ascii="Arial" w:cs="Arial" w:eastAsia="Arial" w:hAnsi="Arial"/>
                  <w:sz w:val="20"/>
                  <w:szCs w:val="20"/>
                  <w:i w:val="1"/>
                  <w:iCs w:val="1"/>
                  <w:color w:val="0563C1"/>
                </w:rPr>
                <w:t>Rights as a Shareholder</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64"/>
        </w:trPr>
        <w:tc>
          <w:tcPr>
            <w:tcW w:w="1080" w:type="dxa"/>
            <w:vAlign w:val="bottom"/>
            <w:tcBorders>
              <w:top w:val="single" w:sz="8" w:color="0563C1"/>
              <w:bottom w:val="single" w:sz="8" w:color="0563C1"/>
            </w:tcBorders>
          </w:tcPr>
          <w:p>
            <w:pPr>
              <w:spacing w:after="0"/>
              <w:rPr>
                <w:rFonts w:ascii="Arial" w:cs="Arial" w:eastAsia="Arial" w:hAnsi="Arial"/>
                <w:sz w:val="20"/>
                <w:szCs w:val="20"/>
                <w:color w:val="0563C1"/>
                <w:w w:val="95"/>
              </w:rPr>
            </w:pPr>
            <w:hyperlink w:anchor="page61">
              <w:r>
                <w:rPr>
                  <w:rFonts w:ascii="Arial" w:cs="Arial" w:eastAsia="Arial" w:hAnsi="Arial"/>
                  <w:sz w:val="20"/>
                  <w:szCs w:val="20"/>
                  <w:color w:val="0563C1"/>
                  <w:w w:val="95"/>
                </w:rPr>
                <w:t>Section 10.4</w:t>
              </w:r>
            </w:hyperlink>
          </w:p>
        </w:tc>
        <w:tc>
          <w:tcPr>
            <w:tcW w:w="1460" w:type="dxa"/>
            <w:vAlign w:val="bottom"/>
            <w:tcBorders>
              <w:top w:val="single" w:sz="8" w:color="0563C1"/>
              <w:bottom w:val="single" w:sz="8" w:color="0563C1"/>
            </w:tcBorders>
            <w:gridSpan w:val="8"/>
          </w:tcPr>
          <w:p>
            <w:pPr>
              <w:ind w:left="100"/>
              <w:spacing w:after="0"/>
              <w:rPr>
                <w:rFonts w:ascii="Arial" w:cs="Arial" w:eastAsia="Arial" w:hAnsi="Arial"/>
                <w:sz w:val="20"/>
                <w:szCs w:val="20"/>
                <w:i w:val="1"/>
                <w:iCs w:val="1"/>
                <w:color w:val="0563C1"/>
                <w:w w:val="92"/>
              </w:rPr>
            </w:pPr>
            <w:hyperlink w:anchor="page61">
              <w:r>
                <w:rPr>
                  <w:rFonts w:ascii="Arial" w:cs="Arial" w:eastAsia="Arial" w:hAnsi="Arial"/>
                  <w:sz w:val="20"/>
                  <w:szCs w:val="20"/>
                  <w:i w:val="1"/>
                  <w:iCs w:val="1"/>
                  <w:color w:val="0563C1"/>
                  <w:w w:val="92"/>
                </w:rPr>
                <w:t>Tax Withholding</w:t>
              </w:r>
            </w:hyperlink>
          </w:p>
        </w:tc>
        <w:tc>
          <w:tcPr>
            <w:tcW w:w="540" w:type="dxa"/>
            <w:vAlign w:val="bottom"/>
            <w:tcBorders>
              <w:top w:val="single" w:sz="8" w:color="0563C1"/>
            </w:tcBorders>
            <w:gridSpan w:val="4"/>
          </w:tcPr>
          <w:p>
            <w:pPr>
              <w:spacing w:after="0"/>
              <w:rPr>
                <w:sz w:val="22"/>
                <w:szCs w:val="22"/>
                <w:color w:val="auto"/>
              </w:rPr>
            </w:pPr>
          </w:p>
        </w:tc>
        <w:tc>
          <w:tcPr>
            <w:tcW w:w="7680" w:type="dxa"/>
            <w:vAlign w:val="bottom"/>
            <w:gridSpan w:val="9"/>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63"/>
        </w:trPr>
        <w:tc>
          <w:tcPr>
            <w:tcW w:w="1080" w:type="dxa"/>
            <w:vAlign w:val="bottom"/>
          </w:tcPr>
          <w:p>
            <w:pPr>
              <w:spacing w:after="0"/>
              <w:rPr>
                <w:rFonts w:ascii="Arial" w:cs="Arial" w:eastAsia="Arial" w:hAnsi="Arial"/>
                <w:sz w:val="20"/>
                <w:szCs w:val="20"/>
                <w:color w:val="0563C1"/>
                <w:w w:val="95"/>
              </w:rPr>
            </w:pPr>
            <w:hyperlink w:anchor="page61">
              <w:r>
                <w:rPr>
                  <w:rFonts w:ascii="Arial" w:cs="Arial" w:eastAsia="Arial" w:hAnsi="Arial"/>
                  <w:sz w:val="20"/>
                  <w:szCs w:val="20"/>
                  <w:color w:val="0563C1"/>
                  <w:w w:val="95"/>
                </w:rPr>
                <w:t>Section 10.5</w:t>
              </w:r>
            </w:hyperlink>
          </w:p>
        </w:tc>
        <w:tc>
          <w:tcPr>
            <w:tcW w:w="9680" w:type="dxa"/>
            <w:vAlign w:val="bottom"/>
            <w:gridSpan w:val="21"/>
          </w:tcPr>
          <w:p>
            <w:pPr>
              <w:ind w:left="10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At-Will Employment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10760" w:type="dxa"/>
            <w:vAlign w:val="bottom"/>
            <w:gridSpan w:val="2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10.6  </w:t>
              </w:r>
              <w:r>
                <w:rPr>
                  <w:rFonts w:ascii="Arial" w:cs="Arial" w:eastAsia="Arial" w:hAnsi="Arial"/>
                  <w:sz w:val="20"/>
                  <w:szCs w:val="20"/>
                  <w:i w:val="1"/>
                  <w:iCs w:val="1"/>
                  <w:color w:val="0563C1"/>
                </w:rPr>
                <w:t>Unfunded Plan; Plan Not Subject to ERISA</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63"/>
        </w:trPr>
        <w:tc>
          <w:tcPr>
            <w:tcW w:w="2660" w:type="dxa"/>
            <w:vAlign w:val="bottom"/>
            <w:tcBorders>
              <w:top w:val="single" w:sz="8" w:color="0563C1"/>
              <w:bottom w:val="single" w:sz="8" w:color="0563C1"/>
            </w:tcBorders>
            <w:gridSpan w:val="10"/>
          </w:tcPr>
          <w:p>
            <w:pPr>
              <w:spacing w:after="0"/>
              <w:rPr>
                <w:rFonts w:ascii="Arial" w:cs="Arial" w:eastAsia="Arial" w:hAnsi="Arial"/>
                <w:sz w:val="20"/>
                <w:szCs w:val="20"/>
                <w:color w:val="0563C1"/>
                <w:w w:val="92"/>
              </w:rPr>
            </w:pPr>
            <w:hyperlink w:anchor="page61">
              <w:r>
                <w:rPr>
                  <w:rFonts w:ascii="Arial" w:cs="Arial" w:eastAsia="Arial" w:hAnsi="Arial"/>
                  <w:sz w:val="20"/>
                  <w:szCs w:val="20"/>
                  <w:color w:val="0563C1"/>
                  <w:w w:val="92"/>
                </w:rPr>
                <w:t xml:space="preserve">Section 10.7  </w:t>
              </w:r>
              <w:r>
                <w:rPr>
                  <w:rFonts w:ascii="Arial" w:cs="Arial" w:eastAsia="Arial" w:hAnsi="Arial"/>
                  <w:sz w:val="20"/>
                  <w:szCs w:val="20"/>
                  <w:i w:val="1"/>
                  <w:iCs w:val="1"/>
                  <w:color w:val="0563C1"/>
                  <w:w w:val="92"/>
                </w:rPr>
                <w:t>Freedom of Action</w:t>
              </w:r>
            </w:hyperlink>
          </w:p>
        </w:tc>
        <w:tc>
          <w:tcPr>
            <w:tcW w:w="1960" w:type="dxa"/>
            <w:vAlign w:val="bottom"/>
            <w:tcBorders>
              <w:top w:val="single" w:sz="8" w:color="0563C1"/>
            </w:tcBorders>
            <w:gridSpan w:val="10"/>
          </w:tcPr>
          <w:p>
            <w:pPr>
              <w:spacing w:after="0"/>
              <w:rPr>
                <w:sz w:val="22"/>
                <w:szCs w:val="22"/>
                <w:color w:val="auto"/>
              </w:rPr>
            </w:pPr>
          </w:p>
        </w:tc>
        <w:tc>
          <w:tcPr>
            <w:tcW w:w="6140" w:type="dxa"/>
            <w:vAlign w:val="bottom"/>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63"/>
        </w:trPr>
        <w:tc>
          <w:tcPr>
            <w:tcW w:w="1080" w:type="dxa"/>
            <w:vAlign w:val="bottom"/>
          </w:tcPr>
          <w:p>
            <w:pPr>
              <w:spacing w:after="0"/>
              <w:rPr>
                <w:rFonts w:ascii="Arial" w:cs="Arial" w:eastAsia="Arial" w:hAnsi="Arial"/>
                <w:sz w:val="20"/>
                <w:szCs w:val="20"/>
                <w:color w:val="0563C1"/>
                <w:w w:val="95"/>
              </w:rPr>
            </w:pPr>
            <w:hyperlink w:anchor="page61">
              <w:r>
                <w:rPr>
                  <w:rFonts w:ascii="Arial" w:cs="Arial" w:eastAsia="Arial" w:hAnsi="Arial"/>
                  <w:sz w:val="20"/>
                  <w:szCs w:val="20"/>
                  <w:color w:val="0563C1"/>
                  <w:w w:val="95"/>
                </w:rPr>
                <w:t>Section 10.8</w:t>
              </w:r>
            </w:hyperlink>
          </w:p>
        </w:tc>
        <w:tc>
          <w:tcPr>
            <w:tcW w:w="9680" w:type="dxa"/>
            <w:vAlign w:val="bottom"/>
            <w:gridSpan w:val="21"/>
          </w:tcPr>
          <w:p>
            <w:pPr>
              <w:ind w:left="10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Term of Plan</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3200" w:type="dxa"/>
            <w:vAlign w:val="bottom"/>
            <w:tcBorders>
              <w:bottom w:val="single" w:sz="8" w:color="0563C1"/>
            </w:tcBorders>
            <w:gridSpan w:val="14"/>
          </w:tcPr>
          <w:p>
            <w:pPr>
              <w:spacing w:after="0"/>
              <w:rPr>
                <w:rFonts w:ascii="Arial" w:cs="Arial" w:eastAsia="Arial" w:hAnsi="Arial"/>
                <w:sz w:val="20"/>
                <w:szCs w:val="20"/>
                <w:color w:val="0563C1"/>
                <w:w w:val="92"/>
              </w:rPr>
            </w:pPr>
            <w:hyperlink w:anchor="page61">
              <w:r>
                <w:rPr>
                  <w:rFonts w:ascii="Arial" w:cs="Arial" w:eastAsia="Arial" w:hAnsi="Arial"/>
                  <w:sz w:val="20"/>
                  <w:szCs w:val="20"/>
                  <w:color w:val="0563C1"/>
                  <w:w w:val="92"/>
                </w:rPr>
                <w:t xml:space="preserve">Section 10.9  </w:t>
              </w:r>
              <w:r>
                <w:rPr>
                  <w:rFonts w:ascii="Arial" w:cs="Arial" w:eastAsia="Arial" w:hAnsi="Arial"/>
                  <w:sz w:val="20"/>
                  <w:szCs w:val="20"/>
                  <w:i w:val="1"/>
                  <w:iCs w:val="1"/>
                  <w:color w:val="0563C1"/>
                  <w:w w:val="92"/>
                </w:rPr>
                <w:t>Amendment or Alteration</w:t>
              </w:r>
            </w:hyperlink>
          </w:p>
        </w:tc>
        <w:tc>
          <w:tcPr>
            <w:tcW w:w="7560" w:type="dxa"/>
            <w:vAlign w:val="bottom"/>
            <w:gridSpan w:val="8"/>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63"/>
        </w:trPr>
        <w:tc>
          <w:tcPr>
            <w:tcW w:w="1080" w:type="dxa"/>
            <w:vAlign w:val="bottom"/>
          </w:tcPr>
          <w:p>
            <w:pPr>
              <w:spacing w:after="0"/>
              <w:rPr>
                <w:rFonts w:ascii="Arial" w:cs="Arial" w:eastAsia="Arial" w:hAnsi="Arial"/>
                <w:sz w:val="20"/>
                <w:szCs w:val="20"/>
                <w:color w:val="0563C1"/>
                <w:w w:val="86"/>
              </w:rPr>
            </w:pPr>
            <w:hyperlink w:anchor="page61">
              <w:r>
                <w:rPr>
                  <w:rFonts w:ascii="Arial" w:cs="Arial" w:eastAsia="Arial" w:hAnsi="Arial"/>
                  <w:sz w:val="20"/>
                  <w:szCs w:val="20"/>
                  <w:color w:val="0563C1"/>
                  <w:w w:val="86"/>
                </w:rPr>
                <w:t>Section 10.10</w:t>
              </w:r>
            </w:hyperlink>
          </w:p>
        </w:tc>
        <w:tc>
          <w:tcPr>
            <w:tcW w:w="9680" w:type="dxa"/>
            <w:vAlign w:val="bottom"/>
            <w:gridSpan w:val="21"/>
          </w:tcPr>
          <w:p>
            <w:pPr>
              <w:ind w:left="20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Severability</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63"/>
        </w:trPr>
        <w:tc>
          <w:tcPr>
            <w:tcW w:w="1080" w:type="dxa"/>
            <w:vAlign w:val="bottom"/>
            <w:tcBorders>
              <w:top w:val="single" w:sz="8" w:color="0563C1"/>
            </w:tcBorders>
          </w:tcPr>
          <w:p>
            <w:pPr>
              <w:spacing w:after="0"/>
              <w:rPr>
                <w:rFonts w:ascii="Arial" w:cs="Arial" w:eastAsia="Arial" w:hAnsi="Arial"/>
                <w:sz w:val="20"/>
                <w:szCs w:val="20"/>
                <w:color w:val="0563C1"/>
                <w:w w:val="86"/>
              </w:rPr>
            </w:pPr>
            <w:hyperlink w:anchor="page61">
              <w:r>
                <w:rPr>
                  <w:rFonts w:ascii="Arial" w:cs="Arial" w:eastAsia="Arial" w:hAnsi="Arial"/>
                  <w:sz w:val="20"/>
                  <w:szCs w:val="20"/>
                  <w:color w:val="0563C1"/>
                  <w:w w:val="86"/>
                </w:rPr>
                <w:t>Section 10.11</w:t>
              </w:r>
            </w:hyperlink>
          </w:p>
        </w:tc>
        <w:tc>
          <w:tcPr>
            <w:tcW w:w="1140" w:type="dxa"/>
            <w:vAlign w:val="bottom"/>
            <w:tcBorders>
              <w:top w:val="single" w:sz="8" w:color="0563C1"/>
            </w:tcBorders>
            <w:gridSpan w:val="5"/>
          </w:tcPr>
          <w:p>
            <w:pPr>
              <w:ind w:left="200"/>
              <w:spacing w:after="0"/>
              <w:rPr>
                <w:rFonts w:ascii="Arial" w:cs="Arial" w:eastAsia="Arial" w:hAnsi="Arial"/>
                <w:sz w:val="20"/>
                <w:szCs w:val="20"/>
                <w:i w:val="1"/>
                <w:iCs w:val="1"/>
                <w:color w:val="0563C1"/>
                <w:w w:val="88"/>
              </w:rPr>
            </w:pPr>
            <w:hyperlink w:anchor="page61">
              <w:r>
                <w:rPr>
                  <w:rFonts w:ascii="Arial" w:cs="Arial" w:eastAsia="Arial" w:hAnsi="Arial"/>
                  <w:sz w:val="20"/>
                  <w:szCs w:val="20"/>
                  <w:i w:val="1"/>
                  <w:iCs w:val="1"/>
                  <w:color w:val="0563C1"/>
                  <w:w w:val="88"/>
                </w:rPr>
                <w:t>Assignment</w:t>
              </w:r>
            </w:hyperlink>
          </w:p>
        </w:tc>
        <w:tc>
          <w:tcPr>
            <w:tcW w:w="8540" w:type="dxa"/>
            <w:vAlign w:val="bottom"/>
            <w:gridSpan w:val="16"/>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8</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3620" w:type="dxa"/>
            <w:vAlign w:val="bottom"/>
            <w:tcBorders>
              <w:bottom w:val="single" w:sz="8" w:color="0563C1"/>
            </w:tcBorders>
            <w:gridSpan w:val="17"/>
          </w:tcPr>
          <w:p>
            <w:pPr>
              <w:spacing w:after="0"/>
              <w:rPr>
                <w:rFonts w:ascii="Arial" w:cs="Arial" w:eastAsia="Arial" w:hAnsi="Arial"/>
                <w:sz w:val="20"/>
                <w:szCs w:val="20"/>
                <w:color w:val="0563C1"/>
                <w:w w:val="93"/>
              </w:rPr>
            </w:pPr>
            <w:hyperlink w:anchor="page61">
              <w:r>
                <w:rPr>
                  <w:rFonts w:ascii="Arial" w:cs="Arial" w:eastAsia="Arial" w:hAnsi="Arial"/>
                  <w:sz w:val="20"/>
                  <w:szCs w:val="20"/>
                  <w:color w:val="0563C1"/>
                  <w:w w:val="93"/>
                </w:rPr>
                <w:t xml:space="preserve">Section 10.12  </w:t>
              </w:r>
              <w:r>
                <w:rPr>
                  <w:rFonts w:ascii="Arial" w:cs="Arial" w:eastAsia="Arial" w:hAnsi="Arial"/>
                  <w:sz w:val="20"/>
                  <w:szCs w:val="20"/>
                  <w:i w:val="1"/>
                  <w:iCs w:val="1"/>
                  <w:color w:val="0563C1"/>
                  <w:w w:val="93"/>
                </w:rPr>
                <w:t>Non-Transferability of Rights</w:t>
              </w:r>
            </w:hyperlink>
          </w:p>
        </w:tc>
        <w:tc>
          <w:tcPr>
            <w:tcW w:w="7140" w:type="dxa"/>
            <w:vAlign w:val="bottom"/>
            <w:gridSpan w:val="5"/>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9</w:t>
              </w:r>
            </w:hyperlink>
          </w:p>
        </w:tc>
      </w:tr>
      <w:tr>
        <w:trPr>
          <w:trHeight w:val="263"/>
        </w:trPr>
        <w:tc>
          <w:tcPr>
            <w:tcW w:w="1080" w:type="dxa"/>
            <w:vAlign w:val="bottom"/>
            <w:tcBorders>
              <w:bottom w:val="single" w:sz="8" w:color="0563C1"/>
            </w:tcBorders>
          </w:tcPr>
          <w:p>
            <w:pPr>
              <w:spacing w:after="0"/>
              <w:rPr>
                <w:rFonts w:ascii="Arial" w:cs="Arial" w:eastAsia="Arial" w:hAnsi="Arial"/>
                <w:sz w:val="20"/>
                <w:szCs w:val="20"/>
                <w:color w:val="0563C1"/>
                <w:w w:val="86"/>
              </w:rPr>
            </w:pPr>
            <w:hyperlink w:anchor="page61">
              <w:r>
                <w:rPr>
                  <w:rFonts w:ascii="Arial" w:cs="Arial" w:eastAsia="Arial" w:hAnsi="Arial"/>
                  <w:sz w:val="20"/>
                  <w:szCs w:val="20"/>
                  <w:color w:val="0563C1"/>
                  <w:w w:val="86"/>
                </w:rPr>
                <w:t>Section 10.13</w:t>
              </w:r>
            </w:hyperlink>
          </w:p>
        </w:tc>
        <w:tc>
          <w:tcPr>
            <w:tcW w:w="960" w:type="dxa"/>
            <w:vAlign w:val="bottom"/>
            <w:tcBorders>
              <w:bottom w:val="single" w:sz="8" w:color="0563C1"/>
            </w:tcBorders>
            <w:gridSpan w:val="3"/>
          </w:tcPr>
          <w:p>
            <w:pPr>
              <w:ind w:left="200"/>
              <w:spacing w:after="0"/>
              <w:rPr>
                <w:rFonts w:ascii="Arial" w:cs="Arial" w:eastAsia="Arial" w:hAnsi="Arial"/>
                <w:sz w:val="20"/>
                <w:szCs w:val="20"/>
                <w:i w:val="1"/>
                <w:iCs w:val="1"/>
                <w:color w:val="0563C1"/>
                <w:w w:val="87"/>
              </w:rPr>
            </w:pPr>
            <w:hyperlink w:anchor="page61">
              <w:r>
                <w:rPr>
                  <w:rFonts w:ascii="Arial" w:cs="Arial" w:eastAsia="Arial" w:hAnsi="Arial"/>
                  <w:sz w:val="20"/>
                  <w:szCs w:val="20"/>
                  <w:i w:val="1"/>
                  <w:iCs w:val="1"/>
                  <w:color w:val="0563C1"/>
                  <w:w w:val="87"/>
                </w:rPr>
                <w:t>Headings</w:t>
              </w:r>
            </w:hyperlink>
          </w:p>
        </w:tc>
        <w:tc>
          <w:tcPr>
            <w:tcW w:w="8720" w:type="dxa"/>
            <w:vAlign w:val="bottom"/>
            <w:gridSpan w:val="18"/>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9</w:t>
              </w:r>
            </w:hyperlink>
          </w:p>
        </w:tc>
      </w:tr>
      <w:tr>
        <w:trPr>
          <w:trHeight w:val="263"/>
        </w:trPr>
        <w:tc>
          <w:tcPr>
            <w:tcW w:w="3060" w:type="dxa"/>
            <w:vAlign w:val="bottom"/>
            <w:tcBorders>
              <w:bottom w:val="single" w:sz="8" w:color="0563C1"/>
            </w:tcBorders>
            <w:gridSpan w:val="12"/>
          </w:tcPr>
          <w:p>
            <w:pPr>
              <w:spacing w:after="0"/>
              <w:rPr>
                <w:rFonts w:ascii="Arial" w:cs="Arial" w:eastAsia="Arial" w:hAnsi="Arial"/>
                <w:sz w:val="20"/>
                <w:szCs w:val="20"/>
                <w:color w:val="0563C1"/>
                <w:w w:val="92"/>
              </w:rPr>
            </w:pPr>
            <w:hyperlink w:anchor="page61">
              <w:r>
                <w:rPr>
                  <w:rFonts w:ascii="Arial" w:cs="Arial" w:eastAsia="Arial" w:hAnsi="Arial"/>
                  <w:sz w:val="20"/>
                  <w:szCs w:val="20"/>
                  <w:color w:val="0563C1"/>
                  <w:w w:val="92"/>
                </w:rPr>
                <w:t xml:space="preserve">Section 10.14  </w:t>
              </w:r>
              <w:r>
                <w:rPr>
                  <w:rFonts w:ascii="Arial" w:cs="Arial" w:eastAsia="Arial" w:hAnsi="Arial"/>
                  <w:sz w:val="20"/>
                  <w:szCs w:val="20"/>
                  <w:i w:val="1"/>
                  <w:iCs w:val="1"/>
                  <w:color w:val="0563C1"/>
                  <w:w w:val="92"/>
                </w:rPr>
                <w:t>Rules of Construction</w:t>
              </w:r>
              <w:r>
                <w:rPr>
                  <w:rFonts w:ascii="Arial" w:cs="Arial" w:eastAsia="Arial" w:hAnsi="Arial"/>
                  <w:sz w:val="20"/>
                  <w:szCs w:val="20"/>
                  <w:color w:val="0563C1"/>
                  <w:w w:val="92"/>
                </w:rPr>
                <w:t>.</w:t>
              </w:r>
            </w:hyperlink>
          </w:p>
        </w:tc>
        <w:tc>
          <w:tcPr>
            <w:tcW w:w="7700" w:type="dxa"/>
            <w:vAlign w:val="bottom"/>
            <w:gridSpan w:val="10"/>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9</w:t>
              </w:r>
            </w:hyperlink>
          </w:p>
        </w:tc>
      </w:tr>
      <w:tr>
        <w:trPr>
          <w:trHeight w:val="264"/>
        </w:trPr>
        <w:tc>
          <w:tcPr>
            <w:tcW w:w="1080" w:type="dxa"/>
            <w:vAlign w:val="bottom"/>
          </w:tcPr>
          <w:p>
            <w:pPr>
              <w:spacing w:after="0"/>
              <w:rPr>
                <w:rFonts w:ascii="Arial" w:cs="Arial" w:eastAsia="Arial" w:hAnsi="Arial"/>
                <w:sz w:val="20"/>
                <w:szCs w:val="20"/>
                <w:color w:val="0563C1"/>
                <w:w w:val="86"/>
              </w:rPr>
            </w:pPr>
            <w:hyperlink w:anchor="page61">
              <w:r>
                <w:rPr>
                  <w:rFonts w:ascii="Arial" w:cs="Arial" w:eastAsia="Arial" w:hAnsi="Arial"/>
                  <w:sz w:val="20"/>
                  <w:szCs w:val="20"/>
                  <w:color w:val="0563C1"/>
                  <w:w w:val="86"/>
                </w:rPr>
                <w:t>Section 10.15</w:t>
              </w:r>
            </w:hyperlink>
          </w:p>
        </w:tc>
        <w:tc>
          <w:tcPr>
            <w:tcW w:w="9680" w:type="dxa"/>
            <w:vAlign w:val="bottom"/>
            <w:gridSpan w:val="21"/>
          </w:tcPr>
          <w:p>
            <w:pPr>
              <w:ind w:left="20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Governing Law</w:t>
              </w:r>
              <w:r>
                <w:rPr>
                  <w:rFonts w:ascii="Arial" w:cs="Arial" w:eastAsia="Arial" w:hAnsi="Arial"/>
                  <w:sz w:val="20"/>
                  <w:szCs w:val="20"/>
                  <w:color w:val="0563C1"/>
                </w:rPr>
                <w: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9</w:t>
              </w:r>
            </w:hyperlink>
          </w:p>
        </w:tc>
      </w:tr>
      <w:tr>
        <w:trPr>
          <w:trHeight w:val="20"/>
        </w:trPr>
        <w:tc>
          <w:tcPr>
            <w:tcW w:w="2540" w:type="dxa"/>
            <w:vAlign w:val="bottom"/>
            <w:tcBorders>
              <w:right w:val="single" w:sz="8" w:color="0563C1"/>
            </w:tcBorders>
            <w:gridSpan w:val="9"/>
            <w:shd w:val="clear" w:color="auto" w:fill="0563C1"/>
          </w:tcPr>
          <w:p>
            <w:pPr>
              <w:spacing w:after="0" w:line="20" w:lineRule="exact"/>
              <w:rPr>
                <w:sz w:val="1"/>
                <w:szCs w:val="1"/>
                <w:color w:val="auto"/>
              </w:rPr>
            </w:pPr>
          </w:p>
        </w:tc>
        <w:tc>
          <w:tcPr>
            <w:tcW w:w="900" w:type="dxa"/>
            <w:vAlign w:val="bottom"/>
            <w:tcBorders>
              <w:left w:val="single" w:sz="8" w:color="0563C1"/>
            </w:tcBorders>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3740" w:type="dxa"/>
            <w:vAlign w:val="bottom"/>
            <w:tcBorders>
              <w:bottom w:val="single" w:sz="8" w:color="0563C1"/>
            </w:tcBorders>
            <w:gridSpan w:val="18"/>
          </w:tcPr>
          <w:p>
            <w:pPr>
              <w:spacing w:after="0"/>
              <w:rPr>
                <w:rFonts w:ascii="Arial" w:cs="Arial" w:eastAsia="Arial" w:hAnsi="Arial"/>
                <w:sz w:val="20"/>
                <w:szCs w:val="20"/>
                <w:color w:val="0563C1"/>
                <w:w w:val="92"/>
              </w:rPr>
            </w:pPr>
            <w:hyperlink w:anchor="page61">
              <w:r>
                <w:rPr>
                  <w:rFonts w:ascii="Arial" w:cs="Arial" w:eastAsia="Arial" w:hAnsi="Arial"/>
                  <w:sz w:val="20"/>
                  <w:szCs w:val="20"/>
                  <w:color w:val="0563C1"/>
                  <w:w w:val="92"/>
                </w:rPr>
                <w:t xml:space="preserve">Section 10.16  </w:t>
              </w:r>
              <w:r>
                <w:rPr>
                  <w:rFonts w:ascii="Arial" w:cs="Arial" w:eastAsia="Arial" w:hAnsi="Arial"/>
                  <w:sz w:val="20"/>
                  <w:szCs w:val="20"/>
                  <w:i w:val="1"/>
                  <w:iCs w:val="1"/>
                  <w:color w:val="0563C1"/>
                  <w:w w:val="92"/>
                </w:rPr>
                <w:t>Conformity to Securities Laws</w:t>
              </w:r>
              <w:r>
                <w:rPr>
                  <w:rFonts w:ascii="Arial" w:cs="Arial" w:eastAsia="Arial" w:hAnsi="Arial"/>
                  <w:sz w:val="20"/>
                  <w:szCs w:val="20"/>
                  <w:color w:val="0563C1"/>
                  <w:w w:val="92"/>
                </w:rPr>
                <w:t>.</w:t>
              </w:r>
            </w:hyperlink>
          </w:p>
        </w:tc>
        <w:tc>
          <w:tcPr>
            <w:tcW w:w="7020" w:type="dxa"/>
            <w:vAlign w:val="bottom"/>
            <w:gridSpan w:val="4"/>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9</w:t>
              </w:r>
            </w:hyperlink>
          </w:p>
        </w:tc>
      </w:tr>
      <w:tr>
        <w:trPr>
          <w:trHeight w:val="263"/>
        </w:trPr>
        <w:tc>
          <w:tcPr>
            <w:tcW w:w="10760" w:type="dxa"/>
            <w:vAlign w:val="bottom"/>
            <w:gridSpan w:val="22"/>
          </w:tcPr>
          <w:p>
            <w:pPr>
              <w:spacing w:after="0"/>
              <w:rPr>
                <w:rFonts w:ascii="Arial" w:cs="Arial" w:eastAsia="Arial" w:hAnsi="Arial"/>
                <w:sz w:val="20"/>
                <w:szCs w:val="20"/>
                <w:color w:val="0563C1"/>
              </w:rPr>
            </w:pPr>
            <w:hyperlink w:anchor="page61">
              <w:r>
                <w:rPr>
                  <w:rFonts w:ascii="Arial" w:cs="Arial" w:eastAsia="Arial" w:hAnsi="Arial"/>
                  <w:sz w:val="20"/>
                  <w:szCs w:val="20"/>
                  <w:color w:val="0563C1"/>
                </w:rPr>
                <w:t xml:space="preserve">Section 10.17  </w:t>
              </w:r>
              <w:r>
                <w:rPr>
                  <w:rFonts w:ascii="Arial" w:cs="Arial" w:eastAsia="Arial" w:hAnsi="Arial"/>
                  <w:sz w:val="20"/>
                  <w:szCs w:val="20"/>
                  <w:i w:val="1"/>
                  <w:iCs w:val="1"/>
                  <w:color w:val="0563C1"/>
                </w:rPr>
                <w:t>Tax Reporting Information</w:t>
              </w:r>
              <w:r>
                <w:rPr>
                  <w:rFonts w:ascii="Arial" w:cs="Arial" w:eastAsia="Arial" w:hAnsi="Arial"/>
                  <w:sz w:val="20"/>
                  <w:szCs w:val="20"/>
                  <w:color w:val="0563C1"/>
                </w:rPr>
                <w: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9</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2360" w:type="dxa"/>
            <w:vAlign w:val="bottom"/>
            <w:gridSpan w:val="14"/>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1080" w:type="dxa"/>
            <w:vAlign w:val="bottom"/>
          </w:tcPr>
          <w:p>
            <w:pPr>
              <w:spacing w:after="0"/>
              <w:rPr>
                <w:rFonts w:ascii="Arial" w:cs="Arial" w:eastAsia="Arial" w:hAnsi="Arial"/>
                <w:sz w:val="20"/>
                <w:szCs w:val="20"/>
                <w:color w:val="0563C1"/>
                <w:w w:val="86"/>
              </w:rPr>
            </w:pPr>
            <w:hyperlink w:anchor="page61">
              <w:r>
                <w:rPr>
                  <w:rFonts w:ascii="Arial" w:cs="Arial" w:eastAsia="Arial" w:hAnsi="Arial"/>
                  <w:sz w:val="20"/>
                  <w:szCs w:val="20"/>
                  <w:color w:val="0563C1"/>
                  <w:w w:val="86"/>
                </w:rPr>
                <w:t>Section 10.18</w:t>
              </w:r>
            </w:hyperlink>
          </w:p>
        </w:tc>
        <w:tc>
          <w:tcPr>
            <w:tcW w:w="9680" w:type="dxa"/>
            <w:vAlign w:val="bottom"/>
            <w:gridSpan w:val="21"/>
          </w:tcPr>
          <w:p>
            <w:pPr>
              <w:ind w:left="200"/>
              <w:spacing w:after="0"/>
              <w:rPr>
                <w:rFonts w:ascii="Arial" w:cs="Arial" w:eastAsia="Arial" w:hAnsi="Arial"/>
                <w:sz w:val="20"/>
                <w:szCs w:val="20"/>
                <w:i w:val="1"/>
                <w:iCs w:val="1"/>
                <w:color w:val="0563C1"/>
              </w:rPr>
            </w:pPr>
            <w:hyperlink w:anchor="page61">
              <w:r>
                <w:rPr>
                  <w:rFonts w:ascii="Arial" w:cs="Arial" w:eastAsia="Arial" w:hAnsi="Arial"/>
                  <w:sz w:val="20"/>
                  <w:szCs w:val="20"/>
                  <w:i w:val="1"/>
                  <w:iCs w:val="1"/>
                  <w:color w:val="0563C1"/>
                </w:rPr>
                <w:t>Participant Acknowledgment</w:t>
              </w:r>
            </w:hyperlink>
          </w:p>
        </w:tc>
        <w:tc>
          <w:tcPr>
            <w:tcW w:w="100" w:type="dxa"/>
            <w:vAlign w:val="bottom"/>
          </w:tcPr>
          <w:p>
            <w:pPr>
              <w:jc w:val="right"/>
              <w:spacing w:after="0"/>
              <w:rPr>
                <w:rFonts w:ascii="Arial" w:cs="Arial" w:eastAsia="Arial" w:hAnsi="Arial"/>
                <w:sz w:val="20"/>
                <w:szCs w:val="20"/>
                <w:color w:val="auto"/>
                <w:w w:val="71"/>
              </w:rPr>
            </w:pPr>
            <w:hyperlink w:anchor="page61">
              <w:r>
                <w:rPr>
                  <w:rFonts w:ascii="Arial" w:cs="Arial" w:eastAsia="Arial" w:hAnsi="Arial"/>
                  <w:sz w:val="20"/>
                  <w:szCs w:val="20"/>
                  <w:color w:val="auto"/>
                  <w:w w:val="71"/>
                </w:rPr>
                <w:t>9</w:t>
              </w:r>
            </w:hyperlink>
          </w:p>
        </w:tc>
      </w:tr>
      <w:tr>
        <w:trPr>
          <w:trHeight w:val="20"/>
        </w:trPr>
        <w:tc>
          <w:tcPr>
            <w:tcW w:w="108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8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060"/>
          </w:cols>
          <w:pgMar w:left="400" w:top="118" w:right="4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0"/>
          <w:szCs w:val="20"/>
          <w:b w:val="1"/>
          <w:bCs w:val="1"/>
          <w:color w:val="262626"/>
        </w:rPr>
        <w:t>Priority Technology Holdings,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62626"/>
        </w:rPr>
        <w:t>2021 Employee Stock Purchase Plan</w:t>
      </w:r>
    </w:p>
    <w:p>
      <w:pPr>
        <w:spacing w:after="0" w:line="216"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Purpose</w:t>
      </w:r>
    </w:p>
    <w:p>
      <w:pPr>
        <w:spacing w:after="0" w:line="20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purpose of the Priority Technology Holdings, Inc. 2021 Employee Stock Purchase Plan (the “</w:t>
      </w:r>
      <w:r>
        <w:rPr>
          <w:rFonts w:ascii="Arial" w:cs="Arial" w:eastAsia="Arial" w:hAnsi="Arial"/>
          <w:sz w:val="18"/>
          <w:szCs w:val="18"/>
          <w:i w:val="1"/>
          <w:iCs w:val="1"/>
          <w:color w:val="auto"/>
        </w:rPr>
        <w:t>Plan</w:t>
      </w:r>
      <w:r>
        <w:rPr>
          <w:rFonts w:ascii="Arial" w:cs="Arial" w:eastAsia="Arial" w:hAnsi="Arial"/>
          <w:sz w:val="18"/>
          <w:szCs w:val="18"/>
          <w:color w:val="auto"/>
        </w:rPr>
        <w:t>”) is to provide employees of the Company and certain of its Subsidiaries with an opportunity to purchase Common Stock of the Company through payroll deductions. The Plan is intended to qualify as an “employee stock purchase plan” under Section 423 of the Code. Accordingly, the provisions of the Plan shall be construed in a manner consistent with the requirements of Section 423 of the Code and the regulations promulgated thereunder.</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Definitions. </w:t>
      </w:r>
      <w:r>
        <w:rPr>
          <w:rFonts w:ascii="Arial" w:cs="Arial" w:eastAsia="Arial" w:hAnsi="Arial"/>
          <w:sz w:val="20"/>
          <w:szCs w:val="20"/>
          <w:color w:val="auto"/>
        </w:rPr>
        <w:t>Whenever used herein, the following terms shall have the respective meanings set forth below:</w:t>
      </w:r>
    </w:p>
    <w:p>
      <w:pPr>
        <w:spacing w:after="0" w:line="216" w:lineRule="exact"/>
        <w:rPr>
          <w:sz w:val="20"/>
          <w:szCs w:val="20"/>
          <w:color w:val="auto"/>
        </w:rPr>
      </w:pPr>
    </w:p>
    <w:p>
      <w:pPr>
        <w:jc w:val="both"/>
        <w:ind w:right="300" w:firstLine="8"/>
        <w:spacing w:after="0" w:line="385" w:lineRule="auto"/>
        <w:tabs>
          <w:tab w:leader="none" w:pos="638"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“Acquisition Date" </w:t>
      </w:r>
      <w:r>
        <w:rPr>
          <w:rFonts w:ascii="Arial" w:cs="Arial" w:eastAsia="Arial" w:hAnsi="Arial"/>
          <w:sz w:val="16"/>
          <w:szCs w:val="16"/>
          <w:color w:val="auto"/>
        </w:rPr>
        <w:t>means the last day of each Offering Period at which time the Shares subject to a Share Purchase Right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shall, subject to the terms and conditions of the Plan, be deemed to have been purchased by or on behalf of the Participant.</w:t>
      </w:r>
    </w:p>
    <w:p>
      <w:pPr>
        <w:spacing w:after="0" w:line="84" w:lineRule="exact"/>
        <w:rPr>
          <w:rFonts w:ascii="Arial" w:cs="Arial" w:eastAsia="Arial" w:hAnsi="Arial"/>
          <w:sz w:val="16"/>
          <w:szCs w:val="16"/>
          <w:color w:val="auto"/>
        </w:rPr>
      </w:pPr>
    </w:p>
    <w:p>
      <w:pPr>
        <w:ind w:right="180" w:firstLine="8"/>
        <w:spacing w:after="0" w:line="282" w:lineRule="auto"/>
        <w:tabs>
          <w:tab w:leader="none" w:pos="63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unless the Board delegates administrative authority hereunder to a committee of the Board,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case it means such committee of the Board. If the Board or such committee delegates administrative authority hereunder to any other person or group of persons pursuant to Section 10.2, such person or group of persons shall be deemed to be the Administrator hereunder to such extent, except that further delegation by any such persons other than such committee shall not be permitted hereunder.</w:t>
      </w:r>
    </w:p>
    <w:p>
      <w:pPr>
        <w:spacing w:after="0" w:line="161" w:lineRule="exact"/>
        <w:rPr>
          <w:rFonts w:ascii="Arial" w:cs="Arial" w:eastAsia="Arial" w:hAnsi="Arial"/>
          <w:sz w:val="18"/>
          <w:szCs w:val="18"/>
          <w:color w:val="auto"/>
        </w:rPr>
      </w:pPr>
    </w:p>
    <w:p>
      <w:pPr>
        <w:ind w:right="360" w:firstLine="8"/>
        <w:spacing w:after="0" w:line="287" w:lineRule="auto"/>
        <w:tabs>
          <w:tab w:leader="none" w:pos="638"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 xml:space="preserve">“Affiliate” </w:t>
      </w:r>
      <w:r>
        <w:rPr>
          <w:rFonts w:ascii="Arial" w:cs="Arial" w:eastAsia="Arial" w:hAnsi="Arial"/>
          <w:sz w:val="19"/>
          <w:szCs w:val="19"/>
          <w:color w:val="auto"/>
        </w:rPr>
        <w:t>means, with respect to any Person, any other Person directly or indirectly controlling, controlled by or under common</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with, such Person where “control” shall have the meaning given such term under Rule 405 of the Securities Act.</w:t>
      </w:r>
    </w:p>
    <w:p>
      <w:pPr>
        <w:spacing w:after="0" w:line="152" w:lineRule="exact"/>
        <w:rPr>
          <w:rFonts w:ascii="Arial" w:cs="Arial" w:eastAsia="Arial" w:hAnsi="Arial"/>
          <w:sz w:val="19"/>
          <w:szCs w:val="19"/>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“Board" </w:t>
      </w:r>
      <w:r>
        <w:rPr>
          <w:rFonts w:ascii="Arial" w:cs="Arial" w:eastAsia="Arial" w:hAnsi="Arial"/>
          <w:sz w:val="20"/>
          <w:szCs w:val="20"/>
          <w:color w:val="auto"/>
        </w:rPr>
        <w:t>means the Board of Directors of the Company.</w:t>
      </w:r>
    </w:p>
    <w:p>
      <w:pPr>
        <w:spacing w:after="0" w:line="215" w:lineRule="exact"/>
        <w:rPr>
          <w:rFonts w:ascii="Arial" w:cs="Arial" w:eastAsia="Arial" w:hAnsi="Arial"/>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“Change in Control” </w:t>
      </w:r>
      <w:r>
        <w:rPr>
          <w:rFonts w:ascii="Arial" w:cs="Arial" w:eastAsia="Arial" w:hAnsi="Arial"/>
          <w:sz w:val="20"/>
          <w:szCs w:val="20"/>
          <w:color w:val="auto"/>
        </w:rPr>
        <w:t>means the first to occur of any of the following events after the Effective Date:</w:t>
      </w:r>
    </w:p>
    <w:p>
      <w:pPr>
        <w:spacing w:after="0" w:line="215" w:lineRule="exact"/>
        <w:rPr>
          <w:rFonts w:ascii="Arial" w:cs="Arial" w:eastAsia="Arial" w:hAnsi="Arial"/>
          <w:sz w:val="20"/>
          <w:szCs w:val="20"/>
          <w:color w:val="auto"/>
        </w:rPr>
      </w:pPr>
    </w:p>
    <w:p>
      <w:pPr>
        <w:ind w:left="1300" w:hanging="644"/>
        <w:spacing w:after="0" w:line="243" w:lineRule="auto"/>
        <w:tabs>
          <w:tab w:leader="none" w:pos="1298"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“person,” as such term is used in Sections 13(d) and 14(d) of the Exchange Act (other than the Company, any trustee or other fiduciary holding securities under an employee benefit plan of the Company or any Affiliate, or any Company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thirty percent (30%) or more of the combined voting power of the Company’s then outstanding securities provided, however, that the Company securities acquired directly from the Company shall be disregarded for this purpose;</w:t>
      </w:r>
    </w:p>
    <w:p>
      <w:pPr>
        <w:spacing w:after="0" w:line="192" w:lineRule="exact"/>
        <w:rPr>
          <w:rFonts w:ascii="Arial" w:cs="Arial" w:eastAsia="Arial" w:hAnsi="Arial"/>
          <w:sz w:val="20"/>
          <w:szCs w:val="20"/>
          <w:color w:val="auto"/>
        </w:rPr>
      </w:pPr>
    </w:p>
    <w:p>
      <w:pPr>
        <w:ind w:left="1300" w:right="20" w:hanging="644"/>
        <w:spacing w:after="0" w:line="269" w:lineRule="auto"/>
        <w:tabs>
          <w:tab w:leader="none" w:pos="12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during any period of twelve (12) consecutive months, individuals who at the beginning of such period constitute the Board, and any new director (other than a director designated by a person who has entered into an agreement with the Company to effect a transaction described in clause (i), (iii) or (iv) of this Section and other than a director initially elected or nominated as a result of an actual or threatened election contest with respect to directors) whose election by the Board or nomination for election by the Company’s stockholders was approved by a vote of a majority of the directors then still in office who either</w:t>
      </w:r>
    </w:p>
    <w:p>
      <w:pPr>
        <w:spacing w:after="0" w:line="3" w:lineRule="exact"/>
        <w:rPr>
          <w:rFonts w:ascii="Arial" w:cs="Arial" w:eastAsia="Arial" w:hAnsi="Arial"/>
          <w:sz w:val="18"/>
          <w:szCs w:val="18"/>
          <w:color w:val="auto"/>
        </w:rPr>
      </w:pPr>
    </w:p>
    <w:p>
      <w:pPr>
        <w:ind w:left="1300" w:right="460"/>
        <w:spacing w:after="0" w:line="244" w:lineRule="auto"/>
        <w:rPr>
          <w:rFonts w:ascii="Arial" w:cs="Arial" w:eastAsia="Arial" w:hAnsi="Arial"/>
          <w:sz w:val="18"/>
          <w:szCs w:val="18"/>
          <w:color w:val="auto"/>
        </w:rPr>
      </w:pPr>
      <w:r>
        <w:rPr>
          <w:rFonts w:ascii="Arial" w:cs="Arial" w:eastAsia="Arial" w:hAnsi="Arial"/>
          <w:sz w:val="20"/>
          <w:szCs w:val="20"/>
          <w:color w:val="auto"/>
        </w:rPr>
        <w:t>(x) were directors at the beginning of such period or (y) were so elected or nominated with such approval, cease for any reason to constitute at least a majority of the Board;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94" w:right="339" w:bottom="1440" w:gutter="0" w:footer="0" w:header="0"/>
        </w:sectPr>
      </w:pPr>
    </w:p>
    <w:bookmarkStart w:id="62" w:name="page63"/>
    <w:bookmarkEnd w:id="62"/>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consummated a stockholder-approved merger or consolidation of the Company with any other company, other than</w:t>
      </w:r>
    </w:p>
    <w:p>
      <w:pPr>
        <w:spacing w:after="0" w:line="38" w:lineRule="exact"/>
        <w:rPr>
          <w:rFonts w:ascii="Arial" w:cs="Arial" w:eastAsia="Arial" w:hAnsi="Arial"/>
          <w:sz w:val="18"/>
          <w:szCs w:val="18"/>
          <w:color w:val="auto"/>
        </w:rPr>
      </w:pPr>
    </w:p>
    <w:p>
      <w:pPr>
        <w:ind w:left="1300" w:right="20" w:firstLine="4"/>
        <w:spacing w:after="0" w:line="272" w:lineRule="auto"/>
        <w:tabs>
          <w:tab w:leader="none" w:pos="1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combined voting power of the voting securities of the Company or such surviving entity outstanding immediately after such merger or consolidation or (y) a merger or consolidation effected to implement a recapitalization of the Company (or similar transaction) in which no “person” (as hereinabove defined) acquires more than thirty percent (30%) of the combined voting power of the Company’s then outstanding securities; or</w:t>
      </w:r>
    </w:p>
    <w:p>
      <w:pPr>
        <w:spacing w:after="0" w:line="169" w:lineRule="exact"/>
        <w:rPr>
          <w:rFonts w:ascii="Arial" w:cs="Arial" w:eastAsia="Arial" w:hAnsi="Arial"/>
          <w:sz w:val="18"/>
          <w:szCs w:val="18"/>
          <w:color w:val="auto"/>
        </w:rPr>
      </w:pPr>
    </w:p>
    <w:p>
      <w:pPr>
        <w:ind w:left="1300" w:right="240" w:hanging="644"/>
        <w:spacing w:after="0" w:line="260" w:lineRule="auto"/>
        <w:tabs>
          <w:tab w:leader="none" w:pos="1289"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there is consummated an agreement for the sale or disposition by the Company of all or substantially all of the Company’s assets; or</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 xml:space="preserve">in each of the foregoing cases, </w:t>
      </w:r>
      <w:r>
        <w:rPr>
          <w:rFonts w:ascii="Arial" w:cs="Arial" w:eastAsia="Arial" w:hAnsi="Arial"/>
          <w:sz w:val="20"/>
          <w:szCs w:val="20"/>
          <w:i w:val="1"/>
          <w:iCs w:val="1"/>
          <w:color w:val="auto"/>
        </w:rPr>
        <w:t>provided that</w:t>
      </w:r>
      <w:r>
        <w:rPr>
          <w:rFonts w:ascii="Arial" w:cs="Arial" w:eastAsia="Arial" w:hAnsi="Arial"/>
          <w:sz w:val="20"/>
          <w:szCs w:val="20"/>
          <w:color w:val="auto"/>
        </w:rPr>
        <w:t>, as to Share Repurchase Rights subject to Section 409A of the Code, such event also constitutes a “change in control” within the meaning of Section 409A of the Code. In addition, notwithstanding the foregoing, a Change in Control shall not be deemed to occur if the Company files for bankruptcy, liquidation or reorganization under the United States Bankruptcy Code or as a result of any restructuring that occurs as a result of any such proceeding.</w:t>
      </w:r>
    </w:p>
    <w:p>
      <w:pPr>
        <w:spacing w:after="0" w:line="19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“Change in Control Date” </w:t>
      </w:r>
      <w:r>
        <w:rPr>
          <w:rFonts w:ascii="Arial" w:cs="Arial" w:eastAsia="Arial" w:hAnsi="Arial"/>
          <w:sz w:val="20"/>
          <w:szCs w:val="20"/>
          <w:color w:val="auto"/>
        </w:rPr>
        <w:t>means the first date as of which a Change in Control occurs.</w:t>
      </w:r>
    </w:p>
    <w:p>
      <w:pPr>
        <w:spacing w:after="0" w:line="215" w:lineRule="exact"/>
        <w:rPr>
          <w:rFonts w:ascii="Arial" w:cs="Arial" w:eastAsia="Arial" w:hAnsi="Arial"/>
          <w:sz w:val="20"/>
          <w:szCs w:val="20"/>
          <w:color w:val="auto"/>
        </w:rPr>
      </w:pPr>
    </w:p>
    <w:p>
      <w:pPr>
        <w:ind w:left="640" w:hanging="632"/>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“Code” </w:t>
      </w:r>
      <w:r>
        <w:rPr>
          <w:rFonts w:ascii="Arial" w:cs="Arial" w:eastAsia="Arial" w:hAnsi="Arial"/>
          <w:sz w:val="20"/>
          <w:szCs w:val="20"/>
          <w:color w:val="auto"/>
        </w:rPr>
        <w:t>means the Internal Revenue Code of 1986, as amended.</w:t>
      </w:r>
    </w:p>
    <w:p>
      <w:pPr>
        <w:spacing w:after="0" w:line="215" w:lineRule="exact"/>
        <w:rPr>
          <w:rFonts w:ascii="Arial" w:cs="Arial" w:eastAsia="Arial" w:hAnsi="Arial"/>
          <w:sz w:val="20"/>
          <w:szCs w:val="20"/>
          <w:color w:val="auto"/>
        </w:rPr>
      </w:pPr>
    </w:p>
    <w:p>
      <w:pPr>
        <w:ind w:right="80" w:firstLine="8"/>
        <w:spacing w:after="0" w:line="260" w:lineRule="auto"/>
        <w:tabs>
          <w:tab w:leader="none" w:pos="636"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“Common Stock” </w:t>
      </w:r>
      <w:r>
        <w:rPr>
          <w:rFonts w:ascii="Arial" w:cs="Arial" w:eastAsia="Arial" w:hAnsi="Arial"/>
          <w:sz w:val="20"/>
          <w:szCs w:val="20"/>
          <w:color w:val="auto"/>
        </w:rPr>
        <w:t>means the common stock, par value $.001 per share, of the Company and such other stock or securities into which</w:t>
      </w:r>
      <w:r>
        <w:rPr>
          <w:rFonts w:ascii="Arial" w:cs="Arial" w:eastAsia="Arial" w:hAnsi="Arial"/>
          <w:sz w:val="20"/>
          <w:szCs w:val="20"/>
          <w:i w:val="1"/>
          <w:iCs w:val="1"/>
          <w:color w:val="auto"/>
        </w:rPr>
        <w:t xml:space="preserve"> </w:t>
      </w:r>
      <w:r>
        <w:rPr>
          <w:rFonts w:ascii="Arial" w:cs="Arial" w:eastAsia="Arial" w:hAnsi="Arial"/>
          <w:sz w:val="20"/>
          <w:szCs w:val="20"/>
          <w:color w:val="auto"/>
        </w:rPr>
        <w:t>such common stock is hereafter converted or for which such common stock is exchanged.</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“Company" </w:t>
      </w:r>
      <w:r>
        <w:rPr>
          <w:rFonts w:ascii="Arial" w:cs="Arial" w:eastAsia="Arial" w:hAnsi="Arial"/>
          <w:sz w:val="20"/>
          <w:szCs w:val="20"/>
          <w:color w:val="auto"/>
        </w:rPr>
        <w:t>means Priority Technology Holdings, Inc., a Delaware corporation, and any successor thereto.</w:t>
      </w:r>
    </w:p>
    <w:p>
      <w:pPr>
        <w:spacing w:after="0" w:line="215" w:lineRule="exact"/>
        <w:rPr>
          <w:rFonts w:ascii="Arial" w:cs="Arial" w:eastAsia="Arial" w:hAnsi="Arial"/>
          <w:sz w:val="20"/>
          <w:szCs w:val="20"/>
          <w:color w:val="auto"/>
        </w:rPr>
      </w:pPr>
    </w:p>
    <w:p>
      <w:pPr>
        <w:ind w:firstLine="8"/>
        <w:spacing w:after="0" w:line="255" w:lineRule="auto"/>
        <w:tabs>
          <w:tab w:leader="none" w:pos="646"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 xml:space="preserve">“Compensation” </w:t>
      </w:r>
      <w:r>
        <w:rPr>
          <w:rFonts w:ascii="Arial" w:cs="Arial" w:eastAsia="Arial" w:hAnsi="Arial"/>
          <w:sz w:val="19"/>
          <w:szCs w:val="19"/>
          <w:color w:val="auto"/>
        </w:rPr>
        <w:t>means earnings paid by the Company or any Subsidiary during a plan year for personal services, prior to</w:t>
      </w:r>
      <w:r>
        <w:rPr>
          <w:rFonts w:ascii="Arial" w:cs="Arial" w:eastAsia="Arial" w:hAnsi="Arial"/>
          <w:sz w:val="19"/>
          <w:szCs w:val="19"/>
          <w:i w:val="1"/>
          <w:iCs w:val="1"/>
          <w:color w:val="auto"/>
        </w:rPr>
        <w:t xml:space="preserve"> </w:t>
      </w:r>
      <w:r>
        <w:rPr>
          <w:rFonts w:ascii="Arial" w:cs="Arial" w:eastAsia="Arial" w:hAnsi="Arial"/>
          <w:sz w:val="19"/>
          <w:szCs w:val="19"/>
          <w:color w:val="auto"/>
        </w:rPr>
        <w:t>withholding, as reported on Form W-2, including bonus and incentive payments and commissions, but excluding employer contributions or benefits under the Company’s 401(k) Savings Plan or any other plan of deferred compensation maintained by the Company or any Subsidiary and excluding special allowances (such as statutory disability pay and disability benefits paid to an Employee during an authorized leave of absence, moving expenses, car expenses, tuition reimbursement, meal allowances, the cost of excess group life insurance income includible in taxable income, and similar items) and excluding the taxable value of any awards and/or gifts, including cash gifts, spiffs, gift certificates, gift cards, and similar items of readily convertible cash value given to an Employee by the Company or any Subsidiary in connection with a holiday or occasional corporate event. Compensation includes all pre-tax or Roth post-tax contributions to the Company’s 401(k) Savings Plan, any salary reduction contributions to a cafeteria plan under section 125 of the Code, and any elective amounts that are not includible in your gross income under Code section 132(f)(4).</w:t>
      </w:r>
    </w:p>
    <w:p>
      <w:pPr>
        <w:spacing w:after="0" w:line="189" w:lineRule="exact"/>
        <w:rPr>
          <w:rFonts w:ascii="Arial" w:cs="Arial" w:eastAsia="Arial" w:hAnsi="Arial"/>
          <w:sz w:val="19"/>
          <w:szCs w:val="19"/>
          <w:color w:val="auto"/>
        </w:rPr>
      </w:pPr>
    </w:p>
    <w:p>
      <w:pPr>
        <w:ind w:right="20" w:firstLine="8"/>
        <w:spacing w:after="0" w:line="263" w:lineRule="auto"/>
        <w:tabs>
          <w:tab w:leader="none" w:pos="636"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 xml:space="preserve">“Contribution” </w:t>
      </w:r>
      <w:r>
        <w:rPr>
          <w:rFonts w:ascii="Arial" w:cs="Arial" w:eastAsia="Arial" w:hAnsi="Arial"/>
          <w:sz w:val="19"/>
          <w:szCs w:val="19"/>
          <w:color w:val="auto"/>
        </w:rPr>
        <w:t>means the amount of an after-tax payroll deduction an Employee has made, as set out in such Employee payroll</w:t>
      </w:r>
      <w:r>
        <w:rPr>
          <w:rFonts w:ascii="Arial" w:cs="Arial" w:eastAsia="Arial" w:hAnsi="Arial"/>
          <w:sz w:val="19"/>
          <w:szCs w:val="19"/>
          <w:i w:val="1"/>
          <w:iCs w:val="1"/>
          <w:color w:val="auto"/>
        </w:rPr>
        <w:t xml:space="preserve"> </w:t>
      </w:r>
      <w:r>
        <w:rPr>
          <w:rFonts w:ascii="Arial" w:cs="Arial" w:eastAsia="Arial" w:hAnsi="Arial"/>
          <w:sz w:val="19"/>
          <w:szCs w:val="19"/>
          <w:color w:val="auto"/>
        </w:rPr>
        <w:t>deduction authorization form. If the Administrator so determines, a Contribution for Employees on a Company-approved leave of absence shall include a cash contribution equal to the amount of the after-tax payroll deduction the Employee would have made if such Employee had been receiving Compensation during the Company-approved leave of absence.</w:t>
      </w:r>
    </w:p>
    <w:p>
      <w:pPr>
        <w:spacing w:after="0" w:line="176" w:lineRule="exact"/>
        <w:rPr>
          <w:rFonts w:ascii="Arial" w:cs="Arial" w:eastAsia="Arial" w:hAnsi="Arial"/>
          <w:sz w:val="19"/>
          <w:szCs w:val="19"/>
          <w:color w:val="auto"/>
        </w:rPr>
      </w:pPr>
    </w:p>
    <w:p>
      <w:pPr>
        <w:ind w:right="180" w:firstLine="8"/>
        <w:spacing w:after="0" w:line="260" w:lineRule="auto"/>
        <w:tabs>
          <w:tab w:leader="none" w:pos="646"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“Effective Date” </w:t>
      </w:r>
      <w:r>
        <w:rPr>
          <w:rFonts w:ascii="Arial" w:cs="Arial" w:eastAsia="Arial" w:hAnsi="Arial"/>
          <w:sz w:val="20"/>
          <w:szCs w:val="20"/>
          <w:color w:val="auto"/>
        </w:rPr>
        <w:t>means the date on which the Plan is approved by the shareholders of the Company, which date shall be within the</w:t>
      </w:r>
      <w:r>
        <w:rPr>
          <w:rFonts w:ascii="Arial" w:cs="Arial" w:eastAsia="Arial" w:hAnsi="Arial"/>
          <w:sz w:val="20"/>
          <w:szCs w:val="20"/>
          <w:i w:val="1"/>
          <w:iCs w:val="1"/>
          <w:color w:val="auto"/>
        </w:rPr>
        <w:t xml:space="preserve"> </w:t>
      </w:r>
      <w:r>
        <w:rPr>
          <w:rFonts w:ascii="Arial" w:cs="Arial" w:eastAsia="Arial" w:hAnsi="Arial"/>
          <w:sz w:val="20"/>
          <w:szCs w:val="20"/>
          <w:color w:val="auto"/>
        </w:rPr>
        <w:t>twelve months before or after the date the Plan is approved by the Board.</w:t>
      </w:r>
    </w:p>
    <w:p>
      <w:pPr>
        <w:spacing w:after="0" w:line="176" w:lineRule="exact"/>
        <w:rPr>
          <w:rFonts w:ascii="Arial" w:cs="Arial" w:eastAsia="Arial" w:hAnsi="Arial"/>
          <w:sz w:val="20"/>
          <w:szCs w:val="20"/>
          <w:color w:val="auto"/>
        </w:rPr>
      </w:pPr>
    </w:p>
    <w:p>
      <w:pPr>
        <w:ind w:right="80" w:firstLine="8"/>
        <w:spacing w:after="0" w:line="260" w:lineRule="auto"/>
        <w:tabs>
          <w:tab w:leader="none" w:pos="637"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“Employee” </w:t>
      </w:r>
      <w:r>
        <w:rPr>
          <w:rFonts w:ascii="Arial" w:cs="Arial" w:eastAsia="Arial" w:hAnsi="Arial"/>
          <w:sz w:val="20"/>
          <w:szCs w:val="20"/>
          <w:color w:val="auto"/>
        </w:rPr>
        <w:t>means any person who is employed by, and who is classified as an employee on the payroll records of, the Company or</w:t>
      </w:r>
      <w:r>
        <w:rPr>
          <w:rFonts w:ascii="Arial" w:cs="Arial" w:eastAsia="Arial" w:hAnsi="Arial"/>
          <w:sz w:val="20"/>
          <w:szCs w:val="20"/>
          <w:i w:val="1"/>
          <w:iCs w:val="1"/>
          <w:color w:val="auto"/>
        </w:rPr>
        <w:t xml:space="preserve"> </w:t>
      </w:r>
      <w:r>
        <w:rPr>
          <w:rFonts w:ascii="Arial" w:cs="Arial" w:eastAsia="Arial" w:hAnsi="Arial"/>
          <w:sz w:val="20"/>
          <w:szCs w:val="20"/>
          <w:color w:val="auto"/>
        </w:rPr>
        <w:t>any of its Subsidiaries that the Administrator designates for participation under the Plan. The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00" w:right="359" w:bottom="1440" w:gutter="0" w:footer="0" w:header="0"/>
        </w:sectPr>
      </w:pPr>
    </w:p>
    <w:bookmarkStart w:id="63" w:name="page64"/>
    <w:bookmarkEnd w:id="63"/>
    <w:p>
      <w:pPr>
        <w:ind w:right="20"/>
        <w:spacing w:after="0" w:line="243" w:lineRule="auto"/>
        <w:rPr>
          <w:sz w:val="20"/>
          <w:szCs w:val="20"/>
          <w:color w:val="auto"/>
        </w:rPr>
      </w:pPr>
      <w:r>
        <w:rPr>
          <w:rFonts w:ascii="Arial" w:cs="Arial" w:eastAsia="Arial" w:hAnsi="Arial"/>
          <w:sz w:val="20"/>
          <w:szCs w:val="20"/>
          <w:color w:val="auto"/>
        </w:rPr>
        <w:t>Employees of a Subsidiary are only eligible to participate in the Plan if the Administrator designates the Subsidiary as eligible to participate in the Plan. For purposes of the Plan, the employment relationship shall be treated as continuing intact while the individual is on sick leave or other leave of absence approved by the Company or Subsidiary and meeting the requirements of Treasury Regulation Section 1.421-1(h)(2). For purposes of this Plan, where the period of leave exceeds six (6) months and the individual’s right to reemployment is not guaranteed either by statute or by contract, the employment relationship shall be deemed to have terminated on the first day immediately following such six (6)-month period.</w:t>
      </w:r>
    </w:p>
    <w:p>
      <w:pPr>
        <w:spacing w:after="0" w:line="196"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“Exchange Act” </w:t>
      </w:r>
      <w:r>
        <w:rPr>
          <w:rFonts w:ascii="Arial" w:cs="Arial" w:eastAsia="Arial" w:hAnsi="Arial"/>
          <w:sz w:val="20"/>
          <w:szCs w:val="20"/>
          <w:color w:val="auto"/>
        </w:rPr>
        <w:t>means the Securities Exchange Act of 1934, as amended.</w:t>
      </w:r>
    </w:p>
    <w:p>
      <w:pPr>
        <w:spacing w:after="0" w:line="215" w:lineRule="exact"/>
        <w:rPr>
          <w:rFonts w:ascii="Arial" w:cs="Arial" w:eastAsia="Arial" w:hAnsi="Arial"/>
          <w:sz w:val="20"/>
          <w:szCs w:val="20"/>
          <w:color w:val="auto"/>
        </w:rPr>
      </w:pPr>
    </w:p>
    <w:p>
      <w:pPr>
        <w:ind w:left="640" w:hanging="632"/>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“Fair Market Value” </w:t>
      </w:r>
      <w:r>
        <w:rPr>
          <w:rFonts w:ascii="Arial" w:cs="Arial" w:eastAsia="Arial" w:hAnsi="Arial"/>
          <w:sz w:val="20"/>
          <w:szCs w:val="20"/>
          <w:color w:val="auto"/>
        </w:rPr>
        <w:t>of a Share as of any date of determination shall be:</w:t>
      </w:r>
    </w:p>
    <w:p>
      <w:pPr>
        <w:spacing w:after="0" w:line="215" w:lineRule="exact"/>
        <w:rPr>
          <w:rFonts w:ascii="Arial" w:cs="Arial" w:eastAsia="Arial" w:hAnsi="Arial"/>
          <w:sz w:val="20"/>
          <w:szCs w:val="20"/>
          <w:color w:val="auto"/>
        </w:rPr>
      </w:pPr>
    </w:p>
    <w:p>
      <w:pPr>
        <w:ind w:left="1300" w:right="200" w:hanging="644"/>
        <w:spacing w:after="0" w:line="263" w:lineRule="auto"/>
        <w:tabs>
          <w:tab w:leader="none" w:pos="1298" w:val="left"/>
        </w:tabs>
        <w:numPr>
          <w:ilvl w:val="1"/>
          <w:numId w:val="26"/>
        </w:numPr>
        <w:rPr>
          <w:rFonts w:ascii="Arial" w:cs="Arial" w:eastAsia="Arial" w:hAnsi="Arial"/>
          <w:sz w:val="19"/>
          <w:szCs w:val="19"/>
          <w:color w:val="auto"/>
        </w:rPr>
      </w:pPr>
      <w:r>
        <w:rPr>
          <w:rFonts w:ascii="Arial" w:cs="Arial" w:eastAsia="Arial" w:hAnsi="Arial"/>
          <w:sz w:val="19"/>
          <w:szCs w:val="19"/>
          <w:color w:val="auto"/>
        </w:rPr>
        <w:t>If the Common Stock is listed on any established stock exchange or a national market system and transactions in the Common Stock are available to the Company as of the immediately preceding trading date, then closing price on such immediately preceding trading date per Share as reported on such stock exchange or system shall be the Fair Market Value for the date of determination, rounded down to the nearest whole cent; or</w:t>
      </w:r>
    </w:p>
    <w:p>
      <w:pPr>
        <w:spacing w:after="0" w:line="176" w:lineRule="exact"/>
        <w:rPr>
          <w:rFonts w:ascii="Arial" w:cs="Arial" w:eastAsia="Arial" w:hAnsi="Arial"/>
          <w:sz w:val="19"/>
          <w:szCs w:val="19"/>
          <w:color w:val="auto"/>
        </w:rPr>
      </w:pPr>
    </w:p>
    <w:p>
      <w:pPr>
        <w:ind w:left="1300" w:hanging="644"/>
        <w:spacing w:after="0" w:line="282" w:lineRule="auto"/>
        <w:tabs>
          <w:tab w:leader="none" w:pos="12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clause (i) shall not apply on any date of determination, then the Fair Market Value shall be determined in good faith by the Administrator with reference to (x) the most recent valuation of the Common Stock performed by an independent valuation consultant or appraiser of nationally recognized standing, if any, (y) sales prices of securities issued to investors in any recent arm’s length transactions and (z) any other factors determined to be relevant by the Administrator.</w:t>
      </w:r>
    </w:p>
    <w:p>
      <w:pPr>
        <w:spacing w:after="0" w:line="161"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“Offer Date” </w:t>
      </w:r>
      <w:r>
        <w:rPr>
          <w:rFonts w:ascii="Arial" w:cs="Arial" w:eastAsia="Arial" w:hAnsi="Arial"/>
          <w:sz w:val="20"/>
          <w:szCs w:val="20"/>
          <w:color w:val="auto"/>
        </w:rPr>
        <w:t>means the first day of each Offering Period.</w:t>
      </w:r>
    </w:p>
    <w:p>
      <w:pPr>
        <w:spacing w:after="0" w:line="215" w:lineRule="exact"/>
        <w:rPr>
          <w:rFonts w:ascii="Arial" w:cs="Arial" w:eastAsia="Arial" w:hAnsi="Arial"/>
          <w:sz w:val="20"/>
          <w:szCs w:val="20"/>
          <w:color w:val="auto"/>
        </w:rPr>
      </w:pPr>
    </w:p>
    <w:p>
      <w:pPr>
        <w:jc w:val="both"/>
        <w:ind w:right="100" w:firstLine="8"/>
        <w:spacing w:after="0" w:line="246" w:lineRule="auto"/>
        <w:tabs>
          <w:tab w:leader="none" w:pos="636"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“Offering Period” </w:t>
      </w:r>
      <w:r>
        <w:rPr>
          <w:rFonts w:ascii="Arial" w:cs="Arial" w:eastAsia="Arial" w:hAnsi="Arial"/>
          <w:sz w:val="20"/>
          <w:szCs w:val="20"/>
          <w:color w:val="auto"/>
        </w:rPr>
        <w:t>means a period of time specified by the Administrator, consistent with Section 423 of the Code, beginning on the</w:t>
      </w:r>
      <w:r>
        <w:rPr>
          <w:rFonts w:ascii="Arial" w:cs="Arial" w:eastAsia="Arial" w:hAnsi="Arial"/>
          <w:sz w:val="20"/>
          <w:szCs w:val="20"/>
          <w:i w:val="1"/>
          <w:iCs w:val="1"/>
          <w:color w:val="auto"/>
        </w:rPr>
        <w:t xml:space="preserve"> </w:t>
      </w:r>
      <w:r>
        <w:rPr>
          <w:rFonts w:ascii="Arial" w:cs="Arial" w:eastAsia="Arial" w:hAnsi="Arial"/>
          <w:sz w:val="20"/>
          <w:szCs w:val="20"/>
          <w:color w:val="auto"/>
        </w:rPr>
        <w:t>Offer Date and ending on the Acquisition Date. Unless otherwise determined by the Administrator, each Offering Period shall be a period of three (3) calendar months commencing on January 1, April 1, July 1 and October 1 of each calendar year during the Term of the Plan. The first Offering Period under the Plan shall commence as of July 1, 2021.</w:t>
      </w:r>
    </w:p>
    <w:p>
      <w:pPr>
        <w:spacing w:after="0" w:line="191" w:lineRule="exact"/>
        <w:rPr>
          <w:rFonts w:ascii="Arial" w:cs="Arial" w:eastAsia="Arial" w:hAnsi="Arial"/>
          <w:sz w:val="20"/>
          <w:szCs w:val="20"/>
          <w:color w:val="auto"/>
        </w:rPr>
      </w:pPr>
    </w:p>
    <w:p>
      <w:pPr>
        <w:ind w:left="660" w:hanging="652"/>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Participant”</w:t>
      </w:r>
      <w:r>
        <w:rPr>
          <w:rFonts w:ascii="Arial" w:cs="Arial" w:eastAsia="Arial" w:hAnsi="Arial"/>
          <w:sz w:val="20"/>
          <w:szCs w:val="20"/>
          <w:color w:val="auto"/>
        </w:rPr>
        <w:t xml:space="preserve"> means an Employee who becomes a participant in the Plan pursuant to Article V.</w:t>
      </w:r>
    </w:p>
    <w:p>
      <w:pPr>
        <w:spacing w:after="0" w:line="215" w:lineRule="exact"/>
        <w:rPr>
          <w:rFonts w:ascii="Arial" w:cs="Arial" w:eastAsia="Arial" w:hAnsi="Arial"/>
          <w:sz w:val="20"/>
          <w:szCs w:val="20"/>
          <w:color w:val="auto"/>
        </w:rPr>
      </w:pPr>
    </w:p>
    <w:p>
      <w:pPr>
        <w:ind w:right="700" w:firstLine="8"/>
        <w:spacing w:after="0" w:line="287" w:lineRule="auto"/>
        <w:tabs>
          <w:tab w:leader="none" w:pos="641"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 xml:space="preserve">“Person” </w:t>
      </w:r>
      <w:r>
        <w:rPr>
          <w:rFonts w:ascii="Arial" w:cs="Arial" w:eastAsia="Arial" w:hAnsi="Arial"/>
          <w:sz w:val="19"/>
          <w:szCs w:val="19"/>
          <w:color w:val="auto"/>
        </w:rPr>
        <w:t>means an individual, partnership, corporation, limited liability company, business trust, joint stock company, trust,</w:t>
      </w:r>
      <w:r>
        <w:rPr>
          <w:rFonts w:ascii="Arial" w:cs="Arial" w:eastAsia="Arial" w:hAnsi="Arial"/>
          <w:sz w:val="19"/>
          <w:szCs w:val="19"/>
          <w:i w:val="1"/>
          <w:iCs w:val="1"/>
          <w:color w:val="auto"/>
        </w:rPr>
        <w:t xml:space="preserve"> </w:t>
      </w:r>
      <w:r>
        <w:rPr>
          <w:rFonts w:ascii="Arial" w:cs="Arial" w:eastAsia="Arial" w:hAnsi="Arial"/>
          <w:sz w:val="19"/>
          <w:szCs w:val="19"/>
          <w:color w:val="auto"/>
        </w:rPr>
        <w:t>unincorporated association, joint venture, governmental authority or any other entity of whatever nature.</w:t>
      </w:r>
    </w:p>
    <w:p>
      <w:pPr>
        <w:spacing w:after="0" w:line="152" w:lineRule="exact"/>
        <w:rPr>
          <w:rFonts w:ascii="Arial" w:cs="Arial" w:eastAsia="Arial" w:hAnsi="Arial"/>
          <w:sz w:val="19"/>
          <w:szCs w:val="19"/>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means the purchase price per Share subject to the Share Purchase Right determined pursuant to Section 6.3.</w:t>
      </w:r>
    </w:p>
    <w:p>
      <w:pPr>
        <w:spacing w:after="0" w:line="238"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“Securities Act” </w:t>
      </w:r>
      <w:r>
        <w:rPr>
          <w:rFonts w:ascii="Arial" w:cs="Arial" w:eastAsia="Arial" w:hAnsi="Arial"/>
          <w:sz w:val="20"/>
          <w:szCs w:val="20"/>
          <w:color w:val="auto"/>
        </w:rPr>
        <w:t>means the Securities Act of 1933, as amended.</w:t>
      </w:r>
    </w:p>
    <w:p>
      <w:pPr>
        <w:spacing w:after="0" w:line="215" w:lineRule="exact"/>
        <w:rPr>
          <w:rFonts w:ascii="Arial" w:cs="Arial" w:eastAsia="Arial" w:hAnsi="Arial"/>
          <w:sz w:val="20"/>
          <w:szCs w:val="20"/>
          <w:color w:val="auto"/>
        </w:rPr>
      </w:pPr>
    </w:p>
    <w:p>
      <w:pPr>
        <w:ind w:left="640" w:hanging="632"/>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“Share” </w:t>
      </w:r>
      <w:r>
        <w:rPr>
          <w:rFonts w:ascii="Arial" w:cs="Arial" w:eastAsia="Arial" w:hAnsi="Arial"/>
          <w:sz w:val="20"/>
          <w:szCs w:val="20"/>
          <w:color w:val="auto"/>
        </w:rPr>
        <w:t>means a share of Common Stock.</w:t>
      </w:r>
    </w:p>
    <w:p>
      <w:pPr>
        <w:spacing w:after="0" w:line="215" w:lineRule="exact"/>
        <w:rPr>
          <w:rFonts w:ascii="Arial" w:cs="Arial" w:eastAsia="Arial" w:hAnsi="Arial"/>
          <w:sz w:val="20"/>
          <w:szCs w:val="20"/>
          <w:color w:val="auto"/>
        </w:rPr>
      </w:pPr>
    </w:p>
    <w:p>
      <w:pPr>
        <w:ind w:right="900" w:firstLine="8"/>
        <w:spacing w:after="0" w:line="260" w:lineRule="auto"/>
        <w:tabs>
          <w:tab w:leader="none" w:pos="639"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“Share Purchase Right” </w:t>
      </w:r>
      <w:r>
        <w:rPr>
          <w:rFonts w:ascii="Arial" w:cs="Arial" w:eastAsia="Arial" w:hAnsi="Arial"/>
          <w:sz w:val="20"/>
          <w:szCs w:val="20"/>
          <w:color w:val="auto"/>
        </w:rPr>
        <w:t>means a right that entitles the holder to purchase from the Company a stated number of Shares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and subject to, the terms and conditions of the Plan.</w:t>
      </w:r>
    </w:p>
    <w:p>
      <w:pPr>
        <w:spacing w:after="0" w:line="176" w:lineRule="exact"/>
        <w:rPr>
          <w:rFonts w:ascii="Arial" w:cs="Arial" w:eastAsia="Arial" w:hAnsi="Arial"/>
          <w:sz w:val="20"/>
          <w:szCs w:val="20"/>
          <w:color w:val="auto"/>
        </w:rPr>
      </w:pPr>
    </w:p>
    <w:p>
      <w:pPr>
        <w:jc w:val="both"/>
        <w:ind w:right="440" w:firstLine="8"/>
        <w:spacing w:after="0" w:line="250" w:lineRule="auto"/>
        <w:tabs>
          <w:tab w:leader="none" w:pos="636"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 xml:space="preserve">“Subsidiary” </w:t>
      </w:r>
      <w:r>
        <w:rPr>
          <w:rFonts w:ascii="Arial" w:cs="Arial" w:eastAsia="Arial" w:hAnsi="Arial"/>
          <w:sz w:val="20"/>
          <w:szCs w:val="20"/>
          <w:color w:val="auto"/>
        </w:rPr>
        <w:t>of an entity means any corporation in an unbroken chain of corporations beginning with such entity if each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corporations other than the last corporation in the unbroken chain then owns stock possessing 50% or more of the total combined voting power of all classes of stock in one of the other corporations in such chain.</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Available Shares and Adjustments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00" w:right="359" w:bottom="1440" w:gutter="0" w:footer="0" w:header="0"/>
        </w:sectPr>
      </w:pPr>
    </w:p>
    <w:bookmarkStart w:id="64" w:name="page65"/>
    <w:bookmarkEnd w:id="64"/>
    <w:p>
      <w:pPr>
        <w:ind w:right="700"/>
        <w:spacing w:after="0" w:line="260" w:lineRule="auto"/>
        <w:rPr>
          <w:sz w:val="20"/>
          <w:szCs w:val="20"/>
          <w:color w:val="auto"/>
        </w:rPr>
      </w:pPr>
      <w:r>
        <w:rPr>
          <w:rFonts w:ascii="Arial" w:cs="Arial" w:eastAsia="Arial" w:hAnsi="Arial"/>
          <w:sz w:val="20"/>
          <w:szCs w:val="20"/>
          <w:color w:val="auto"/>
        </w:rPr>
        <w:t xml:space="preserve">Section III.1 </w:t>
      </w:r>
      <w:r>
        <w:rPr>
          <w:rFonts w:ascii="Arial" w:cs="Arial" w:eastAsia="Arial" w:hAnsi="Arial"/>
          <w:sz w:val="20"/>
          <w:szCs w:val="20"/>
          <w:i w:val="1"/>
          <w:iCs w:val="1"/>
          <w:color w:val="auto"/>
        </w:rPr>
        <w:t>Available Shares</w:t>
      </w:r>
      <w:r>
        <w:rPr>
          <w:rFonts w:ascii="Arial" w:cs="Arial" w:eastAsia="Arial" w:hAnsi="Arial"/>
          <w:sz w:val="20"/>
          <w:szCs w:val="20"/>
          <w:color w:val="auto"/>
        </w:rPr>
        <w:t>. Subject to adjustments as provided in this Article III, the maximum number of Shares available for purchase under the Plan on and after the first day of the first Offering Period under the Plan is 20,000</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III.2</w:t>
      </w:r>
      <w:r>
        <w:rPr>
          <w:sz w:val="20"/>
          <w:szCs w:val="20"/>
          <w:color w:val="auto"/>
        </w:rPr>
        <w:tab/>
      </w:r>
      <w:r>
        <w:rPr>
          <w:rFonts w:ascii="Arial" w:cs="Arial" w:eastAsia="Arial" w:hAnsi="Arial"/>
          <w:sz w:val="16"/>
          <w:szCs w:val="16"/>
          <w:i w:val="1"/>
          <w:iCs w:val="1"/>
          <w:color w:val="auto"/>
        </w:rPr>
        <w:t>Shares</w:t>
      </w:r>
      <w:r>
        <w:rPr>
          <w:rFonts w:ascii="Arial" w:cs="Arial" w:eastAsia="Arial" w:hAnsi="Arial"/>
          <w:sz w:val="16"/>
          <w:szCs w:val="16"/>
          <w:color w:val="auto"/>
        </w:rPr>
        <w:t>. Shares issued under the Plan may be authorized but unissued or reacquired shares of Common Stock.</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III.3</w:t>
      </w:r>
      <w:r>
        <w:rPr>
          <w:sz w:val="20"/>
          <w:szCs w:val="20"/>
          <w:color w:val="auto"/>
        </w:rPr>
        <w:tab/>
      </w:r>
      <w:r>
        <w:rPr>
          <w:rFonts w:ascii="Arial" w:cs="Arial" w:eastAsia="Arial" w:hAnsi="Arial"/>
          <w:sz w:val="16"/>
          <w:szCs w:val="16"/>
          <w:i w:val="1"/>
          <w:iCs w:val="1"/>
          <w:color w:val="auto"/>
        </w:rPr>
        <w:t>Adjustments</w:t>
      </w:r>
      <w:r>
        <w:rPr>
          <w:rFonts w:ascii="Arial" w:cs="Arial" w:eastAsia="Arial" w:hAnsi="Arial"/>
          <w:sz w:val="16"/>
          <w:szCs w:val="16"/>
          <w:color w:val="auto"/>
        </w:rPr>
        <w:t>.</w:t>
      </w:r>
    </w:p>
    <w:p>
      <w:pPr>
        <w:spacing w:after="0" w:line="216" w:lineRule="exact"/>
        <w:rPr>
          <w:sz w:val="20"/>
          <w:szCs w:val="20"/>
          <w:color w:val="auto"/>
        </w:rPr>
      </w:pPr>
    </w:p>
    <w:p>
      <w:pPr>
        <w:ind w:right="20" w:firstLine="8"/>
        <w:spacing w:after="0" w:line="272" w:lineRule="auto"/>
        <w:tabs>
          <w:tab w:leader="none" w:pos="63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Changes in Capitalization</w:t>
      </w:r>
      <w:r>
        <w:rPr>
          <w:rFonts w:ascii="Arial" w:cs="Arial" w:eastAsia="Arial" w:hAnsi="Arial"/>
          <w:sz w:val="18"/>
          <w:szCs w:val="18"/>
          <w:color w:val="auto"/>
        </w:rPr>
        <w:t>. If and to the extent necessary or appropriate to reflect any stock dividend, extraordinary dividend,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or share recombination or any recapitalization, merger, consolidation, exchange of shares, spin-off, liquidation or dissolution of the Company or other similar transaction affecting the Company Common Stock (each, a “</w:t>
      </w:r>
      <w:r>
        <w:rPr>
          <w:rFonts w:ascii="Arial" w:cs="Arial" w:eastAsia="Arial" w:hAnsi="Arial"/>
          <w:sz w:val="18"/>
          <w:szCs w:val="18"/>
          <w:i w:val="1"/>
          <w:iCs w:val="1"/>
          <w:color w:val="auto"/>
        </w:rPr>
        <w:t>Corporate Event</w:t>
      </w:r>
      <w:r>
        <w:rPr>
          <w:rFonts w:ascii="Arial" w:cs="Arial" w:eastAsia="Arial" w:hAnsi="Arial"/>
          <w:sz w:val="18"/>
          <w:szCs w:val="18"/>
          <w:color w:val="auto"/>
        </w:rPr>
        <w:t>”), the Administrator shall, in such manner as it may deem equitable to prevent the diminution or enlargement or the rights of the Company and Participants hereunder by reason of such Corporate Event, adjust any or all of the number and kind of Shares (or other securities or property) with respect to which a Share Purchase Right may be granted under the Plan (including, but not limited to, adjustments of the limitations in Section 3.1 on the maximum number and kind of Shares that may be issued under the Plan). All determinations and adjustments made by the Administrator in good faith pursuant to this Section 3.2 shall be final and binding on the affected Participants and the Company. Any adjustment of an Award pursuant to this Section 3.2 shall be effected in compliance with Section 423 of the Code.</w:t>
      </w:r>
    </w:p>
    <w:p>
      <w:pPr>
        <w:spacing w:after="0" w:line="170" w:lineRule="exact"/>
        <w:rPr>
          <w:rFonts w:ascii="Arial" w:cs="Arial" w:eastAsia="Arial" w:hAnsi="Arial"/>
          <w:sz w:val="18"/>
          <w:szCs w:val="18"/>
          <w:color w:val="auto"/>
        </w:rPr>
      </w:pPr>
    </w:p>
    <w:p>
      <w:pPr>
        <w:ind w:right="200" w:firstLine="8"/>
        <w:spacing w:after="0" w:line="272"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 other provision of this Plan, in the event of a Change in Control of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its sole discretion, may take whatever action it deems necessary or appropriate in connection therewith, including, but not limited to (i) shortening any Offering Period then in progress such that the Acquisition Date is on or prior to the Change in Control Date,</w:t>
      </w:r>
    </w:p>
    <w:p>
      <w:pPr>
        <w:ind w:right="220" w:firstLine="8"/>
        <w:spacing w:after="0"/>
        <w:tabs>
          <w:tab w:leader="none" w:pos="291" w:val="left"/>
        </w:tabs>
        <w:numPr>
          <w:ilvl w:val="0"/>
          <w:numId w:val="28"/>
        </w:numPr>
        <w:rPr>
          <w:rFonts w:ascii="Arial" w:cs="Arial" w:eastAsia="Arial" w:hAnsi="Arial"/>
          <w:sz w:val="20"/>
          <w:szCs w:val="20"/>
          <w:color w:val="auto"/>
        </w:rPr>
      </w:pPr>
      <w:r>
        <w:rPr>
          <w:rFonts w:ascii="Arial" w:cs="Arial" w:eastAsia="Arial" w:hAnsi="Arial"/>
          <w:sz w:val="20"/>
          <w:szCs w:val="20"/>
          <w:color w:val="auto"/>
        </w:rPr>
        <w:t>shortening any Offering Period then in progress and refunding any amounts accumulated in a Participant’s account for such Offering Period, (iii) cancelling all outstanding Share Purchase Rights as of the Change in Control Date and paying each holder thereof an amount equal to the difference between the per Share Fair Market Value as of the Change in Control Date and the Purchase Price determined in accordance with Section 6.3, or (iv) for each outstanding Share Purchase Right, granting a substitute right to purchase shares in accordance with Section 424 of the Code. Nothing in this Section 3.2(b) shall affect in any way the Company’s right to terminate the Plan at any time pursuant to Section 10.7 or 10.8.</w:t>
      </w:r>
    </w:p>
    <w:p>
      <w:pPr>
        <w:spacing w:after="0" w:line="197" w:lineRule="exact"/>
        <w:rPr>
          <w:rFonts w:ascii="Arial" w:cs="Arial" w:eastAsia="Arial" w:hAnsi="Arial"/>
          <w:sz w:val="20"/>
          <w:szCs w:val="20"/>
          <w:color w:val="auto"/>
        </w:rPr>
      </w:pPr>
    </w:p>
    <w:p>
      <w:pPr>
        <w:ind w:right="40" w:firstLine="8"/>
        <w:spacing w:after="0" w:line="307" w:lineRule="auto"/>
        <w:tabs>
          <w:tab w:leader="none" w:pos="638"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Insufficient Shares</w:t>
      </w:r>
      <w:r>
        <w:rPr>
          <w:rFonts w:ascii="Arial" w:cs="Arial" w:eastAsia="Arial" w:hAnsi="Arial"/>
          <w:sz w:val="16"/>
          <w:szCs w:val="16"/>
          <w:color w:val="auto"/>
        </w:rPr>
        <w:t>. If the Administrator determines that, on a given Acquisition Date, the number of Shares that may be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outstanding Share Purchase Rights for the applicable Offering Period may exceed (i) the number of Shares that were available for issuance under the Plan on the Offer Date of the applicable Offering Period or (ii) the number of Shares available for sale under the Plan on such Acquisition Date, including but not limited to by reason of a limitation on the maximum number of Shares that may be purchased set by the Administrator pursuant to Section 6.2(a) or (b), the Administrator shall make a pro rata allocation of the Shares available for issuance on such Acquisition Date in as uniform a manner as shall be practicable and as it shall determine in its sole discretion to be equitable among all Participants purchasing Shares on such Acquisition Date, and unless additional Shares are authorized for issuance under the Plan, no further Offering Periods shall take place and the Plan shall terminate pursuant to Section 10.7 hereof. If the Plan is so terminated, then the balance of the amount credited to the Participant’s account which has not been applied to the purchase of Shares shall be paid to such Participant in one lump sum in cash as soon as reasonably practicable without any interest thereon. The Company may make a pro rata allocation of the Shares available on the Offer Date of any applicable Offering Period pursuant to the first sentence of this section, notwithstanding any authorization of additional Shares for issuance under the Plan by the Company’s shareholders subsequent to such Offer Date.</w:t>
      </w:r>
    </w:p>
    <w:p>
      <w:pPr>
        <w:spacing w:after="0" w:line="37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Eligibility</w:t>
      </w:r>
    </w:p>
    <w:p>
      <w:pPr>
        <w:spacing w:after="0" w:line="20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Section IV.1 </w:t>
      </w:r>
      <w:r>
        <w:rPr>
          <w:rFonts w:ascii="Arial" w:cs="Arial" w:eastAsia="Arial" w:hAnsi="Arial"/>
          <w:sz w:val="20"/>
          <w:szCs w:val="20"/>
          <w:i w:val="1"/>
          <w:iCs w:val="1"/>
          <w:color w:val="auto"/>
        </w:rPr>
        <w:t>Eligible Employees</w:t>
      </w:r>
      <w:r>
        <w:rPr>
          <w:rFonts w:ascii="Arial" w:cs="Arial" w:eastAsia="Arial" w:hAnsi="Arial"/>
          <w:sz w:val="20"/>
          <w:szCs w:val="20"/>
          <w:color w:val="auto"/>
        </w:rPr>
        <w:t>. Any person who is an Employee employed by the Company or an eligible Subsidiary as of the Offer Date for a given Offering Period shall be eligible to participate in the Plan for such Offering Period, subject to the requirements of this Article IV and the limitations imposed by Section 423(b) of the Code, provided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00" w:right="339" w:bottom="1440" w:gutter="0" w:footer="0" w:header="0"/>
        </w:sectPr>
      </w:pPr>
    </w:p>
    <w:bookmarkStart w:id="65" w:name="page66"/>
    <w:bookmarkEnd w:id="65"/>
    <w:p>
      <w:pPr>
        <w:ind w:right="20"/>
        <w:spacing w:after="0" w:line="273" w:lineRule="auto"/>
        <w:rPr>
          <w:sz w:val="20"/>
          <w:szCs w:val="20"/>
          <w:color w:val="auto"/>
        </w:rPr>
      </w:pPr>
      <w:r>
        <w:rPr>
          <w:rFonts w:ascii="Arial" w:cs="Arial" w:eastAsia="Arial" w:hAnsi="Arial"/>
          <w:sz w:val="18"/>
          <w:szCs w:val="18"/>
          <w:color w:val="auto"/>
        </w:rPr>
        <w:t>such Employee (a) is not customarily employed for 20 hours or less per week or for not more than five months per year; (b) is not a citizen or resident of a non-U.S. jurisdiction if grant of a Share Purchase Right under the Plan is prohibited under the laws of such non-U.S. jurisdiction or compliance with the laws of such non-U.S. jurisdiction would cause the Plan or any actions under the Plan to violate Section 423 of the Code; and (c) has not been employed by the Company or such Subsidiary for less than 30 days. Notwithstanding any other provision of the Plan, and regardless of any subsequent reclassification as an employee of the Company or any Subsidiary, an eligible Employee will not include (i) any independent contractor, (ii) any consultant, (iii) any individual performing services for the Company or any Subsidiary who has entered into an independent contractor or consultant agreement with the Company or any Subsidiary, or (iv) any individual who is classified as an independent contractor or consultant on the payroll records of the Company or any of its Subsidiaries.</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Notwithstanding the foregoing, the Administrator may, on a prospective basis, impose a generally applicable eligibility service requirement of greater than 30 days and up to two years of employment.</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 xml:space="preserve">Section IV.2 </w:t>
      </w:r>
      <w:r>
        <w:rPr>
          <w:rFonts w:ascii="Arial" w:cs="Arial" w:eastAsia="Arial" w:hAnsi="Arial"/>
          <w:sz w:val="20"/>
          <w:szCs w:val="20"/>
          <w:i w:val="1"/>
          <w:iCs w:val="1"/>
          <w:color w:val="auto"/>
        </w:rPr>
        <w:t>Five Percent Shareholders</w:t>
      </w:r>
      <w:r>
        <w:rPr>
          <w:rFonts w:ascii="Arial" w:cs="Arial" w:eastAsia="Arial" w:hAnsi="Arial"/>
          <w:sz w:val="20"/>
          <w:szCs w:val="20"/>
          <w:color w:val="auto"/>
        </w:rPr>
        <w:t>. Notwithstanding any other provision of the Plan to the contrary, no Employee shall be eligible to participate in the Plan if, after giving effect to the grant of a Share Purchase Right in the Offering Period, the Employee (or any other person whose stock would be attributed to the Employee pursuant to Section 424(d) of the Code) owns and/or holds Common Stock and outstanding rights to purchase Common Stock possessing, in the aggregate, five percent (5%) or more of the total combined voting power or value of all issued and outstanding stock of the Company.</w:t>
      </w:r>
    </w:p>
    <w:p>
      <w:pPr>
        <w:spacing w:after="0" w:line="18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Participation</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 xml:space="preserve">Section V.1 </w:t>
      </w:r>
      <w:r>
        <w:rPr>
          <w:rFonts w:ascii="Arial" w:cs="Arial" w:eastAsia="Arial" w:hAnsi="Arial"/>
          <w:sz w:val="18"/>
          <w:szCs w:val="18"/>
          <w:i w:val="1"/>
          <w:iCs w:val="1"/>
          <w:color w:val="auto"/>
        </w:rPr>
        <w:t>Enrollment.</w:t>
      </w:r>
      <w:r>
        <w:rPr>
          <w:rFonts w:ascii="Arial" w:cs="Arial" w:eastAsia="Arial" w:hAnsi="Arial"/>
          <w:sz w:val="18"/>
          <w:szCs w:val="18"/>
          <w:color w:val="auto"/>
        </w:rPr>
        <w:t xml:space="preserve"> An eligible Employee may become a Participant in the Plan by completing an enrollment election form and any other required enrollment documents provided by the Administrator or its designee and submitting them to the Administrator or its designee prior to the commencement of an Offering Period in accordance with the rules established by the Administrator. The enrollment documents, which may, in the discretion of the Administrator, be in electronic form, shall set forth the amount of the Participant’s Compensation in whole dollars, which may not exceed $5,000 per Offering Period (or such other amount as may be prescribed by the Administrator from time to time) or forty percent (40%) of Participant’s Compensation per Offering Period (or such other percentage as may be prescribed by the Administrator from time to time), to be paid as Contributions pursuant to the Plan. An Employee’s payroll enrollment election shall become effective on an Offer Date in accordance with the rules established by the Administrator. Amounts deducted from a Participant’s Compensation pursuant to this Article V shall be credited to the Participant’s Plan account. No interest shall be payable on the amounts credited to the Participant’s Plan account. After an eligible Employee has become a Participant in the Plan for an Offering Period, the Participant’s payroll authorization for that Offering Period shall continue in force and effect for that Offering Period, unless the Participant withdraws from the Plan or the Administrator permits any such change during the Offering Period and the Participant changes such election in accordance with the procedures established by the Administrator.</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 xml:space="preserve">Section V.2 </w:t>
      </w:r>
      <w:r>
        <w:rPr>
          <w:rFonts w:ascii="Arial" w:cs="Arial" w:eastAsia="Arial" w:hAnsi="Arial"/>
          <w:sz w:val="19"/>
          <w:szCs w:val="19"/>
          <w:i w:val="1"/>
          <w:iCs w:val="1"/>
          <w:color w:val="auto"/>
        </w:rPr>
        <w:t>Evergreen Election</w:t>
      </w:r>
      <w:r>
        <w:rPr>
          <w:rFonts w:ascii="Arial" w:cs="Arial" w:eastAsia="Arial" w:hAnsi="Arial"/>
          <w:sz w:val="19"/>
          <w:szCs w:val="19"/>
          <w:color w:val="auto"/>
        </w:rPr>
        <w:t>. A Participant’s election to participate in the Plan with respect to an Offering Period shall enroll such Participant in the Plan for each successive Offering Period at the same amount as in effect at the termination of the prior Offering Period, unless (i) such Participant delivers to the Company a different election with respect to the successive Offering Period by such time and in such manner as is designated by the Administrator for enrollment in the Plan for such successive Offering Period, (ii) such Participant withdraws from the Plan pursuant to Article IX or becomes ineligible for participation in the Plan or (iii) the Administrator determines that elections for all Participants shall cease at the end of an applicable Offering Period.</w:t>
      </w:r>
    </w:p>
    <w:p>
      <w:pPr>
        <w:spacing w:after="0" w:line="178" w:lineRule="exact"/>
        <w:rPr>
          <w:sz w:val="20"/>
          <w:szCs w:val="20"/>
          <w:color w:val="auto"/>
        </w:rPr>
      </w:pPr>
    </w:p>
    <w:p>
      <w:pPr>
        <w:ind w:right="320"/>
        <w:spacing w:after="0" w:line="385" w:lineRule="auto"/>
        <w:rPr>
          <w:sz w:val="20"/>
          <w:szCs w:val="20"/>
          <w:color w:val="auto"/>
        </w:rPr>
      </w:pPr>
      <w:r>
        <w:rPr>
          <w:rFonts w:ascii="Arial" w:cs="Arial" w:eastAsia="Arial" w:hAnsi="Arial"/>
          <w:sz w:val="16"/>
          <w:szCs w:val="16"/>
          <w:color w:val="auto"/>
        </w:rPr>
        <w:t xml:space="preserve">Section V.3 </w:t>
      </w:r>
      <w:r>
        <w:rPr>
          <w:rFonts w:ascii="Arial" w:cs="Arial" w:eastAsia="Arial" w:hAnsi="Arial"/>
          <w:sz w:val="16"/>
          <w:szCs w:val="16"/>
          <w:i w:val="1"/>
          <w:iCs w:val="1"/>
          <w:color w:val="auto"/>
        </w:rPr>
        <w:t>Same Rights and Privileges</w:t>
      </w:r>
      <w:r>
        <w:rPr>
          <w:rFonts w:ascii="Arial" w:cs="Arial" w:eastAsia="Arial" w:hAnsi="Arial"/>
          <w:sz w:val="16"/>
          <w:szCs w:val="16"/>
          <w:color w:val="auto"/>
        </w:rPr>
        <w:t>. Each Teammate who is granted a Share Purchase Right under the Plan for an Offering Period shall have the same rights and privileges as all those Teammates granted Share Purchase Rights under the Plan for such Offering Period.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00" w:right="339" w:bottom="1440" w:gutter="0" w:footer="0" w:header="0"/>
        </w:sectPr>
      </w:pPr>
    </w:p>
    <w:bookmarkStart w:id="66" w:name="page67"/>
    <w:bookmarkEnd w:id="66"/>
    <w:p>
      <w:pPr>
        <w:ind w:left="4980"/>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Share Purchase Rights</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 xml:space="preserve">Section VI.1 </w:t>
      </w:r>
      <w:r>
        <w:rPr>
          <w:rFonts w:ascii="Arial" w:cs="Arial" w:eastAsia="Arial" w:hAnsi="Arial"/>
          <w:sz w:val="19"/>
          <w:szCs w:val="19"/>
          <w:i w:val="1"/>
          <w:iCs w:val="1"/>
          <w:color w:val="auto"/>
        </w:rPr>
        <w:t>Number of Shares</w:t>
      </w:r>
      <w:r>
        <w:rPr>
          <w:rFonts w:ascii="Arial" w:cs="Arial" w:eastAsia="Arial" w:hAnsi="Arial"/>
          <w:sz w:val="19"/>
          <w:szCs w:val="19"/>
          <w:color w:val="auto"/>
        </w:rPr>
        <w:t>. Each Eligible Employee who on the Offer Date is a Participant participating in such Offering Period shall, by virtue of such participation, be granted a Share Purchase Right to purchase Shares on the Acquisition Date for such Offering Period in an amount determined in accordance with such Participant’s election. Subject to the limitations set forth in Section 6.2, the number of Shares subject to such Share Purchase Right shall be the number of whole Shares determined by dividing the Purchase Price into the balance credited to the Participant’s Plan account as of the Acquisition Date.</w:t>
      </w:r>
    </w:p>
    <w:p>
      <w:pPr>
        <w:spacing w:after="0" w:line="180"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 xml:space="preserve">Section VI.2 </w:t>
      </w:r>
      <w:r>
        <w:rPr>
          <w:rFonts w:ascii="Arial" w:cs="Arial" w:eastAsia="Arial" w:hAnsi="Arial"/>
          <w:sz w:val="20"/>
          <w:szCs w:val="20"/>
          <w:i w:val="1"/>
          <w:iCs w:val="1"/>
          <w:color w:val="auto"/>
        </w:rPr>
        <w:t>Limitation on Purchases</w:t>
      </w:r>
      <w:r>
        <w:rPr>
          <w:rFonts w:ascii="Arial" w:cs="Arial" w:eastAsia="Arial" w:hAnsi="Arial"/>
          <w:sz w:val="20"/>
          <w:szCs w:val="20"/>
          <w:color w:val="auto"/>
        </w:rPr>
        <w:t>. Participant purchases are subject to adjustment as provided in Section 3.2(c) and to the following limitations:</w:t>
      </w:r>
    </w:p>
    <w:p>
      <w:pPr>
        <w:spacing w:after="0" w:line="177" w:lineRule="exact"/>
        <w:rPr>
          <w:sz w:val="20"/>
          <w:szCs w:val="20"/>
          <w:color w:val="auto"/>
        </w:rPr>
      </w:pPr>
    </w:p>
    <w:p>
      <w:pPr>
        <w:ind w:right="120" w:firstLine="8"/>
        <w:spacing w:after="0" w:line="259" w:lineRule="auto"/>
        <w:tabs>
          <w:tab w:leader="none" w:pos="638"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Offering Period Limitation</w:t>
      </w:r>
      <w:r>
        <w:rPr>
          <w:rFonts w:ascii="Arial" w:cs="Arial" w:eastAsia="Arial" w:hAnsi="Arial"/>
          <w:sz w:val="19"/>
          <w:szCs w:val="19"/>
          <w:color w:val="auto"/>
        </w:rPr>
        <w:t>. Subject to the calendar year limits provided in Section 6.2(b), the maximum number of Shares that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shall have the right to purchase in any Offering Period shall be determined as of the Offer Date and shall be equal to that number of Shares determined by dividing $25,000 by the Fair Market Value of a Share as of the Offer Date. Notwithstanding the foregoing, the Administrator from time to time may establish a different maximum value or number of Shares that a Participant shall have the right to purchase in any Offering Period, so long as such maximum value or number of Shares is determinable as of the applicable Offer Date (subject to the $25,000 limitation set forth in Section 6.2(b)).</w:t>
      </w:r>
    </w:p>
    <w:p>
      <w:pPr>
        <w:spacing w:after="0" w:line="178" w:lineRule="exact"/>
        <w:rPr>
          <w:rFonts w:ascii="Arial" w:cs="Arial" w:eastAsia="Arial" w:hAnsi="Arial"/>
          <w:sz w:val="19"/>
          <w:szCs w:val="19"/>
          <w:color w:val="auto"/>
        </w:rPr>
      </w:pPr>
    </w:p>
    <w:p>
      <w:pPr>
        <w:ind w:right="100" w:firstLine="8"/>
        <w:spacing w:after="0" w:line="273"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Calendar Year Limitation</w:t>
      </w:r>
      <w:r>
        <w:rPr>
          <w:rFonts w:ascii="Arial" w:cs="Arial" w:eastAsia="Arial" w:hAnsi="Arial"/>
          <w:sz w:val="18"/>
          <w:szCs w:val="18"/>
          <w:color w:val="auto"/>
        </w:rPr>
        <w:t>. In addition to the limitations provided for in Section 6.2(a), in the event that a Participant makes an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for a Share Purchase Right that permits such Participant to purchase Shares that, together with all other Share Purchase Rights granted hereunder and any other plan of the Company or any Subsidiary for the same calendar year that are qualified under Section 423 of the Code, has an aggregate value in excess of $25,000 (determined on the date of grant), such Share Purchase Right shall be reduced such that the aggregate value of all Share Purchase Rights granted to or exercisable by the Participant during the same calendar year under any plan of the Company or any Subsidiary of the Company that are qualified under Section 423 of the Code is $25,000. The Administrator may also set a maximum aggregate number of Shares or maximum aggregate Fair Market Value of Shares, which is less than the $25,000 limitation set forth in this Section 6.2(b), that may be purchased in a calendar year.</w:t>
      </w:r>
    </w:p>
    <w:p>
      <w:pPr>
        <w:spacing w:after="0" w:line="168" w:lineRule="exact"/>
        <w:rPr>
          <w:rFonts w:ascii="Arial" w:cs="Arial" w:eastAsia="Arial" w:hAnsi="Arial"/>
          <w:sz w:val="18"/>
          <w:szCs w:val="18"/>
          <w:color w:val="auto"/>
        </w:rPr>
      </w:pPr>
    </w:p>
    <w:p>
      <w:pPr>
        <w:ind w:right="20" w:firstLine="8"/>
        <w:spacing w:after="0" w:line="250" w:lineRule="auto"/>
        <w:tabs>
          <w:tab w:leader="none" w:pos="638"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Refunds</w:t>
      </w:r>
      <w:r>
        <w:rPr>
          <w:rFonts w:ascii="Arial" w:cs="Arial" w:eastAsia="Arial" w:hAnsi="Arial"/>
          <w:sz w:val="20"/>
          <w:szCs w:val="20"/>
          <w:color w:val="auto"/>
        </w:rPr>
        <w:t>. As of the first date on which a Participant’s ability to purchase Shares is limited by this Section 6.2, the Participant’s payroll</w:t>
      </w:r>
      <w:r>
        <w:rPr>
          <w:rFonts w:ascii="Arial" w:cs="Arial" w:eastAsia="Arial" w:hAnsi="Arial"/>
          <w:sz w:val="20"/>
          <w:szCs w:val="20"/>
          <w:i w:val="1"/>
          <w:iCs w:val="1"/>
          <w:color w:val="auto"/>
        </w:rPr>
        <w:t xml:space="preserve"> </w:t>
      </w:r>
      <w:r>
        <w:rPr>
          <w:rFonts w:ascii="Arial" w:cs="Arial" w:eastAsia="Arial" w:hAnsi="Arial"/>
          <w:sz w:val="20"/>
          <w:szCs w:val="20"/>
          <w:color w:val="auto"/>
        </w:rPr>
        <w:t>deductions shall terminate, and any excess payroll deductions credited to his or her account shall be paid to the Participant in a lump sum as soon as reasonably practicable without any interest thereon.</w:t>
      </w:r>
    </w:p>
    <w:p>
      <w:pPr>
        <w:spacing w:after="0" w:line="186"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 xml:space="preserve">Section VI.3 </w:t>
      </w:r>
      <w:r>
        <w:rPr>
          <w:rFonts w:ascii="Arial" w:cs="Arial" w:eastAsia="Arial" w:hAnsi="Arial"/>
          <w:sz w:val="19"/>
          <w:szCs w:val="19"/>
          <w:i w:val="1"/>
          <w:iCs w:val="1"/>
          <w:color w:val="auto"/>
        </w:rPr>
        <w:t>Purchase Price</w:t>
      </w:r>
      <w:r>
        <w:rPr>
          <w:rFonts w:ascii="Arial" w:cs="Arial" w:eastAsia="Arial" w:hAnsi="Arial"/>
          <w:sz w:val="19"/>
          <w:szCs w:val="19"/>
          <w:color w:val="auto"/>
        </w:rPr>
        <w:t>. The purchase price per Share with respect to an Offering Period shall be ninety-five percent (95%) of the lesser of the Fair Market Value of a Share on the Offer Date or the Acquisition Date; provided, however, the purchase price may be determined for subsequent Offering Periods by the Administrator subject to compliance with Section 423 of the Code (or any successor rule or provision or any other applicable law, regulation or stock exchange rule) or pursuant to Section 10.9 below.</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Purchase of Shares Under Share Purchase Rights</w:t>
      </w:r>
    </w:p>
    <w:p>
      <w:pPr>
        <w:spacing w:after="0" w:line="200"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 xml:space="preserve">Section VII.1 </w:t>
      </w:r>
      <w:r>
        <w:rPr>
          <w:rFonts w:ascii="Arial" w:cs="Arial" w:eastAsia="Arial" w:hAnsi="Arial"/>
          <w:sz w:val="16"/>
          <w:szCs w:val="16"/>
          <w:i w:val="1"/>
          <w:iCs w:val="1"/>
          <w:color w:val="auto"/>
        </w:rPr>
        <w:t>Purchase</w:t>
      </w:r>
      <w:r>
        <w:rPr>
          <w:rFonts w:ascii="Arial" w:cs="Arial" w:eastAsia="Arial" w:hAnsi="Arial"/>
          <w:sz w:val="16"/>
          <w:szCs w:val="16"/>
          <w:color w:val="auto"/>
        </w:rPr>
        <w:t>. Each Participant shall automatically be deemed to have exercised his/her Share Purchase Right for such Offering Period and to have purchased and acquired as of the Acquisition Date the number of whole Shares subject to the Share Purchase Right at the Purchase Price for that Offering Period with the Contributions in such Participant’s account. Any surplus in the account that is insufficient to purchase a whole Share shall be carried forward into the next Offering Period unless the Participant has elected to withdraw from the Plan pursuant to Article IX or the Administrator determines that surplus amounts for Participants shall not be carried forward, in which case such surplus amount shall be distributed to the Participant in a lump sum as soon as reasonably practicable without any interest thereon.</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VII.2</w:t>
      </w:r>
      <w:r>
        <w:rPr>
          <w:sz w:val="20"/>
          <w:szCs w:val="20"/>
          <w:color w:val="auto"/>
        </w:rPr>
        <w:tab/>
      </w:r>
      <w:r>
        <w:rPr>
          <w:rFonts w:ascii="Arial" w:cs="Arial" w:eastAsia="Arial" w:hAnsi="Arial"/>
          <w:sz w:val="18"/>
          <w:szCs w:val="18"/>
          <w:i w:val="1"/>
          <w:iCs w:val="1"/>
          <w:color w:val="auto"/>
        </w:rPr>
        <w:t>Registration Compliance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994" w:right="359" w:bottom="1440" w:gutter="0" w:footer="0" w:header="0"/>
        </w:sectPr>
      </w:pPr>
    </w:p>
    <w:bookmarkStart w:id="67" w:name="page68"/>
    <w:bookmarkEnd w:id="67"/>
    <w:p>
      <w:pPr>
        <w:ind w:right="360" w:firstLine="8"/>
        <w:spacing w:after="0" w:line="291" w:lineRule="auto"/>
        <w:tabs>
          <w:tab w:leader="none" w:pos="6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Shares may be purchased hereunder unless the Shares to be issued or transferred upon purchase are covered by an effective registration statement pursuant to the Securities Act or are eligible for an exemption from the registration requirements, and the Plan is in material compliance with all applicable federal, state, foreign and other securities and other laws applicable to the Plan.</w:t>
      </w:r>
    </w:p>
    <w:p>
      <w:pPr>
        <w:spacing w:after="0" w:line="151" w:lineRule="exact"/>
        <w:rPr>
          <w:rFonts w:ascii="Arial" w:cs="Arial" w:eastAsia="Arial" w:hAnsi="Arial"/>
          <w:sz w:val="18"/>
          <w:szCs w:val="18"/>
          <w:color w:val="auto"/>
        </w:rPr>
      </w:pPr>
    </w:p>
    <w:p>
      <w:pPr>
        <w:jc w:val="both"/>
        <w:ind w:right="120" w:firstLine="8"/>
        <w:spacing w:after="0" w:line="282"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on the Acquisition Date of any Offering Period, the Shares are not registered or exempt, or the Plan is not in such compliance, no Shares shall be purchased hereunder on the Acquisition Date. In such case, the Acquisition Date shall be delayed until the Shares are subject to such an effective registration statement or exempt, and the Plan is in such compliance. The delayed Acquisition Date shall in no event be more than 27 months after the Offer Date or, if applicable, such lesser time as permitted under Section 423 of the Code.</w:t>
      </w:r>
    </w:p>
    <w:p>
      <w:pPr>
        <w:spacing w:after="0" w:line="161" w:lineRule="exact"/>
        <w:rPr>
          <w:rFonts w:ascii="Arial" w:cs="Arial" w:eastAsia="Arial" w:hAnsi="Arial"/>
          <w:sz w:val="18"/>
          <w:szCs w:val="18"/>
          <w:color w:val="auto"/>
        </w:rPr>
      </w:pPr>
    </w:p>
    <w:p>
      <w:pPr>
        <w:ind w:right="240" w:firstLine="8"/>
        <w:spacing w:after="0" w:line="328" w:lineRule="auto"/>
        <w:tabs>
          <w:tab w:leader="none" w:pos="638"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on the Acquisition Date of any Offering Period, as delayed to the maximum extent permissible as provided for in Section 7.2(b) above, the Shares are not registered or exempt and the Plan is not in such compliance, no Shares under the Share Purchase Rights shall be purchased, and all Contributions accumulated during the Offering Period (reduced to the extent, if any, such deductions have been used to acquire Shares) shall be distributed to the Participants in a lump sum as soon as reasonably practicable without any interest thereon.</w:t>
      </w:r>
    </w:p>
    <w:p>
      <w:pPr>
        <w:spacing w:after="0" w:line="12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 xml:space="preserve">Section VII.3 </w:t>
      </w:r>
      <w:r>
        <w:rPr>
          <w:rFonts w:ascii="Arial" w:cs="Arial" w:eastAsia="Arial" w:hAnsi="Arial"/>
          <w:sz w:val="20"/>
          <w:szCs w:val="20"/>
          <w:i w:val="1"/>
          <w:iCs w:val="1"/>
          <w:color w:val="auto"/>
        </w:rPr>
        <w:t>Delivery of Shares</w:t>
      </w:r>
      <w:r>
        <w:rPr>
          <w:rFonts w:ascii="Arial" w:cs="Arial" w:eastAsia="Arial" w:hAnsi="Arial"/>
          <w:sz w:val="20"/>
          <w:szCs w:val="20"/>
          <w:color w:val="auto"/>
        </w:rPr>
        <w:t>. As soon as reasonably practicable after each Acquisition Date, the Company shall deliver the Shares acquired by each Participant during an Offering Period to the Participant’s individual Plan designated brokerage account at a stock brokerage or other financial services firm designated by the Administrator.</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VII.4</w:t>
      </w:r>
      <w:r>
        <w:rPr>
          <w:sz w:val="20"/>
          <w:szCs w:val="20"/>
          <w:color w:val="auto"/>
        </w:rPr>
        <w:tab/>
      </w:r>
      <w:r>
        <w:rPr>
          <w:rFonts w:ascii="Arial" w:cs="Arial" w:eastAsia="Arial" w:hAnsi="Arial"/>
          <w:sz w:val="16"/>
          <w:szCs w:val="16"/>
          <w:i w:val="1"/>
          <w:iCs w:val="1"/>
          <w:color w:val="auto"/>
        </w:rPr>
        <w:t>Vesting</w:t>
      </w:r>
      <w:r>
        <w:rPr>
          <w:rFonts w:ascii="Arial" w:cs="Arial" w:eastAsia="Arial" w:hAnsi="Arial"/>
          <w:sz w:val="16"/>
          <w:szCs w:val="16"/>
          <w:color w:val="auto"/>
        </w:rPr>
        <w:t>. A Participant’s interest in the Common Stock purchased hereunder shall be immediately vested and nonforfeitable.</w:t>
      </w:r>
    </w:p>
    <w:p>
      <w:pPr>
        <w:spacing w:after="0" w:line="216" w:lineRule="exact"/>
        <w:rPr>
          <w:sz w:val="20"/>
          <w:szCs w:val="20"/>
          <w:color w:val="auto"/>
        </w:rPr>
      </w:pPr>
    </w:p>
    <w:p>
      <w:pPr>
        <w:jc w:val="both"/>
        <w:ind w:right="240"/>
        <w:spacing w:after="0" w:line="269" w:lineRule="auto"/>
        <w:rPr>
          <w:sz w:val="20"/>
          <w:szCs w:val="20"/>
          <w:color w:val="auto"/>
        </w:rPr>
      </w:pPr>
      <w:r>
        <w:rPr>
          <w:rFonts w:ascii="Arial" w:cs="Arial" w:eastAsia="Arial" w:hAnsi="Arial"/>
          <w:sz w:val="19"/>
          <w:szCs w:val="19"/>
          <w:color w:val="auto"/>
        </w:rPr>
        <w:t xml:space="preserve">Section VII.5 </w:t>
      </w:r>
      <w:r>
        <w:rPr>
          <w:rFonts w:ascii="Arial" w:cs="Arial" w:eastAsia="Arial" w:hAnsi="Arial"/>
          <w:sz w:val="19"/>
          <w:szCs w:val="19"/>
          <w:i w:val="1"/>
          <w:iCs w:val="1"/>
          <w:color w:val="auto"/>
        </w:rPr>
        <w:t>Nontransferability</w:t>
      </w:r>
      <w:r>
        <w:rPr>
          <w:rFonts w:ascii="Arial" w:cs="Arial" w:eastAsia="Arial" w:hAnsi="Arial"/>
          <w:sz w:val="19"/>
          <w:szCs w:val="19"/>
          <w:color w:val="auto"/>
        </w:rPr>
        <w:t xml:space="preserve"> . Each Share Purchase Right granted under this Plan shall be nontransferable. During the lifetime of the Participant, the Shares under a Share Purchase Right may be purchased only by the Participant. No right or interest of a Participant in any Share Purchase Right shall be liable for, or subject to, any lien, obligation, or liability of such Participant.</w:t>
      </w:r>
    </w:p>
    <w:p>
      <w:pPr>
        <w:spacing w:after="0" w:line="164"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Restrictions on Sale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Shares of Common Stock purchased under the Plan may be subject to any such holding restrictions that the Administrator shall determine to be appropriate with respect to any Offering Period consistent with Section 423 of the Code.</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Withdrawal from Participation and Termination of Employment</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Participant may terminate his/her participation in an Offering Period by giving notice to the Administrator in such form and by such time before the Acquisition Date as may be established by the Administrator. In the event of a Participant’s withdrawal in accordance with the preceding sentence, payroll deductions shall cease for the remainder of the Offering Period in accordance with established payroll processes and schedules, and the payroll deductions credited to his or her Plan account as of the date of such withdrawal shall be used to purchase shares of Common Stock following such Offering Period in accordance with Section 7.1. A Participant shall be deemed to have elected to withdraw from the Plan in accordance with this Article IX if he or she ceases to be an Employee employed by the Company or an eligible Subsidiary for any reason. A Participant also shall be deemed to have elected to withdraw from the Plan as of the date of any hardship withdrawal, if the Participant makes a hardship withdrawal from the Company’s 401(k) Savings Plan and is prohibited from making employee contributions to the Plan under Section 401(k) of the Code and the regulations thereunder. Unless the Administrator determines otherwise consistent with Section 423 of the Code, a Participant’s withdrawal (other than due to a termination of employment) during an Offering Period shall not have any effect upon the Participant’s eligibility to participate in the Plan during a subsequent Offering Period.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00" w:right="339" w:bottom="1440" w:gutter="0" w:footer="0" w:header="0"/>
        </w:sectPr>
      </w:pPr>
    </w:p>
    <w:bookmarkStart w:id="68" w:name="page69"/>
    <w:bookmarkEnd w:id="68"/>
    <w:p>
      <w:pPr>
        <w:ind w:left="4980"/>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General Provisions</w:t>
      </w:r>
    </w:p>
    <w:p>
      <w:pPr>
        <w:spacing w:after="0" w:line="20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Section X.1 </w:t>
      </w:r>
      <w:r>
        <w:rPr>
          <w:rFonts w:ascii="Arial" w:cs="Arial" w:eastAsia="Arial" w:hAnsi="Arial"/>
          <w:sz w:val="20"/>
          <w:szCs w:val="20"/>
          <w:i w:val="1"/>
          <w:iCs w:val="1"/>
          <w:color w:val="auto"/>
        </w:rPr>
        <w:t>Administration.</w:t>
      </w:r>
      <w:r>
        <w:rPr>
          <w:rFonts w:ascii="Arial" w:cs="Arial" w:eastAsia="Arial" w:hAnsi="Arial"/>
          <w:sz w:val="20"/>
          <w:szCs w:val="20"/>
          <w:color w:val="auto"/>
        </w:rPr>
        <w:t xml:space="preserve"> The Plan shall be administered by the Administrator. The Administrator may prescribe, amend and rescind rules and regulations relating to the administration of the Plan and make all other determinations necessary or advisable for the administration and interpretation of the Plan. Any authority exercised by the Administrator under the Plan shall be exercised by the Administrator in its sole discretion. Determinations, interpretations, or other actions made or taken by the Administrator under the Plan shall be final, binding, and conclusive for all purposes and upon all Persons.</w:t>
      </w:r>
    </w:p>
    <w:p>
      <w:pPr>
        <w:spacing w:after="0" w:line="194"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 xml:space="preserve">Section X.2 </w:t>
      </w:r>
      <w:r>
        <w:rPr>
          <w:rFonts w:ascii="Arial" w:cs="Arial" w:eastAsia="Arial" w:hAnsi="Arial"/>
          <w:sz w:val="19"/>
          <w:szCs w:val="19"/>
          <w:i w:val="1"/>
          <w:iCs w:val="1"/>
          <w:color w:val="auto"/>
        </w:rPr>
        <w:t>Delegation by the Administrator</w:t>
      </w:r>
      <w:r>
        <w:rPr>
          <w:rFonts w:ascii="Arial" w:cs="Arial" w:eastAsia="Arial" w:hAnsi="Arial"/>
          <w:sz w:val="19"/>
          <w:szCs w:val="19"/>
          <w:color w:val="auto"/>
        </w:rPr>
        <w:t>. Any or all of the powers, duties, and responsibilities of the Administrator hereunder may be delegated by the Administrator to, and thereafter exercised by, one or more persons designated by the Administrator, including members of management of the Company and/or members of the human resources function of the Company, and any determination, interpretation, or other action taken by such designee shall have the same effect hereunder as if made or taken by the Administrator.</w:t>
      </w:r>
    </w:p>
    <w:p>
      <w:pPr>
        <w:spacing w:after="0" w:line="17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 xml:space="preserve">Section X.3 </w:t>
      </w:r>
      <w:r>
        <w:rPr>
          <w:rFonts w:ascii="Arial" w:cs="Arial" w:eastAsia="Arial" w:hAnsi="Arial"/>
          <w:sz w:val="20"/>
          <w:szCs w:val="20"/>
          <w:i w:val="1"/>
          <w:iCs w:val="1"/>
          <w:color w:val="auto"/>
        </w:rPr>
        <w:t>Rights as a Shareholder</w:t>
      </w:r>
      <w:r>
        <w:rPr>
          <w:rFonts w:ascii="Arial" w:cs="Arial" w:eastAsia="Arial" w:hAnsi="Arial"/>
          <w:sz w:val="20"/>
          <w:szCs w:val="20"/>
          <w:color w:val="auto"/>
        </w:rPr>
        <w:t>. A Participant shall have no rights as a shareholder of the Company with respect to shares of Common Stock covered by a Share Purchase Right until the date of the issuance of the Shares pursuant to Section 7.3 hereof. No adjustment will be made for dividends or other rights for which the record date is prior to the date of such issuance. For purposes of the plan, the Company, in lieu of the issuance of certificates, may utilize a book entry account system for recording ownership of Shares of Common Stock, subject to the rules generally applicable to such system.</w:t>
      </w:r>
    </w:p>
    <w:p>
      <w:pPr>
        <w:spacing w:after="0" w:line="19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 xml:space="preserve">Section X.4 </w:t>
      </w:r>
      <w:r>
        <w:rPr>
          <w:rFonts w:ascii="Arial" w:cs="Arial" w:eastAsia="Arial" w:hAnsi="Arial"/>
          <w:sz w:val="20"/>
          <w:szCs w:val="20"/>
          <w:i w:val="1"/>
          <w:iCs w:val="1"/>
          <w:color w:val="auto"/>
        </w:rPr>
        <w:t>Tax Withholding</w:t>
      </w:r>
      <w:r>
        <w:rPr>
          <w:rFonts w:ascii="Arial" w:cs="Arial" w:eastAsia="Arial" w:hAnsi="Arial"/>
          <w:sz w:val="20"/>
          <w:szCs w:val="20"/>
          <w:color w:val="auto"/>
        </w:rPr>
        <w:t>. The Company shall have the power to withhold, or to require the Participant to remit to the Company, an amount in cash sufficient to satisfy any and all U.S. federal, state, local, and any non-U.S. withholding tax or other governmental tax, charge or fee requirements in respect of any payment under the Plan. In any event, each Participant shall be solely responsible for all tax liabilities associated with his/her participation in this Plan.</w:t>
      </w:r>
    </w:p>
    <w:p>
      <w:pPr>
        <w:spacing w:after="0" w:line="191"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 xml:space="preserve">Section X.5 </w:t>
      </w:r>
      <w:r>
        <w:rPr>
          <w:rFonts w:ascii="Arial" w:cs="Arial" w:eastAsia="Arial" w:hAnsi="Arial"/>
          <w:sz w:val="19"/>
          <w:szCs w:val="19"/>
          <w:i w:val="1"/>
          <w:iCs w:val="1"/>
          <w:color w:val="auto"/>
        </w:rPr>
        <w:t>At-Will Employment</w:t>
      </w:r>
      <w:r>
        <w:rPr>
          <w:rFonts w:ascii="Arial" w:cs="Arial" w:eastAsia="Arial" w:hAnsi="Arial"/>
          <w:sz w:val="19"/>
          <w:szCs w:val="19"/>
          <w:color w:val="auto"/>
        </w:rPr>
        <w:t>. Nothing in the Plan shall confer upon any Participant any right to continue in the employ of the Company or any of its Subsidiaries or shall interfere with or restrict in any way the rights of the Company and any of its Subsidiaries, which are hereby expressly reserved, to discharge any Participant at any time for any reason whatsoever, with or without cause.</w:t>
      </w:r>
    </w:p>
    <w:p>
      <w:pPr>
        <w:spacing w:after="0" w:line="170"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 xml:space="preserve">Section X.6 </w:t>
      </w:r>
      <w:r>
        <w:rPr>
          <w:rFonts w:ascii="Arial" w:cs="Arial" w:eastAsia="Arial" w:hAnsi="Arial"/>
          <w:sz w:val="18"/>
          <w:szCs w:val="18"/>
          <w:i w:val="1"/>
          <w:iCs w:val="1"/>
          <w:color w:val="auto"/>
        </w:rPr>
        <w:t>Unfunded Plan; Plan Not Subject to ERISA</w:t>
      </w:r>
      <w:r>
        <w:rPr>
          <w:rFonts w:ascii="Arial" w:cs="Arial" w:eastAsia="Arial" w:hAnsi="Arial"/>
          <w:sz w:val="18"/>
          <w:szCs w:val="18"/>
          <w:color w:val="auto"/>
        </w:rPr>
        <w:t xml:space="preserve"> . The Plan is an unfunded plan and Participants shall have the status of unsecured creditors of the Company. The Plan is not intended to be subject to the Employee Retirement Income Security Act of 1974, as amended.</w:t>
      </w:r>
    </w:p>
    <w:p>
      <w:pPr>
        <w:spacing w:after="0" w:line="13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Section X.7 </w:t>
      </w:r>
      <w:r>
        <w:rPr>
          <w:rFonts w:ascii="Arial" w:cs="Arial" w:eastAsia="Arial" w:hAnsi="Arial"/>
          <w:sz w:val="18"/>
          <w:szCs w:val="18"/>
          <w:i w:val="1"/>
          <w:iCs w:val="1"/>
          <w:color w:val="auto"/>
        </w:rPr>
        <w:t>Freedom of Action</w:t>
      </w:r>
      <w:r>
        <w:rPr>
          <w:rFonts w:ascii="Arial" w:cs="Arial" w:eastAsia="Arial" w:hAnsi="Arial"/>
          <w:sz w:val="18"/>
          <w:szCs w:val="18"/>
          <w:color w:val="auto"/>
        </w:rPr>
        <w:t>. Nothing in the Plan shall be construed as limiting or preventing the Company or any of its affiliates from taking any action that it deems appropriate or in its best interest (as determined in its sole and absolute discretion) and no Participant (or person claiming by or through a Participant) shall have any right relating to the diminishment in the value of any account or any associated return as a result of any such action. The foregoing shall not constitute a waiver by a Participant of the terms and provisions of the Plan.</w:t>
      </w:r>
    </w:p>
    <w:p>
      <w:pPr>
        <w:spacing w:after="0" w:line="161"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 xml:space="preserve">Section X.8 </w:t>
      </w:r>
      <w:r>
        <w:rPr>
          <w:rFonts w:ascii="Arial" w:cs="Arial" w:eastAsia="Arial" w:hAnsi="Arial"/>
          <w:sz w:val="20"/>
          <w:szCs w:val="20"/>
          <w:i w:val="1"/>
          <w:iCs w:val="1"/>
          <w:color w:val="auto"/>
        </w:rPr>
        <w:t>Term of Plan</w:t>
      </w:r>
      <w:r>
        <w:rPr>
          <w:rFonts w:ascii="Arial" w:cs="Arial" w:eastAsia="Arial" w:hAnsi="Arial"/>
          <w:sz w:val="20"/>
          <w:szCs w:val="20"/>
          <w:color w:val="auto"/>
        </w:rPr>
        <w:t>. The Plan shall be effective upon the Effective Date. The Plan shall terminate on the earlier of (i) the tenth anniversary of the Effective Date, (ii) the termination of the Plan pursuant to Section 10.9 or (iii) the date on which no more Shares are available for issuance under the Plan. Upon termination of the Plan, all funds accumulated in a Participant’s Plan account shall be paid to such Participant in a lump sum as soon as reasonably practicable without any interest thereon, and all Share Purchase Rights shall automatically terminate.</w:t>
      </w:r>
    </w:p>
    <w:p>
      <w:pPr>
        <w:spacing w:after="0" w:line="194"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 xml:space="preserve">Section X.9 </w:t>
      </w:r>
      <w:r>
        <w:rPr>
          <w:rFonts w:ascii="Arial" w:cs="Arial" w:eastAsia="Arial" w:hAnsi="Arial"/>
          <w:sz w:val="20"/>
          <w:szCs w:val="20"/>
          <w:i w:val="1"/>
          <w:iCs w:val="1"/>
          <w:color w:val="auto"/>
        </w:rPr>
        <w:t>Amendment or Alteration</w:t>
      </w:r>
      <w:r>
        <w:rPr>
          <w:rFonts w:ascii="Arial" w:cs="Arial" w:eastAsia="Arial" w:hAnsi="Arial"/>
          <w:sz w:val="20"/>
          <w:szCs w:val="20"/>
          <w:color w:val="auto"/>
        </w:rPr>
        <w:t>. The Administrator may at any time amend, suspend, discontinue or terminate the Plan; provided that if the Plan is amended in a manner that is considered the adoption of a new plan pursuant to Section 423 of the Code, including (i) an increase in the aggregate number of Shares that may be issued under the Plan pursuant to Section 3.1 (other than an increase merely reflecting a change in the number of outstanding Shares pursuant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94" w:right="339" w:bottom="1440" w:gutter="0" w:footer="0" w:header="0"/>
        </w:sectPr>
      </w:pPr>
    </w:p>
    <w:bookmarkStart w:id="69" w:name="page70"/>
    <w:bookmarkEnd w:id="69"/>
    <w:p>
      <w:pPr>
        <w:ind w:right="140"/>
        <w:spacing w:after="0" w:line="282" w:lineRule="auto"/>
        <w:rPr>
          <w:sz w:val="20"/>
          <w:szCs w:val="20"/>
          <w:color w:val="auto"/>
        </w:rPr>
      </w:pPr>
      <w:r>
        <w:rPr>
          <w:rFonts w:ascii="Arial" w:cs="Arial" w:eastAsia="Arial" w:hAnsi="Arial"/>
          <w:sz w:val="18"/>
          <w:szCs w:val="18"/>
          <w:color w:val="auto"/>
        </w:rPr>
        <w:t>Section 3.2), or (ii) a change in the granting Company or the stock available for purchase under the Plan, such amendment shall not be effective until approved by the stockholders of the Company. The Administrator, in its sole discretion, may terminate the Plan at any time. Upon such termination, all funds accumulated in a Participant’s account at such time shall be paid to such Participant in a lump sum as soon as reasonably practicable without any interest thereon, and all Share Purchase Rights shall automatically terminate.</w:t>
      </w:r>
    </w:p>
    <w:p>
      <w:pPr>
        <w:spacing w:after="0" w:line="16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 xml:space="preserve">Section X.10 </w:t>
      </w:r>
      <w:r>
        <w:rPr>
          <w:rFonts w:ascii="Arial" w:cs="Arial" w:eastAsia="Arial" w:hAnsi="Arial"/>
          <w:sz w:val="20"/>
          <w:szCs w:val="20"/>
          <w:i w:val="1"/>
          <w:iCs w:val="1"/>
          <w:color w:val="auto"/>
        </w:rPr>
        <w:t>Severability</w:t>
      </w:r>
      <w:r>
        <w:rPr>
          <w:rFonts w:ascii="Arial" w:cs="Arial" w:eastAsia="Arial" w:hAnsi="Arial"/>
          <w:sz w:val="20"/>
          <w:szCs w:val="20"/>
          <w:color w:val="auto"/>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 xml:space="preserve">Section X.11 </w:t>
      </w:r>
      <w:r>
        <w:rPr>
          <w:rFonts w:ascii="Arial" w:cs="Arial" w:eastAsia="Arial" w:hAnsi="Arial"/>
          <w:sz w:val="19"/>
          <w:szCs w:val="19"/>
          <w:i w:val="1"/>
          <w:iCs w:val="1"/>
          <w:color w:val="auto"/>
        </w:rPr>
        <w:t>Assignment</w:t>
      </w:r>
      <w:r>
        <w:rPr>
          <w:rFonts w:ascii="Arial" w:cs="Arial" w:eastAsia="Arial" w:hAnsi="Arial"/>
          <w:sz w:val="19"/>
          <w:szCs w:val="19"/>
          <w:color w:val="auto"/>
        </w:rPr>
        <w:t>. Except as otherwise provided in this Section 10.11, this Plan shall inure to the benefit of and be binding upon the parties hereto and their respective heirs, representatives, successors, and assigns. Neither this Plan nor any right or interest hereunder shall be assignable by the Participant, his beneficiaries, or legal representatives; provided that nothing in this Section 10.11 shall preclude the Participant from designating a beneficiary to receive any benefit payable hereunder upon his death, or the executors, administrators, or other legal representatives of the Participant or his estate from assigning any rights hereunder to the person or persons entitled thereunto. This Plan shall be assignable by the Company to a Subsidiary or Affiliate of the Company; to any corporation, partnership, or other entity that may be organized by the Company; or to any corporation, partnership, or other entity resulting from the reorganization, merger, or consolidation of the Company with any other corporation, partnership, or other entity, or any corporation, partnership, or other entity to or with which all or any portion of the Company’s business or assets may be sold, exchanged, or transferred, in each case to the extent permitted under Section 423 of the Code.</w:t>
      </w:r>
    </w:p>
    <w:p>
      <w:pPr>
        <w:spacing w:after="0" w:line="190"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 xml:space="preserve">Section X.12 </w:t>
      </w:r>
      <w:r>
        <w:rPr>
          <w:rFonts w:ascii="Arial" w:cs="Arial" w:eastAsia="Arial" w:hAnsi="Arial"/>
          <w:sz w:val="19"/>
          <w:szCs w:val="19"/>
          <w:i w:val="1"/>
          <w:iCs w:val="1"/>
          <w:color w:val="auto"/>
        </w:rPr>
        <w:t>Non-Transferability of Rights</w:t>
      </w:r>
      <w:r>
        <w:rPr>
          <w:rFonts w:ascii="Arial" w:cs="Arial" w:eastAsia="Arial" w:hAnsi="Arial"/>
          <w:sz w:val="19"/>
          <w:szCs w:val="19"/>
          <w:color w:val="auto"/>
        </w:rPr>
        <w:t>. Unless otherwise agreed to in writing by the Administrator, no rights or interests hereunder or part thereof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10.12 shall prevent transfers by will or by the applicable laws of descent and distribution.</w:t>
      </w:r>
    </w:p>
    <w:p>
      <w:pPr>
        <w:spacing w:after="0" w:line="178" w:lineRule="exact"/>
        <w:rPr>
          <w:sz w:val="20"/>
          <w:szCs w:val="20"/>
          <w:color w:val="auto"/>
        </w:rPr>
      </w:pPr>
    </w:p>
    <w:p>
      <w:pPr>
        <w:ind w:right="900"/>
        <w:spacing w:after="0" w:line="287" w:lineRule="auto"/>
        <w:rPr>
          <w:sz w:val="20"/>
          <w:szCs w:val="20"/>
          <w:color w:val="auto"/>
        </w:rPr>
      </w:pPr>
      <w:r>
        <w:rPr>
          <w:rFonts w:ascii="Arial" w:cs="Arial" w:eastAsia="Arial" w:hAnsi="Arial"/>
          <w:sz w:val="19"/>
          <w:szCs w:val="19"/>
          <w:color w:val="auto"/>
        </w:rPr>
        <w:t xml:space="preserve">Section X.13 </w:t>
      </w:r>
      <w:r>
        <w:rPr>
          <w:rFonts w:ascii="Arial" w:cs="Arial" w:eastAsia="Arial" w:hAnsi="Arial"/>
          <w:sz w:val="19"/>
          <w:szCs w:val="19"/>
          <w:i w:val="1"/>
          <w:iCs w:val="1"/>
          <w:color w:val="auto"/>
        </w:rPr>
        <w:t>Headings</w:t>
      </w:r>
      <w:r>
        <w:rPr>
          <w:rFonts w:ascii="Arial" w:cs="Arial" w:eastAsia="Arial" w:hAnsi="Arial"/>
          <w:sz w:val="19"/>
          <w:szCs w:val="19"/>
          <w:color w:val="auto"/>
        </w:rPr>
        <w:t>. The Section headings appearing in this Plan are used for convenience of reference only and shall not be considered a part of this Plan or in any way modify, amend, or affect the meaning of any of its provisions.</w:t>
      </w:r>
    </w:p>
    <w:p>
      <w:pPr>
        <w:spacing w:after="0" w:line="152"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 xml:space="preserve">Section X.14 </w:t>
      </w:r>
      <w:r>
        <w:rPr>
          <w:rFonts w:ascii="Arial" w:cs="Arial" w:eastAsia="Arial" w:hAnsi="Arial"/>
          <w:sz w:val="19"/>
          <w:szCs w:val="19"/>
          <w:i w:val="1"/>
          <w:iCs w:val="1"/>
          <w:color w:val="auto"/>
        </w:rPr>
        <w:t>Rules of Construction</w:t>
      </w:r>
      <w:r>
        <w:rPr>
          <w:rFonts w:ascii="Arial" w:cs="Arial" w:eastAsia="Arial" w:hAnsi="Arial"/>
          <w:sz w:val="19"/>
          <w:szCs w:val="19"/>
          <w:color w:val="auto"/>
        </w:rPr>
        <w:t>.Whenever the context so requires, the use of the masculine gender shall be deemed to include the feminine and vice versa, and the use of the singular shall be deemed to include the plural and vice versa. The fact that this Plan was drafted by the Company shall not be taken into account in interpreting or construing any provision of this Plan.</w:t>
      </w:r>
    </w:p>
    <w:p>
      <w:pPr>
        <w:spacing w:after="0" w:line="170"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 xml:space="preserve">Section X.15 </w:t>
      </w:r>
      <w:r>
        <w:rPr>
          <w:rFonts w:ascii="Arial" w:cs="Arial" w:eastAsia="Arial" w:hAnsi="Arial"/>
          <w:sz w:val="18"/>
          <w:szCs w:val="18"/>
          <w:i w:val="1"/>
          <w:iCs w:val="1"/>
          <w:color w:val="auto"/>
        </w:rPr>
        <w:t>Governing Law</w:t>
      </w:r>
      <w:r>
        <w:rPr>
          <w:rFonts w:ascii="Arial" w:cs="Arial" w:eastAsia="Arial" w:hAnsi="Arial"/>
          <w:sz w:val="18"/>
          <w:szCs w:val="18"/>
          <w:color w:val="auto"/>
        </w:rPr>
        <w:t>. To the extent not preempted by federal law, the Plan shall be construed in accordance with and governed by the laws of the State of Delaware regardless of the application of rules of conflict of law that would apply the laws of any other jurisdiction.</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 xml:space="preserve">Section X.16 </w:t>
      </w:r>
      <w:r>
        <w:rPr>
          <w:rFonts w:ascii="Arial" w:cs="Arial" w:eastAsia="Arial" w:hAnsi="Arial"/>
          <w:sz w:val="19"/>
          <w:szCs w:val="19"/>
          <w:i w:val="1"/>
          <w:iCs w:val="1"/>
          <w:color w:val="auto"/>
        </w:rPr>
        <w:t>Conformity to Securities Laws</w:t>
      </w:r>
      <w:r>
        <w:rPr>
          <w:rFonts w:ascii="Arial" w:cs="Arial" w:eastAsia="Arial" w:hAnsi="Arial"/>
          <w:sz w:val="19"/>
          <w:szCs w:val="19"/>
          <w:color w:val="auto"/>
        </w:rPr>
        <w:t>. The Plan is intended to conform to the extent necessary with all provisions of the Securities Act and the Exchange Act and any and all regulations and rules promulgated under any of the foregoing, to the extent the Company, any of its Subsidiaries or any Participant is subject to the provisions thereof. Notwithstanding anything herein to the contrary, the Plan shall be administered only in such a manner as to conform to such laws, rules and regulations. To the extent permitted by applicable law, the Plan shall be deemed amended to the extent necessary to conform to such laws, rules and regulations. The Plan and each Participant’s participation hereunder shall be subject to the Company’s insider trading policy which may impact the ability of certain Participants to enroll in, or withdraw from, the Plan for a particular Offering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00" w:right="339" w:bottom="1440" w:gutter="0" w:footer="0" w:header="0"/>
        </w:sectPr>
      </w:pPr>
    </w:p>
    <w:bookmarkStart w:id="70" w:name="page71"/>
    <w:bookmarkEnd w:id="70"/>
    <w:p>
      <w:pPr>
        <w:ind w:right="540"/>
        <w:spacing w:after="0" w:line="260" w:lineRule="auto"/>
        <w:rPr>
          <w:sz w:val="20"/>
          <w:szCs w:val="20"/>
          <w:color w:val="auto"/>
        </w:rPr>
      </w:pPr>
      <w:r>
        <w:rPr>
          <w:rFonts w:ascii="Arial" w:cs="Arial" w:eastAsia="Arial" w:hAnsi="Arial"/>
          <w:sz w:val="20"/>
          <w:szCs w:val="20"/>
          <w:color w:val="auto"/>
        </w:rPr>
        <w:t xml:space="preserve">Section X.17 </w:t>
      </w:r>
      <w:r>
        <w:rPr>
          <w:rFonts w:ascii="Arial" w:cs="Arial" w:eastAsia="Arial" w:hAnsi="Arial"/>
          <w:sz w:val="20"/>
          <w:szCs w:val="20"/>
          <w:i w:val="1"/>
          <w:iCs w:val="1"/>
          <w:color w:val="auto"/>
        </w:rPr>
        <w:t>Tax Reporting Information</w:t>
      </w:r>
      <w:r>
        <w:rPr>
          <w:rFonts w:ascii="Arial" w:cs="Arial" w:eastAsia="Arial" w:hAnsi="Arial"/>
          <w:sz w:val="20"/>
          <w:szCs w:val="20"/>
          <w:color w:val="auto"/>
        </w:rPr>
        <w:t>. At the Company’s request, Participants will be required to provide the Company and any Affiliates with any information reasonably required for tax reporting purposes.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X.18</w:t>
      </w:r>
      <w:r>
        <w:rPr>
          <w:sz w:val="20"/>
          <w:szCs w:val="20"/>
          <w:color w:val="auto"/>
        </w:rPr>
        <w:tab/>
      </w:r>
      <w:r>
        <w:rPr>
          <w:rFonts w:ascii="Arial" w:cs="Arial" w:eastAsia="Arial" w:hAnsi="Arial"/>
          <w:sz w:val="18"/>
          <w:szCs w:val="18"/>
          <w:i w:val="1"/>
          <w:iCs w:val="1"/>
          <w:color w:val="auto"/>
        </w:rPr>
        <w:t>Participant Acknowledgment</w:t>
      </w:r>
      <w:r>
        <w:rPr>
          <w:rFonts w:ascii="Arial" w:cs="Arial" w:eastAsia="Arial" w:hAnsi="Arial"/>
          <w:sz w:val="18"/>
          <w:szCs w:val="18"/>
          <w:color w:val="auto"/>
        </w:rPr>
        <w:t>. By electing to participate in an Offering Period, Participants acknowledge and agree that</w:t>
      </w:r>
    </w:p>
    <w:p>
      <w:pPr>
        <w:spacing w:after="0" w:line="16" w:lineRule="exact"/>
        <w:rPr>
          <w:sz w:val="20"/>
          <w:szCs w:val="20"/>
          <w:color w:val="auto"/>
        </w:rPr>
      </w:pPr>
    </w:p>
    <w:p>
      <w:pPr>
        <w:ind w:firstLine="8"/>
        <w:spacing w:after="0" w:line="241" w:lineRule="auto"/>
        <w:tabs>
          <w:tab w:leader="none" w:pos="236" w:val="left"/>
        </w:tabs>
        <w:numPr>
          <w:ilvl w:val="0"/>
          <w:numId w:val="32"/>
        </w:numPr>
        <w:rPr>
          <w:rFonts w:ascii="Arial" w:cs="Arial" w:eastAsia="Arial" w:hAnsi="Arial"/>
          <w:sz w:val="20"/>
          <w:szCs w:val="20"/>
          <w:color w:val="auto"/>
        </w:rPr>
      </w:pPr>
      <w:r>
        <w:rPr>
          <w:rFonts w:ascii="Arial" w:cs="Arial" w:eastAsia="Arial" w:hAnsi="Arial"/>
          <w:sz w:val="20"/>
          <w:szCs w:val="20"/>
          <w:color w:val="auto"/>
        </w:rPr>
        <w:t>Participants may be required to hold Shares during any holding periods to which such Shares are subject; (ii) Shares acquired under the Plan may lose some or all of their value in the future; and (iii) Participants are able to afford to bear the economic risk of holding the Shares for any holding period and of any loss in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674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674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1000" w:right="4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1020"/>
        <w:spacing w:after="0"/>
        <w:tabs>
          <w:tab w:leader="none" w:pos="6420" w:val="left"/>
        </w:tabs>
        <w:rPr>
          <w:sz w:val="20"/>
          <w:szCs w:val="20"/>
          <w:color w:val="auto"/>
        </w:rPr>
      </w:pPr>
      <w:r>
        <w:rPr>
          <w:rFonts w:ascii="Arial" w:cs="Arial" w:eastAsia="Arial" w:hAnsi="Arial"/>
          <w:sz w:val="18"/>
          <w:szCs w:val="18"/>
          <w:color w:val="auto"/>
        </w:rPr>
        <w:t>August 16, 2021</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36944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0"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6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Michael T. Vollkommer, certify that:</w:t>
      </w:r>
    </w:p>
    <w:p>
      <w:pPr>
        <w:spacing w:after="0" w:line="2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120"/>
        <w:spacing w:after="0"/>
        <w:tabs>
          <w:tab w:leader="none" w:pos="7440" w:val="left"/>
        </w:tabs>
        <w:rPr>
          <w:sz w:val="20"/>
          <w:szCs w:val="20"/>
          <w:color w:val="auto"/>
        </w:rPr>
      </w:pPr>
      <w:r>
        <w:rPr>
          <w:rFonts w:ascii="Arial" w:cs="Arial" w:eastAsia="Arial" w:hAnsi="Arial"/>
          <w:sz w:val="18"/>
          <w:szCs w:val="18"/>
          <w:color w:val="auto"/>
        </w:rPr>
        <w:t>August 16, 2021</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0600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Michael T. Vollkommer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June 30, 2021 as filed with the Securities and Exchange Commission (the "Report"), each of the undersigned, on the dates indicated below, hereby certifies pursuant to 18 U.S.C. Section 1350, as adopted pursuant to Section 906 of the Sarbanes-Oxley Act of 2002, that:</w:t>
      </w:r>
    </w:p>
    <w:p>
      <w:pPr>
        <w:spacing w:after="0" w:line="21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August 16, 2021</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August 16, 2021</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Michael T. Vollkommer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800"/>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1"/>
    </w:lvl>
  </w:abstractNum>
  <w:abstractNum w:abstractNumId="5">
    <w:nsid w:val="436C6125"/>
    <w:multiLevelType w:val="hybridMultilevel"/>
    <w:lvl w:ilvl="0">
      <w:lvlJc w:val="left"/>
      <w:lvlText w:val="%1."/>
      <w:numFmt w:val="decimal"/>
      <w:start w:val="13"/>
    </w:lvl>
  </w:abstractNum>
  <w:abstractNum w:abstractNumId="6">
    <w:nsid w:val="628C895D"/>
    <w:multiLevelType w:val="hybridMultilevel"/>
    <w:lvl w:ilvl="0">
      <w:lvlJc w:val="left"/>
      <w:lvlText w:val="(%1)"/>
      <w:numFmt w:val="lowerLetter"/>
      <w:start w:val="1"/>
    </w:lvl>
    <w:lvl w:ilvl="1">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7"/>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32"/>
    </w:lvl>
  </w:abstractNum>
  <w:abstractNum w:abstractNumId="14">
    <w:nsid w:val="79838CB2"/>
    <w:multiLevelType w:val="hybridMultilevel"/>
    <w:lvl w:ilvl="0">
      <w:lvlJc w:val="left"/>
      <w:lvlText w:val="*"/>
      <w:numFmt w:val="bullet"/>
      <w:start w:val="1"/>
    </w:lvl>
    <w:lvl w:ilvl="1">
      <w:lvlJc w:val="left"/>
      <w:lvlText w:val="%2"/>
      <w:numFmt w:val="decimal"/>
      <w:start w:val="104"/>
    </w:lvl>
  </w:abstractNum>
  <w:abstractNum w:abstractNumId="15">
    <w:nsid w:val="4353D0CD"/>
    <w:multiLevelType w:val="hybridMultilevel"/>
    <w:lvl w:ilvl="0">
      <w:lvlJc w:val="left"/>
      <w:lvlText w:val="**"/>
      <w:numFmt w:val="bullet"/>
      <w:start w:val="1"/>
    </w:lvl>
    <w:lvl w:ilvl="1">
      <w:lvlJc w:val="left"/>
      <w:lvlText w:val="%2"/>
      <w:numFmt w:val="decimal"/>
      <w:start w:val="1"/>
    </w:lvl>
  </w:abstractNum>
  <w:abstractNum w:abstractNumId="16">
    <w:nsid w:val="B03E0C6"/>
    <w:multiLevelType w:val="hybridMultilevel"/>
    <w:lvl w:ilvl="0">
      <w:lvlJc w:val="left"/>
      <w:lvlText w:val="†"/>
      <w:numFmt w:val="bullet"/>
      <w:start w:val="1"/>
    </w:lvl>
    <w:lvl w:ilvl="1">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1."/>
      <w:numFmt w:val="decimal"/>
      <w:start w:val="5"/>
    </w:lvl>
  </w:abstractNum>
  <w:abstractNum w:abstractNumId="20">
    <w:nsid w:val="2CA88611"/>
    <w:multiLevelType w:val="hybridMultilevel"/>
    <w:lvl w:ilvl="0">
      <w:lvlJc w:val="left"/>
      <w:lvlText w:val="%1."/>
      <w:numFmt w:val="decimal"/>
      <w:start w:val="6"/>
    </w:lvl>
  </w:abstractNum>
  <w:abstractNum w:abstractNumId="21">
    <w:nsid w:val="836C40E"/>
    <w:multiLevelType w:val="hybridMultilevel"/>
    <w:lvl w:ilvl="0">
      <w:lvlJc w:val="left"/>
      <w:lvlText w:val="%1."/>
      <w:numFmt w:val="decimal"/>
      <w:start w:val="7"/>
    </w:lvl>
  </w:abstractNum>
  <w:abstractNum w:abstractNumId="22">
    <w:nsid w:val="2901D82"/>
    <w:multiLevelType w:val="hybridMultilevel"/>
    <w:lvl w:ilvl="0">
      <w:lvlJc w:val="left"/>
      <w:lvlText w:val="(%1)"/>
      <w:numFmt w:val="lowerLetter"/>
      <w:start w:val="1"/>
    </w:lvl>
    <w:lvl w:ilvl="1">
      <w:lvlJc w:val="left"/>
      <w:lvlText w:val="(%2)"/>
      <w:numFmt w:val="lowerRoman"/>
      <w:start w:val="1"/>
    </w:lvl>
  </w:abstractNum>
  <w:abstractNum w:abstractNumId="23">
    <w:nsid w:val="3A95F874"/>
    <w:multiLevelType w:val="hybridMultilevel"/>
    <w:lvl w:ilvl="0">
      <w:lvlJc w:val="left"/>
      <w:lvlText w:val="(%1)"/>
      <w:numFmt w:val="lowerRoman"/>
      <w:start w:val="3"/>
    </w:lvl>
    <w:lvl w:ilvl="1">
      <w:lvlJc w:val="left"/>
      <w:lvlText w:val="(%2)"/>
      <w:numFmt w:val="lowerRoman"/>
      <w:start w:val="10"/>
    </w:lvl>
  </w:abstractNum>
  <w:abstractNum w:abstractNumId="24">
    <w:nsid w:val="8138641"/>
    <w:multiLevelType w:val="hybridMultilevel"/>
    <w:lvl w:ilvl="0">
      <w:lvlJc w:val="left"/>
      <w:lvlText w:val="(%1)"/>
      <w:numFmt w:val="lowerLetter"/>
      <w:start w:val="6"/>
    </w:lvl>
  </w:abstractNum>
  <w:abstractNum w:abstractNumId="25">
    <w:nsid w:val="1E7FF521"/>
    <w:multiLevelType w:val="hybridMultilevel"/>
    <w:lvl w:ilvl="0">
      <w:lvlJc w:val="left"/>
      <w:lvlText w:val="(%1)"/>
      <w:numFmt w:val="lowerLetter"/>
      <w:start w:val="14"/>
    </w:lvl>
    <w:lvl w:ilvl="1">
      <w:lvlJc w:val="left"/>
      <w:lvlText w:val="(%2)"/>
      <w:numFmt w:val="lowerRoman"/>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35"/>
    </w:lvl>
  </w:abstractNum>
  <w:abstractNum w:abstractNumId="28">
    <w:nsid w:val="6CEAF087"/>
    <w:multiLevelType w:val="hybridMultilevel"/>
    <w:lvl w:ilvl="0">
      <w:lvlJc w:val="left"/>
      <w:lvlText w:val="(%1)"/>
      <w:numFmt w:val="lowerLetter"/>
      <w:start w:val="3"/>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Roman"/>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72"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jpe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65" Type="http://schemas.openxmlformats.org/officeDocument/2006/relationships/hyperlink" Target="https://www.sec.gov/Archives/edgar/data/1653558/000165355821000065/exhibit31-priorityxcertifi.htm" TargetMode="External"/><Relationship Id="rId66" Type="http://schemas.openxmlformats.org/officeDocument/2006/relationships/hyperlink" Target="https://www.sec.gov/Archives/edgar/data/0001653558/000161577418007231/s111606_8k.htm" TargetMode="External"/><Relationship Id="rId68" Type="http://schemas.openxmlformats.org/officeDocument/2006/relationships/hyperlink" Target="https://www.sec.gov/Archives/edgar/data/1653558/000165355821000065/exhibit41-priorityxwarrant.htm" TargetMode="External"/><Relationship Id="rId69" Type="http://schemas.openxmlformats.org/officeDocument/2006/relationships/hyperlink" Target="https://www.sec.gov/ix?doc=/Archives/edgar/data/0001653558/000165355820000148/prth-20200831.htm" TargetMode="External"/><Relationship Id="rId70" Type="http://schemas.openxmlformats.org/officeDocument/2006/relationships/hyperlink" Target="https://www.sec.gov/Archives/edgar/data/1653558/000165355821000065/exhibit101-priorityxpurcha.htm" TargetMode="External"/><Relationship Id="rId71" Type="http://schemas.openxmlformats.org/officeDocument/2006/relationships/hyperlink" Target="https://www.sec.gov/Archives/edgar/data/1653558/000165355821000065/exhibit102-priorityxregist.htm" TargetMode="External"/><Relationship Id="rId73" Type="http://schemas.openxmlformats.org/officeDocument/2006/relationships/hyperlink" Target="https://www.sec.gov/Archives/edgar/data/1653558/000165355821000065/exhibit103-prioritypay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2021-08-16T16:20:01Z</dcterms:created>
  <dcterms:modified xsi:type="dcterms:W3CDTF">2021-08-16T16:20:01Z</dcterms:modified>
</cp:coreProperties>
</file>