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0" w:lineRule="exact"/>
        <w:rPr>
          <w:sz w:val="24"/>
          <w:szCs w:val="24"/>
          <w:color w:val="auto"/>
        </w:rPr>
      </w:pPr>
    </w:p>
    <w:p>
      <w:pPr>
        <w:jc w:val="center"/>
        <w:ind w:left="4020" w:right="1420" w:hanging="2616"/>
        <w:spacing w:after="0" w:line="294"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2022</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FFFFFF"/>
        </w:rPr>
        <w:t>Priority Technology Holdings,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53975</wp:posOffset>
            </wp:positionV>
            <wp:extent cx="2537460" cy="1174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6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Priority Technology Holdings, Inc.</w:t>
            </w:r>
          </w:p>
        </w:tc>
        <w:tc>
          <w:tcPr>
            <w:tcW w:w="3340" w:type="dxa"/>
            <w:vAlign w:val="bottom"/>
          </w:tcPr>
          <w:p>
            <w:pPr>
              <w:spacing w:after="0"/>
              <w:rPr>
                <w:sz w:val="20"/>
                <w:szCs w:val="20"/>
                <w:color w:val="auto"/>
              </w:rPr>
            </w:pPr>
          </w:p>
        </w:tc>
      </w:tr>
      <w:tr>
        <w:trPr>
          <w:trHeight w:val="432"/>
        </w:trPr>
        <w:tc>
          <w:tcPr>
            <w:tcW w:w="7900" w:type="dxa"/>
            <w:vAlign w:val="bottom"/>
            <w:gridSpan w:val="2"/>
          </w:tcPr>
          <w:p>
            <w:pPr>
              <w:jc w:val="center"/>
              <w:ind w:left="325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40" w:type="dxa"/>
            <w:vAlign w:val="bottom"/>
          </w:tcPr>
          <w:p>
            <w:pPr>
              <w:spacing w:after="0"/>
              <w:rPr>
                <w:sz w:val="24"/>
                <w:szCs w:val="24"/>
                <w:color w:val="auto"/>
              </w:rPr>
            </w:pPr>
          </w:p>
        </w:tc>
      </w:tr>
      <w:tr>
        <w:trPr>
          <w:trHeight w:val="500"/>
        </w:trPr>
        <w:tc>
          <w:tcPr>
            <w:tcW w:w="4280" w:type="dxa"/>
            <w:vAlign w:val="bottom"/>
            <w:tcBorders>
              <w:bottom w:val="single" w:sz="8" w:color="auto"/>
            </w:tcBorders>
          </w:tcPr>
          <w:p>
            <w:pPr>
              <w:jc w:val="center"/>
              <w:ind w:left="223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815"/>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155"/>
        </w:trPr>
        <w:tc>
          <w:tcPr>
            <w:tcW w:w="4280" w:type="dxa"/>
            <w:vAlign w:val="bottom"/>
          </w:tcPr>
          <w:p>
            <w:pPr>
              <w:jc w:val="center"/>
              <w:ind w:left="2233"/>
              <w:spacing w:after="0" w:line="155"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spacing w:after="0"/>
              <w:rPr>
                <w:sz w:val="13"/>
                <w:szCs w:val="13"/>
                <w:color w:val="auto"/>
              </w:rPr>
            </w:pPr>
          </w:p>
        </w:tc>
        <w:tc>
          <w:tcPr>
            <w:tcW w:w="3340" w:type="dxa"/>
            <w:vAlign w:val="bottom"/>
          </w:tcPr>
          <w:p>
            <w:pPr>
              <w:jc w:val="center"/>
              <w:ind w:right="1235"/>
              <w:spacing w:after="0" w:line="155"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280" w:type="dxa"/>
            <w:vAlign w:val="bottom"/>
          </w:tcPr>
          <w:p>
            <w:pPr>
              <w:jc w:val="center"/>
              <w:ind w:left="2233"/>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8"/>
                <w:szCs w:val="18"/>
                <w:color w:val="auto"/>
              </w:rPr>
            </w:pPr>
          </w:p>
        </w:tc>
        <w:tc>
          <w:tcPr>
            <w:tcW w:w="3340" w:type="dxa"/>
            <w:vAlign w:val="bottom"/>
          </w:tcPr>
          <w:p>
            <w:pPr>
              <w:jc w:val="center"/>
              <w:ind w:right="123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29"/>
        </w:trPr>
        <w:tc>
          <w:tcPr>
            <w:tcW w:w="4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36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4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8"/>
        </w:trPr>
        <w:tc>
          <w:tcPr>
            <w:tcW w:w="428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9"/>
              </w:rPr>
              <w:t>Alpharetta,</w:t>
            </w:r>
          </w:p>
        </w:tc>
        <w:tc>
          <w:tcPr>
            <w:tcW w:w="362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340" w:type="dxa"/>
            <w:vAlign w:val="bottom"/>
            <w:tcBorders>
              <w:bottom w:val="single" w:sz="8" w:color="auto"/>
            </w:tcBorders>
          </w:tcPr>
          <w:p>
            <w:pPr>
              <w:jc w:val="right"/>
              <w:ind w:right="2015"/>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04"/>
        </w:trPr>
        <w:tc>
          <w:tcPr>
            <w:tcW w:w="4280" w:type="dxa"/>
            <w:vAlign w:val="bottom"/>
          </w:tcPr>
          <w:p>
            <w:pPr>
              <w:jc w:val="center"/>
              <w:ind w:left="27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spacing w:after="0"/>
              <w:rPr>
                <w:sz w:val="17"/>
                <w:szCs w:val="17"/>
                <w:color w:val="auto"/>
              </w:rPr>
            </w:pPr>
          </w:p>
        </w:tc>
        <w:tc>
          <w:tcPr>
            <w:tcW w:w="3340" w:type="dxa"/>
            <w:vAlign w:val="bottom"/>
          </w:tcPr>
          <w:p>
            <w:pPr>
              <w:jc w:val="center"/>
              <w:ind w:right="123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 (800)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PRTH</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319"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w:t>
      </w:r>
    </w:p>
    <w:p>
      <w:pPr>
        <w:spacing w:after="0" w:line="27" w:lineRule="exact"/>
        <w:rPr>
          <w:sz w:val="24"/>
          <w:szCs w:val="24"/>
          <w:color w:val="auto"/>
        </w:rPr>
      </w:pPr>
    </w:p>
    <w:p>
      <w:pPr>
        <w:ind w:right="600"/>
        <w:spacing w:after="0" w:line="226" w:lineRule="exact"/>
        <w:rPr>
          <w:sz w:val="20"/>
          <w:szCs w:val="20"/>
          <w:color w:val="auto"/>
        </w:rPr>
      </w:pPr>
      <w:r>
        <w:rPr>
          <w:rFonts w:ascii="Times New Roman" w:cs="Times New Roman" w:eastAsia="Times New Roman" w:hAnsi="Times New Roman"/>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w:t>
      </w:r>
    </w:p>
    <w:p>
      <w:pPr>
        <w:spacing w:after="0" w:line="27" w:lineRule="exact"/>
        <w:rPr>
          <w:sz w:val="24"/>
          <w:szCs w:val="24"/>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3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2"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60"/>
          </w:cols>
          <w:pgMar w:left="320" w:top="1103"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May 5, 2022, a total of 77,734,647 shares of common stock, par value $0.001 per share, were issued and 76,936,282 shares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7" w:right="9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gridSpan w:val="4"/>
          </w:tcPr>
          <w:p>
            <w:pPr>
              <w:jc w:val="center"/>
              <w:ind w:left="1159"/>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95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Commonly Used or Defined Terms</w:t>
            </w:r>
          </w:p>
        </w:tc>
        <w:tc>
          <w:tcPr>
            <w:tcW w:w="1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rPr>
              <w:t>ii</w:t>
            </w: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5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PART I. FINANCIAL INFORMATION</w:t>
            </w:r>
          </w:p>
        </w:tc>
        <w:tc>
          <w:tcPr>
            <w:tcW w:w="1420" w:type="dxa"/>
            <w:vAlign w:val="bottom"/>
            <w:gridSpan w:val="3"/>
          </w:tcPr>
          <w:p>
            <w:pPr>
              <w:jc w:val="center"/>
              <w:ind w:left="1259"/>
              <w:spacing w:after="0"/>
              <w:rPr>
                <w:sz w:val="20"/>
                <w:szCs w:val="20"/>
                <w:color w:val="auto"/>
              </w:rPr>
            </w:pPr>
            <w:r>
              <w:rPr>
                <w:rFonts w:ascii="Times New Roman" w:cs="Times New Roman" w:eastAsia="Times New Roman" w:hAnsi="Times New Roman"/>
                <w:sz w:val="16"/>
                <w:szCs w:val="16"/>
                <w:color w:val="0000FF"/>
                <w:w w:val="99"/>
              </w:rPr>
              <w:t>1</w:t>
            </w:r>
          </w:p>
        </w:tc>
        <w:tc>
          <w:tcPr>
            <w:tcW w:w="1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6900" w:type="dxa"/>
            <w:vAlign w:val="bottom"/>
            <w:gridSpan w:val="13"/>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6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Unaudited Consolidated Balance Sheets as of March 31, 2022 and December 31, 2021</w:t>
            </w:r>
          </w:p>
        </w:tc>
        <w:tc>
          <w:tcPr>
            <w:tcW w:w="3780" w:type="dxa"/>
            <w:vAlign w:val="bottom"/>
            <w:gridSpan w:val="4"/>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Unaudited Consolidated Statements of Operations for the three months ended March 31, 2022 and 2021</w:t>
            </w:r>
          </w:p>
        </w:tc>
        <w:tc>
          <w:tcPr>
            <w:tcW w:w="1420" w:type="dxa"/>
            <w:vAlign w:val="bottom"/>
            <w:gridSpan w:val="3"/>
          </w:tcPr>
          <w:p>
            <w:pPr>
              <w:jc w:val="center"/>
              <w:ind w:left="1259"/>
              <w:spacing w:after="0"/>
              <w:rPr>
                <w:sz w:val="20"/>
                <w:szCs w:val="20"/>
                <w:color w:val="auto"/>
              </w:rPr>
            </w:pPr>
            <w:r>
              <w:rPr>
                <w:rFonts w:ascii="Times New Roman" w:cs="Times New Roman" w:eastAsia="Times New Roman" w:hAnsi="Times New Roman"/>
                <w:sz w:val="16"/>
                <w:szCs w:val="16"/>
                <w:color w:val="0000FF"/>
                <w:w w:val="99"/>
              </w:rPr>
              <w:t>2</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Unaudited Consolidated Statements of Changes in Stockholders' Deficit for the three months ended March 31, 2022 and 2021</w:t>
            </w:r>
          </w:p>
        </w:tc>
        <w:tc>
          <w:tcPr>
            <w:tcW w:w="1420" w:type="dxa"/>
            <w:vAlign w:val="bottom"/>
            <w:gridSpan w:val="3"/>
          </w:tcPr>
          <w:p>
            <w:pPr>
              <w:jc w:val="center"/>
              <w:ind w:left="125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w w:val="99"/>
              </w:rPr>
              <w:t>Unaudited Consolidated Statements of Cash Flows for the three months ended March 31, 2022 and 2021</w:t>
            </w: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r>
              <w:rPr>
                <w:rFonts w:ascii="Times New Roman" w:cs="Times New Roman" w:eastAsia="Times New Roman" w:hAnsi="Times New Roman"/>
                <w:sz w:val="16"/>
                <w:szCs w:val="16"/>
                <w:color w:val="000000"/>
              </w:rPr>
              <w:t>:</w:t>
            </w:r>
          </w:p>
        </w:tc>
        <w:tc>
          <w:tcPr>
            <w:tcW w:w="266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1.</w:t>
            </w:r>
          </w:p>
        </w:tc>
        <w:tc>
          <w:tcPr>
            <w:tcW w:w="3640" w:type="dxa"/>
            <w:vAlign w:val="bottom"/>
            <w:gridSpan w:val="21"/>
          </w:tcPr>
          <w:p>
            <w:pPr>
              <w:ind w:left="20"/>
              <w:spacing w:after="0"/>
              <w:rPr>
                <w:sz w:val="20"/>
                <w:szCs w:val="20"/>
                <w:color w:val="auto"/>
              </w:rPr>
            </w:pPr>
            <w:r>
              <w:rPr>
                <w:rFonts w:ascii="Times New Roman" w:cs="Times New Roman" w:eastAsia="Times New Roman" w:hAnsi="Times New Roman"/>
                <w:sz w:val="16"/>
                <w:szCs w:val="16"/>
                <w:color w:val="0000FF"/>
              </w:rPr>
              <w:t>Nature of Business and Significant Accounting Policies</w:t>
            </w:r>
          </w:p>
        </w:tc>
        <w:tc>
          <w:tcPr>
            <w:tcW w:w="5500" w:type="dxa"/>
            <w:vAlign w:val="bottom"/>
            <w:gridSpan w:val="8"/>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2.</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Revenues</w:t>
            </w:r>
          </w:p>
        </w:tc>
        <w:tc>
          <w:tcPr>
            <w:tcW w:w="2980" w:type="dxa"/>
            <w:vAlign w:val="bottom"/>
            <w:gridSpan w:val="19"/>
          </w:tcPr>
          <w:p>
            <w:pPr>
              <w:spacing w:after="0"/>
              <w:rPr>
                <w:sz w:val="17"/>
                <w:szCs w:val="17"/>
                <w:color w:val="auto"/>
              </w:rPr>
            </w:pPr>
          </w:p>
        </w:tc>
        <w:tc>
          <w:tcPr>
            <w:tcW w:w="5500" w:type="dxa"/>
            <w:vAlign w:val="bottom"/>
            <w:gridSpan w:val="8"/>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3.</w:t>
            </w:r>
          </w:p>
        </w:tc>
        <w:tc>
          <w:tcPr>
            <w:tcW w:w="9140" w:type="dxa"/>
            <w:vAlign w:val="bottom"/>
            <w:gridSpan w:val="29"/>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1420" w:type="dxa"/>
            <w:vAlign w:val="bottom"/>
            <w:gridSpan w:val="3"/>
          </w:tcPr>
          <w:p>
            <w:pPr>
              <w:jc w:val="center"/>
              <w:ind w:left="125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4.</w:t>
            </w:r>
          </w:p>
        </w:tc>
        <w:tc>
          <w:tcPr>
            <w:tcW w:w="9140" w:type="dxa"/>
            <w:vAlign w:val="bottom"/>
            <w:gridSpan w:val="29"/>
          </w:tcPr>
          <w:p>
            <w:pPr>
              <w:ind w:left="20"/>
              <w:spacing w:after="0"/>
              <w:rPr>
                <w:sz w:val="20"/>
                <w:szCs w:val="20"/>
                <w:color w:val="auto"/>
              </w:rPr>
            </w:pPr>
            <w:r>
              <w:rPr>
                <w:rFonts w:ascii="Times New Roman" w:cs="Times New Roman" w:eastAsia="Times New Roman" w:hAnsi="Times New Roman"/>
                <w:sz w:val="16"/>
                <w:szCs w:val="16"/>
                <w:color w:val="0000FF"/>
              </w:rPr>
              <w:t>Settlement Assets and Customer Account Balances and Related Obligations</w:t>
            </w:r>
          </w:p>
        </w:tc>
        <w:tc>
          <w:tcPr>
            <w:tcW w:w="1420" w:type="dxa"/>
            <w:vAlign w:val="bottom"/>
            <w:gridSpan w:val="3"/>
          </w:tcPr>
          <w:p>
            <w:pPr>
              <w:jc w:val="center"/>
              <w:ind w:left="1199"/>
              <w:spacing w:after="0"/>
              <w:rPr>
                <w:sz w:val="20"/>
                <w:szCs w:val="20"/>
                <w:color w:val="auto"/>
              </w:rPr>
            </w:pPr>
            <w:r>
              <w:rPr>
                <w:rFonts w:ascii="Times New Roman" w:cs="Times New Roman" w:eastAsia="Times New Roman" w:hAnsi="Times New Roman"/>
                <w:sz w:val="16"/>
                <w:szCs w:val="16"/>
                <w:color w:val="0000FF"/>
                <w:w w:val="87"/>
              </w:rPr>
              <w:t>11</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5.</w:t>
            </w:r>
          </w:p>
        </w:tc>
        <w:tc>
          <w:tcPr>
            <w:tcW w:w="494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Goodwill and Other Intangible Assets</w:t>
            </w:r>
          </w:p>
        </w:tc>
        <w:tc>
          <w:tcPr>
            <w:tcW w:w="4200" w:type="dxa"/>
            <w:vAlign w:val="bottom"/>
            <w:gridSpan w:val="5"/>
          </w:tcPr>
          <w:p>
            <w:pPr>
              <w:spacing w:after="0"/>
              <w:rPr>
                <w:sz w:val="17"/>
                <w:szCs w:val="17"/>
                <w:color w:val="auto"/>
              </w:rPr>
            </w:pP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13</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6.</w:t>
            </w:r>
          </w:p>
        </w:tc>
        <w:tc>
          <w:tcPr>
            <w:tcW w:w="2480" w:type="dxa"/>
            <w:vAlign w:val="bottom"/>
            <w:tcBorders>
              <w:top w:val="single" w:sz="8" w:color="0000FF"/>
            </w:tcBorders>
            <w:gridSpan w:val="19"/>
          </w:tcPr>
          <w:p>
            <w:pPr>
              <w:ind w:left="20"/>
              <w:spacing w:after="0"/>
              <w:rPr>
                <w:sz w:val="20"/>
                <w:szCs w:val="20"/>
                <w:color w:val="auto"/>
              </w:rPr>
            </w:pPr>
            <w:r>
              <w:rPr>
                <w:rFonts w:ascii="Times New Roman" w:cs="Times New Roman" w:eastAsia="Times New Roman" w:hAnsi="Times New Roman"/>
                <w:sz w:val="16"/>
                <w:szCs w:val="16"/>
                <w:color w:val="0000FF"/>
              </w:rPr>
              <w:t>Property, Equipment and Software</w:t>
            </w:r>
          </w:p>
        </w:tc>
        <w:tc>
          <w:tcPr>
            <w:tcW w:w="6660" w:type="dxa"/>
            <w:vAlign w:val="bottom"/>
            <w:gridSpan w:val="10"/>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14</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7.</w:t>
            </w:r>
          </w:p>
        </w:tc>
        <w:tc>
          <w:tcPr>
            <w:tcW w:w="2260" w:type="dxa"/>
            <w:vAlign w:val="bottom"/>
            <w:tcBorders>
              <w:top w:val="single" w:sz="8" w:color="0000FF"/>
            </w:tcBorders>
            <w:gridSpan w:val="17"/>
          </w:tcPr>
          <w:p>
            <w:pPr>
              <w:ind w:left="20"/>
              <w:spacing w:after="0"/>
              <w:rPr>
                <w:sz w:val="20"/>
                <w:szCs w:val="20"/>
                <w:color w:val="auto"/>
              </w:rPr>
            </w:pPr>
            <w:r>
              <w:rPr>
                <w:rFonts w:ascii="Times New Roman" w:cs="Times New Roman" w:eastAsia="Times New Roman" w:hAnsi="Times New Roman"/>
                <w:sz w:val="16"/>
                <w:szCs w:val="16"/>
                <w:color w:val="0000FF"/>
              </w:rPr>
              <w:t>Notes Receivable</w:t>
            </w:r>
          </w:p>
        </w:tc>
        <w:tc>
          <w:tcPr>
            <w:tcW w:w="6880" w:type="dxa"/>
            <w:vAlign w:val="bottom"/>
            <w:gridSpan w:val="12"/>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14</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8.</w:t>
            </w:r>
          </w:p>
        </w:tc>
        <w:tc>
          <w:tcPr>
            <w:tcW w:w="114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6"/>
                <w:szCs w:val="16"/>
                <w:color w:val="0000FF"/>
              </w:rPr>
              <w:t>Debt Obligations</w:t>
            </w:r>
          </w:p>
        </w:tc>
        <w:tc>
          <w:tcPr>
            <w:tcW w:w="20" w:type="dxa"/>
            <w:vAlign w:val="bottom"/>
            <w:tcBorders>
              <w:top w:val="single" w:sz="8" w:color="0000FF"/>
            </w:tcBorders>
          </w:tcPr>
          <w:p>
            <w:pPr>
              <w:spacing w:after="0"/>
              <w:rPr>
                <w:sz w:val="17"/>
                <w:szCs w:val="17"/>
                <w:color w:val="auto"/>
              </w:rPr>
            </w:pPr>
          </w:p>
        </w:tc>
        <w:tc>
          <w:tcPr>
            <w:tcW w:w="7980" w:type="dxa"/>
            <w:vAlign w:val="bottom"/>
            <w:gridSpan w:val="23"/>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15</w:t>
            </w:r>
          </w:p>
        </w:tc>
        <w:tc>
          <w:tcPr>
            <w:tcW w:w="12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9.</w:t>
            </w:r>
          </w:p>
        </w:tc>
        <w:tc>
          <w:tcPr>
            <w:tcW w:w="330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6"/>
                <w:szCs w:val="16"/>
                <w:color w:val="0000FF"/>
              </w:rPr>
              <w:t>Redeemable Senior Preferred Stock and Warrants</w:t>
            </w:r>
          </w:p>
        </w:tc>
        <w:tc>
          <w:tcPr>
            <w:tcW w:w="5840" w:type="dxa"/>
            <w:vAlign w:val="bottom"/>
            <w:gridSpan w:val="9"/>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16</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10. Income Taxes</w:t>
            </w: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17</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11. Commitments and Contingencies</w:t>
            </w:r>
          </w:p>
        </w:tc>
        <w:tc>
          <w:tcPr>
            <w:tcW w:w="6880" w:type="dxa"/>
            <w:vAlign w:val="bottom"/>
            <w:gridSpan w:val="12"/>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17</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12. Stock-based Compensation</w:t>
            </w:r>
          </w:p>
        </w:tc>
        <w:tc>
          <w:tcPr>
            <w:tcW w:w="7220" w:type="dxa"/>
            <w:vAlign w:val="bottom"/>
            <w:gridSpan w:val="15"/>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18</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13. Segment Information</w:t>
            </w: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18</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14. Loss per Common Share</w:t>
            </w:r>
          </w:p>
        </w:tc>
        <w:tc>
          <w:tcPr>
            <w:tcW w:w="7420" w:type="dxa"/>
            <w:vAlign w:val="bottom"/>
            <w:gridSpan w:val="18"/>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20</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080" w:type="dxa"/>
            <w:vAlign w:val="bottom"/>
            <w:gridSpan w:val="3"/>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21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Item 3. Qualitative and Quantitative Disclosures about Market Risk</w:t>
            </w:r>
          </w:p>
        </w:tc>
        <w:tc>
          <w:tcPr>
            <w:tcW w:w="5000" w:type="dxa"/>
            <w:vAlign w:val="bottom"/>
            <w:gridSpan w:val="7"/>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30</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7280" w:type="dxa"/>
            <w:vAlign w:val="bottom"/>
            <w:gridSpan w:val="16"/>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30</w:t>
            </w:r>
          </w:p>
        </w:tc>
        <w:tc>
          <w:tcPr>
            <w:tcW w:w="120" w:type="dxa"/>
            <w:vAlign w:val="bottom"/>
          </w:tcPr>
          <w:p>
            <w:pPr>
              <w:spacing w:after="0"/>
              <w:rPr>
                <w:sz w:val="17"/>
                <w:szCs w:val="17"/>
                <w:color w:val="auto"/>
              </w:rPr>
            </w:pPr>
          </w:p>
        </w:tc>
      </w:tr>
      <w:tr>
        <w:trPr>
          <w:trHeight w:val="196"/>
        </w:trPr>
        <w:tc>
          <w:tcPr>
            <w:tcW w:w="95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31</w:t>
            </w:r>
          </w:p>
        </w:tc>
        <w:tc>
          <w:tcPr>
            <w:tcW w:w="120" w:type="dxa"/>
            <w:vAlign w:val="bottom"/>
          </w:tcPr>
          <w:p>
            <w:pPr>
              <w:spacing w:after="0"/>
              <w:rPr>
                <w:sz w:val="17"/>
                <w:szCs w:val="17"/>
                <w:color w:val="auto"/>
              </w:rPr>
            </w:pPr>
          </w:p>
        </w:tc>
      </w:tr>
      <w:tr>
        <w:trPr>
          <w:trHeight w:val="196"/>
        </w:trPr>
        <w:tc>
          <w:tcPr>
            <w:tcW w:w="120" w:type="dxa"/>
            <w:vAlign w:val="bottom"/>
            <w:tcBorders>
              <w:top w:val="single" w:sz="8" w:color="0000FF"/>
            </w:tcBorders>
          </w:tcPr>
          <w:p>
            <w:pPr>
              <w:spacing w:after="0"/>
              <w:rPr>
                <w:sz w:val="17"/>
                <w:szCs w:val="17"/>
                <w:color w:val="auto"/>
              </w:rPr>
            </w:pPr>
          </w:p>
        </w:tc>
        <w:tc>
          <w:tcPr>
            <w:tcW w:w="17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9"/>
              </w:rPr>
              <w:t>Item 1. Legal Proceedings</w:t>
            </w:r>
          </w:p>
        </w:tc>
        <w:tc>
          <w:tcPr>
            <w:tcW w:w="480" w:type="dxa"/>
            <w:vAlign w:val="bottom"/>
            <w:tcBorders>
              <w:top w:val="single" w:sz="8" w:color="0000FF"/>
            </w:tcBorders>
            <w:gridSpan w:val="6"/>
          </w:tcPr>
          <w:p>
            <w:pPr>
              <w:spacing w:after="0"/>
              <w:rPr>
                <w:sz w:val="17"/>
                <w:szCs w:val="17"/>
                <w:color w:val="auto"/>
              </w:rPr>
            </w:pPr>
          </w:p>
        </w:tc>
        <w:tc>
          <w:tcPr>
            <w:tcW w:w="7180" w:type="dxa"/>
            <w:vAlign w:val="bottom"/>
            <w:gridSpan w:val="14"/>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38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31</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13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31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4980" w:type="dxa"/>
            <w:vAlign w:val="bottom"/>
            <w:gridSpan w:val="6"/>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5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6800" w:type="dxa"/>
            <w:vAlign w:val="bottom"/>
            <w:gridSpan w:val="11"/>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Item 5. Other Information</w:t>
            </w:r>
          </w:p>
        </w:tc>
        <w:tc>
          <w:tcPr>
            <w:tcW w:w="400" w:type="dxa"/>
            <w:vAlign w:val="bottom"/>
            <w:tcBorders>
              <w:top w:val="single" w:sz="8" w:color="0000FF"/>
            </w:tcBorders>
            <w:gridSpan w:val="4"/>
          </w:tcPr>
          <w:p>
            <w:pPr>
              <w:spacing w:after="0"/>
              <w:rPr>
                <w:sz w:val="17"/>
                <w:szCs w:val="17"/>
                <w:color w:val="auto"/>
              </w:rPr>
            </w:pPr>
          </w:p>
        </w:tc>
        <w:tc>
          <w:tcPr>
            <w:tcW w:w="7300" w:type="dxa"/>
            <w:vAlign w:val="bottom"/>
            <w:gridSpan w:val="17"/>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31</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300" w:type="dxa"/>
            <w:vAlign w:val="bottom"/>
            <w:gridSpan w:val="26"/>
          </w:tcPr>
          <w:p>
            <w:pPr>
              <w:spacing w:after="0"/>
              <w:rPr>
                <w:sz w:val="17"/>
                <w:szCs w:val="17"/>
                <w:color w:val="auto"/>
              </w:rPr>
            </w:pPr>
          </w:p>
        </w:tc>
        <w:tc>
          <w:tcPr>
            <w:tcW w:w="13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87"/>
              </w:rPr>
              <w:t>32</w:t>
            </w:r>
          </w:p>
        </w:tc>
        <w:tc>
          <w:tcPr>
            <w:tcW w:w="120" w:type="dxa"/>
            <w:vAlign w:val="bottom"/>
          </w:tcPr>
          <w:p>
            <w:pPr>
              <w:spacing w:after="0"/>
              <w:rPr>
                <w:sz w:val="17"/>
                <w:szCs w:val="17"/>
                <w:color w:val="auto"/>
              </w:rPr>
            </w:pPr>
          </w:p>
        </w:tc>
      </w:tr>
      <w:tr>
        <w:trPr>
          <w:trHeight w:val="196"/>
        </w:trPr>
        <w:tc>
          <w:tcPr>
            <w:tcW w:w="95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42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0000FF"/>
              </w:rPr>
              <w:t>34</w:t>
            </w:r>
          </w:p>
        </w:tc>
        <w:tc>
          <w:tcPr>
            <w:tcW w:w="1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51"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tc>
        <w:tc>
          <w:tcPr>
            <w:tcW w:w="0" w:type="dxa"/>
            <w:vAlign w:val="bottom"/>
          </w:tcPr>
          <w:p>
            <w:pPr>
              <w:spacing w:after="0"/>
              <w:rPr>
                <w:sz w:val="1"/>
                <w:szCs w:val="1"/>
                <w:color w:val="auto"/>
              </w:rPr>
            </w:pPr>
          </w:p>
        </w:tc>
      </w:tr>
      <w:tr>
        <w:trPr>
          <w:trHeight w:val="33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Plan</w:t>
            </w:r>
          </w:p>
        </w:tc>
        <w:tc>
          <w:tcPr>
            <w:tcW w:w="100" w:type="dxa"/>
            <w:vAlign w:val="bottom"/>
            <w:tcBorders>
              <w:top w:val="single" w:sz="8" w:color="CCEEFF"/>
            </w:tcBorders>
            <w:shd w:val="clear" w:color="auto" w:fill="CCEEFF"/>
          </w:tcPr>
          <w:p>
            <w:pPr>
              <w:spacing w:after="0"/>
              <w:rPr>
                <w:sz w:val="19"/>
                <w:szCs w:val="19"/>
                <w:color w:val="auto"/>
              </w:rPr>
            </w:pPr>
          </w:p>
        </w:tc>
        <w:tc>
          <w:tcPr>
            <w:tcW w:w="8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Equity Incentive Plan</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Stock Purchase Plan</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Employee Stock Purchase Plan</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B2B</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Business-to-business</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B2C</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Business-to-consumer</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C&amp;H</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C&amp;H Financial Services, Inc.</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and Guaranty Agreement with Truist Bank dated as of April 27, 2021</w:t>
            </w: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EAETR</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Estimated annual effective tax rate</w:t>
            </w: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EGC</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FBO</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Benefit Of</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Finxera</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Finxera Holdings, Inc.</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sales organization</w:t>
            </w: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ISV</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software vendor</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JOBS Act</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Jumpstart Our Business Startups Act of 2012</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meaningful</w:t>
            </w: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PIK</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Payment-in-kind</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to medium-sized businesses</w:t>
            </w:r>
          </w:p>
        </w:tc>
        <w:tc>
          <w:tcPr>
            <w:tcW w:w="0" w:type="dxa"/>
            <w:vAlign w:val="bottom"/>
          </w:tcPr>
          <w:p>
            <w:pPr>
              <w:spacing w:after="0"/>
              <w:rPr>
                <w:sz w:val="1"/>
                <w:szCs w:val="1"/>
                <w:color w:val="auto"/>
              </w:rPr>
            </w:pPr>
          </w:p>
        </w:tc>
      </w:tr>
      <w:tr>
        <w:trPr>
          <w:trHeight w:val="184"/>
        </w:trPr>
        <w:tc>
          <w:tcPr>
            <w:tcW w:w="2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8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$620.0 million senior secured term loan facility issued under the Credit Agreement (including $320.0 million delayed</w:t>
            </w:r>
          </w:p>
        </w:tc>
        <w:tc>
          <w:tcPr>
            <w:tcW w:w="0" w:type="dxa"/>
            <w:vAlign w:val="bottom"/>
          </w:tcPr>
          <w:p>
            <w:pPr>
              <w:spacing w:after="0"/>
              <w:rPr>
                <w:sz w:val="1"/>
                <w:szCs w:val="1"/>
                <w:color w:val="auto"/>
              </w:rPr>
            </w:pPr>
          </w:p>
        </w:tc>
      </w:tr>
      <w:tr>
        <w:trPr>
          <w:trHeight w:val="140"/>
        </w:trPr>
        <w:tc>
          <w:tcPr>
            <w:tcW w:w="2520" w:type="dxa"/>
            <w:vAlign w:val="bottom"/>
            <w:gridSpan w:val="2"/>
            <w:vMerge w:val="continue"/>
            <w:shd w:val="clear" w:color="auto" w:fill="CCEEFF"/>
          </w:tcPr>
          <w:p>
            <w:pPr>
              <w:spacing w:after="0"/>
              <w:rPr>
                <w:sz w:val="12"/>
                <w:szCs w:val="12"/>
                <w:color w:val="auto"/>
              </w:rPr>
            </w:pPr>
          </w:p>
        </w:tc>
        <w:tc>
          <w:tcPr>
            <w:tcW w:w="8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draw facility)</w:t>
            </w:r>
          </w:p>
        </w:tc>
        <w:tc>
          <w:tcPr>
            <w:tcW w:w="0" w:type="dxa"/>
            <w:vAlign w:val="bottom"/>
          </w:tcPr>
          <w:p>
            <w:pPr>
              <w:spacing w:after="0"/>
              <w:rPr>
                <w:sz w:val="1"/>
                <w:szCs w:val="1"/>
                <w:color w:val="auto"/>
              </w:rPr>
            </w:pPr>
          </w:p>
        </w:tc>
      </w:tr>
      <w:tr>
        <w:trPr>
          <w:trHeight w:val="95"/>
        </w:trPr>
        <w:tc>
          <w:tcPr>
            <w:tcW w:w="2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ratio of consolidated total debt to the Consolidated Adjusted EBITDA (as defined in the Credit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$869 and $555, respectively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 account balances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479,471</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365,740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r>
      <w:tr>
        <w:trPr>
          <w:trHeight w:val="223"/>
        </w:trPr>
        <w:tc>
          <w:tcPr>
            <w:tcW w:w="8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1,350,339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1,351,942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Senior Preferred Stock and Stockholders' Deficit</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 account obligations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500,291</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604,105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622,454</w:t>
            </w:r>
          </w:p>
        </w:tc>
      </w:tr>
      <w:tr>
        <w:trPr>
          <w:trHeight w:val="223"/>
        </w:trPr>
        <w:tc>
          <w:tcPr>
            <w:tcW w:w="80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1,206,021</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senior preferred stock, $0.001 par value; 250,000 shares authorized; 225,000 issued and</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2022 and December 31, 2021</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6"/>
        </w:trPr>
        <w:tc>
          <w:tcPr>
            <w:tcW w:w="8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100,000,000 shares authorized; none issued or outstanding at March 31, 2022 and</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1,000,000,000 shares authorized; 77,589,180 and 77,460,312 shares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8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issued at March 31, 2022 and December 31, 2021, respectively; and 76,842,093 and 76,739,896 shares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at March 31, 2022 and December 31, 2021, respectively.</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747,087 and 720,416 shares at March 31, 2022 and December 31, 2021,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(100,058)</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redeemable senior preferred stock and stockholders'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1,350,339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1,351,942</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113,297</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r>
      <w:tr>
        <w:trPr>
          <w:trHeight w:val="22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r>
      <w:tr>
        <w:trPr>
          <w:trHeight w:val="22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108,770</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57"/>
        </w:trPr>
        <w:tc>
          <w:tcPr>
            <w:tcW w:w="8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38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1380" w:type="dxa"/>
            <w:vAlign w:val="bottom"/>
            <w:gridSpan w:val="2"/>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0" w:type="dxa"/>
            <w:vAlign w:val="bottom"/>
          </w:tcPr>
          <w:p>
            <w:pPr>
              <w:spacing w:after="0"/>
              <w:rPr>
                <w:sz w:val="5"/>
                <w:szCs w:val="5"/>
                <w:color w:val="auto"/>
              </w:rPr>
            </w:pP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1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0" w:type="dxa"/>
            <w:vAlign w:val="bottom"/>
          </w:tcPr>
          <w:p>
            <w:pPr>
              <w:spacing w:after="0"/>
              <w:rPr>
                <w:sz w:val="1"/>
                <w:szCs w:val="1"/>
                <w:color w:val="auto"/>
              </w:rPr>
            </w:pPr>
          </w:p>
        </w:tc>
      </w:tr>
      <w:tr>
        <w:trPr>
          <w:trHeight w:val="208"/>
        </w:trPr>
        <w:tc>
          <w:tcPr>
            <w:tcW w:w="4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 and shares withheld for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5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restart"/>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11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80" w:type="dxa"/>
            <w:vAlign w:val="bottom"/>
          </w:tcPr>
          <w:p>
            <w:pPr>
              <w:spacing w:after="0"/>
              <w:rPr>
                <w:sz w:val="5"/>
                <w:szCs w:val="5"/>
                <w:color w:val="auto"/>
              </w:rPr>
            </w:pP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1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6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0" w:type="dxa"/>
            <w:vAlign w:val="bottom"/>
          </w:tcPr>
          <w:p>
            <w:pPr>
              <w:spacing w:after="0"/>
              <w:rPr>
                <w:sz w:val="1"/>
                <w:szCs w:val="1"/>
                <w:color w:val="auto"/>
              </w:rPr>
            </w:pPr>
          </w:p>
        </w:tc>
      </w:tr>
      <w:tr>
        <w:trPr>
          <w:trHeight w:val="208"/>
        </w:trPr>
        <w:tc>
          <w:tcPr>
            <w:tcW w:w="4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stock-based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Liability-classified stock-based compensation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5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5"/>
                <w:szCs w:val="15"/>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converted to equity-classified</w:t>
            </w:r>
          </w:p>
        </w:tc>
        <w:tc>
          <w:tcPr>
            <w:tcW w:w="8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67,640</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(2,388)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PIK interest</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non-cash items, net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 (receivable)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30"/>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9,100</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receivable loan funding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Acquisitions of intangible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borrowings under revolving credit facility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to redeemable senior preferred stockholders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and customer accounts obligations,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(26,769)</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88,120</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524,533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64,760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PIK interest added to principal of debt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0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0" w:type="dxa"/>
            <w:vAlign w:val="bottom"/>
          </w:tcPr>
          <w:p>
            <w:pPr>
              <w:spacing w:after="0"/>
              <w:rPr>
                <w:sz w:val="1"/>
                <w:szCs w:val="1"/>
                <w:color w:val="auto"/>
              </w:rPr>
            </w:pPr>
          </w:p>
        </w:tc>
      </w:tr>
      <w:tr>
        <w:trPr>
          <w:trHeight w:val="230"/>
        </w:trPr>
        <w:tc>
          <w:tcPr>
            <w:tcW w:w="8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58,933</w:t>
            </w: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xml:space="preserve">Customer account balances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497,388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524,533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64,760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Consolidation and Presentation</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Priority Technology Holdings, Inc. and its consolidated subsidiaries are referred to herein collectively as "Priority," "PRTH," the "Company," "we," "our" or "us," unless the context requires otherwise. Priority is a provider of merchant acquiring, integrated payment software, licensed money transmission services and commercial payments solutions.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6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w:t>
      </w:r>
    </w:p>
    <w:p>
      <w:pPr>
        <w:spacing w:after="0" w:line="1" w:lineRule="exact"/>
        <w:rPr>
          <w:sz w:val="20"/>
          <w:szCs w:val="20"/>
          <w:color w:val="auto"/>
        </w:rPr>
      </w:pPr>
    </w:p>
    <w:p>
      <w:pPr>
        <w:ind w:right="980"/>
        <w:spacing w:after="0" w:line="260" w:lineRule="auto"/>
        <w:rPr>
          <w:sz w:val="20"/>
          <w:szCs w:val="20"/>
          <w:color w:val="auto"/>
        </w:rPr>
      </w:pPr>
      <w:r>
        <w:rPr>
          <w:rFonts w:ascii="Times New Roman" w:cs="Times New Roman" w:eastAsia="Times New Roman" w:hAnsi="Times New Roman"/>
          <w:sz w:val="18"/>
          <w:szCs w:val="18"/>
          <w:color w:val="auto"/>
        </w:rPr>
        <w:t>of December 31, 2021 was derived from the audited financial statements included in the Company's Annual Report on Form 10-K for the year ended December 31, 2021 but does not include all disclosures required by GAAP for annual financial statements.</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 In particular, the continued magnitude, duration and effects of the COVID-19 pandemic are difficult to predict, and the ultimate effect could result in future charges related to the recoverability of assets, including financial assets, long-lived assets, goodwill and other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reporting currency is the U.S. dollar. Assets and liabilities denominated in a foreign currency are translated into U.S. dollars at the current exchange rate on the last day of the reporting period. Revenues and expenses are translated using the average exchange rate in effect during the reporting period. Foreign exchange translation and transaction gains and losses were not material for the periods presented and are included in the Unaudited Consolidated Statements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Comparability of Reporting Periods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these Unaudited Consolidated Financial Statements have been reclassified to conform to the current period presentation, with no net effect on the Company's operating income, loss before income tax benefit, net loss or stockholders' deficit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reclassified certain cash flows related to settlement assets and customer account balances and the related obligations from net cash used in operating activities to net cash used in financing activities within the Unaudited Consolidated Statements of Cash Flows. Prior period amounts have been reclassified to conform to the current period presentation. These changes have no impact on our previously reported financial position or net increase in cash and cash equivalents.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current period presentation classifies all changes in settlement and customer account balance obligations on our Unaudited Consolidated Statements of Cash Flows as net cash provided by (used in) financing activities. The current period presentation provides a more meaningful representation of the cash flows related to the movement of settlement assets and customer account balances due to the restrictions on and use of those funds.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effects of the changes on the presentation of these cash flows to the previously reported Unaudited Consolidated Statement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0" w:type="dxa"/>
            <w:vAlign w:val="bottom"/>
          </w:tcPr>
          <w:p>
            <w:pPr>
              <w:spacing w:after="0"/>
              <w:rPr>
                <w:sz w:val="1"/>
                <w:szCs w:val="1"/>
                <w:color w:val="auto"/>
              </w:rPr>
            </w:pP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9,100</w:t>
            </w: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w:t>
            </w:r>
          </w:p>
        </w:tc>
      </w:tr>
      <w:tr>
        <w:trPr>
          <w:trHeight w:val="223"/>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(26,769)</w:t>
            </w:r>
          </w:p>
        </w:tc>
      </w:tr>
      <w:tr>
        <w:trPr>
          <w:trHeight w:val="20"/>
        </w:trPr>
        <w:tc>
          <w:tcPr>
            <w:tcW w:w="9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December 31, 2021, the Company was an EGC, as defined in JOBS Act, and elected to take advantage of certain exemptions from various reporting requirements that are applicable to other public companies until the Company is no longer an EGC, including using the extended transition period for complying with new or revised accounting standards. On December 31, 2021, we ceased to qualify as an EGC and have adopted any new standards that we are now required to adopt.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Pending Adoption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Secured Overnight Financial Rate. If certain criteria are met, entities can elect not to apply certain modification accounting requirements to contracts affected by what the guidance calls reference rate reform. An entity that makes this election would not have to remeasure the contract at the modification date or reassess a previous accounting determination. In January 2021, the FASB issued ASU 2021-01,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which clarifies that certain optional expedients and exceptions in Topic 848 for contract modifications and hedge accounting apply to derivatives that are affected by the discounting transition. These updates can be adopted at any time before December 31, 2022. The Company is currently evaluating the potential impact these updates may have on its Unaudited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2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this update may have on the timing of recognizing future provisions for expected losses on the Company's accounts receivable and notes receivable. Since the Company is a smaller reporting company, the Company must adopt this new standard no later than the beginning of 2023 for annual and interim reporting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liabilities acquired in a business combination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ASC 606, as if the acquirer had originated the contracts. Generally this will result in the acquirer recognizing and measuring the acquired contract assets and liabilities consistent with the manner by which they were recognized and measured by the acquiree. This update is effective for the Company on January 1, 2023, including interim periods within those fiscal years. The impact that ASU 2021-08 may have on the Company's Unaudited Consolidated Financial Statements will depend on the circumstances of any business combination that may occur after adoption.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color w:val="212529"/>
        </w:rPr>
        <w:t>table presents a disaggregation of our consolidated revenues by type for the three months ended March 31,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127,952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107,702</w:t>
            </w: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transmission services revenue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3"/>
        </w:trPr>
        <w:tc>
          <w:tcPr>
            <w:tcW w:w="7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revenues</w:t>
            </w:r>
            <w:r>
              <w:rPr>
                <w:rFonts w:ascii="Times New Roman" w:cs="Times New Roman" w:eastAsia="Times New Roman" w:hAnsi="Times New Roman"/>
                <w:sz w:val="23"/>
                <w:szCs w:val="23"/>
                <w:color w:val="auto"/>
                <w:vertAlign w:val="superscript"/>
              </w:rPr>
              <w:t>(1),(2)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113,297</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300" w:hanging="328"/>
        <w:spacing w:after="0" w:line="22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ind w:left="660" w:right="280" w:hanging="328"/>
        <w:spacing w:after="0" w:line="234"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$0.1 million, $0.2 million of interest income for the three months ended March 31, 2022 and 2021, respectively, is included in other income, net on the Company's Unaudited Consolidated Statements of Operations and not reflected in the table above. Approximately $0.6 million of interest income for the three months ended March 31, 2022, is included in outsourced services and other services revenue in the table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not material for the three months ended March 31, 2022 and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Supplemental balance sheet information related to contracts from customers as of March 31, 2022 and December 31, 2021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Consolidated Balance Sheet Location</w:t>
            </w:r>
          </w:p>
        </w:tc>
        <w:tc>
          <w:tcPr>
            <w:tcW w:w="22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net (current)</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Substantially all of these balances are recognized as revenue within 12 months. </w:t>
      </w:r>
      <w:r>
        <w:rPr>
          <w:rFonts w:ascii="Times New Roman" w:cs="Times New Roman" w:eastAsia="Times New Roman" w:hAnsi="Times New Roman"/>
          <w:sz w:val="18"/>
          <w:szCs w:val="18"/>
          <w:color w:val="000000"/>
        </w:rPr>
        <w:t>Net contract assets were not material for any period presented.</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Impairment losses recognized on receivables or contract assets arising from the Company's contracts with customers were not material for the periods ended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700" w:firstLine="8"/>
        <w:spacing w:after="0" w:line="503" w:lineRule="auto"/>
        <w:tabs>
          <w:tab w:leader="none" w:pos="30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Finxera Acquisition</w:t>
      </w:r>
    </w:p>
    <w:p>
      <w:pPr>
        <w:ind w:right="20"/>
        <w:spacing w:after="0" w:line="289" w:lineRule="auto"/>
        <w:rPr>
          <w:sz w:val="20"/>
          <w:szCs w:val="20"/>
          <w:color w:val="auto"/>
        </w:rPr>
      </w:pPr>
      <w:r>
        <w:rPr>
          <w:rFonts w:ascii="Times New Roman" w:cs="Times New Roman" w:eastAsia="Times New Roman" w:hAnsi="Times New Roman"/>
          <w:sz w:val="17"/>
          <w:szCs w:val="17"/>
          <w:color w:val="auto"/>
        </w:rPr>
        <w:t>On September 17, 2021, the Company completed its acquisition of 100% of the equity interests of Finxera. Finxera is a provider of deposit account management and licensed money transmission services in the U.S. The acquisition will allow the Company to offer clients turn-key merchant services, payment facilitation, card issuing, automated payables, virtual banking, e-wallet tools, risk management, underwriting and compliance on a single platform.</w:t>
      </w:r>
    </w:p>
    <w:p>
      <w:pPr>
        <w:spacing w:after="0" w:line="15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transaction was funded with the Company's cash on hand, proceeds from the issuance of the redeemable senior preferred stock and debt, and the issuance of common equity shares to the sellers.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assets acquired and liabilities assumed were recognized at their fair values as of September 17, 2021, with the excess of the fair value of consideration transferred over the fair value of the net assets acquired recognized as goodwill. The fair values of the assets acquired and liabilities assumed as of September 17, 2021 were estimated by management based on the valuation of the Finxera business using the discounted cash flow method and other factors specific to certain assets and liabilities. The purchase price allocation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379,220</w:t>
            </w:r>
          </w:p>
        </w:tc>
      </w:tr>
      <w:tr>
        <w:trPr>
          <w:trHeight w:val="229"/>
        </w:trPr>
        <w:tc>
          <w:tcPr>
            <w:tcW w:w="90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instruments</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29"/>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cash and restricted cash acquired</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and restricted cash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407,010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 account balances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498,811</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245,104</w:t>
            </w:r>
          </w:p>
        </w:tc>
      </w:tr>
      <w:tr>
        <w:trPr>
          <w:trHeight w:val="230"/>
        </w:trPr>
        <w:tc>
          <w:tcPr>
            <w:tcW w:w="90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211,400</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 account obligations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(498,811)</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(44,311)</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407,010</w:t>
            </w:r>
          </w:p>
        </w:tc>
      </w:tr>
      <w:tr>
        <w:trPr>
          <w:trHeight w:val="21"/>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120" w:hanging="328"/>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ind w:left="660" w:right="60" w:hanging="328"/>
        <w:spacing w:after="0" w:line="21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$154.9 million for referral partner relationships, $34.3 million for technology, $20.1 million for customer relationships and $2.1 million for money transmission licenses.</w:t>
      </w:r>
    </w:p>
    <w:p>
      <w:pPr>
        <w:spacing w:after="0" w:line="1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of $245.1 million arising from the acquisition primarily consists of the expected synergies and other benefits from combining operations. Approximately $8.7 million of the goodwill attributable to the acquisition is expected to be deductible for income tax purposes. The goodwill was allocated 100% to the Company's Enterprise Payments reportable segment.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2020, Finxera acquired two businesses for which the purchase price included contingent consideration valued at $6.1 million. The contingent consideration payable is comprised of earnout opportunities equal to 50% of certain revenues earned from the customers assumed in these acquisitions. The associated earnout opportunities are to be measured and paid every six months and expire at various dates through December 31, 2023. As of March 31, 2022, $0.5 million of the $6.1 million of total contingent consideration has been paid. The remaining $5.6 million was accrued, of which $2.0 million and $3.6 million were included in accounts payable and accrued expenses and other noncurrent liabilities, respectively, on the Company's Unaudited Consolidated Balance Sheet as of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Payments,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April 28, 2021, a subsidiary of the Company completed its acquisition of certain residual portfolio rights for a purchase price of $42.4 million and $24.8 million of post-closing payments and earnout payments based on meeting certain attrition thresholds over a three-year period from the date of acquisition. The transaction did not meet the definition of a business, therefore it was accounted for as an asset acquisition under which the cost of the acquisition was allocated to the acquired assets based on relative fair values. As of March 31, 2022, the sellers earned $3.8 million of the $24.8 million, which was paid during 2021, increasing the total purchase price recorded to $46.2 million, which was recorded to residual buyout intangible assets with a seven-year useful life amortized on a straight-line basis. As this is an asset acquisition, additional purchase price is accounted for when payment to the seller becomes probable and is added to the carrying value of the asset. The seller's note payable to the Company of $3.0 million and an advance of $2.0 million outstanding at the time of the purchase was netted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against the initial purchase price, resulting in cash of $41.2 million being paid by the Company to the seller, which was funded from cash proceeds from the issuance of the redeemable senior preferred stock and cash on hand.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C&amp;H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25, 2021, a subsidiary of the Company acquired certain assets and assumed certain related liabilities of C&amp;H under an asset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C&amp;H was an ISO partner of the Company where it developed expertise in software-integrated payment services, as well as marketing programs for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verticals such as automotive and youth sports. This business is reported within the Company's SMB Payments reportable segment. The initial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for the net assets was $35.0 million in cash and a total purchase price of not more than $60.0 million including post-closing payments and earnout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based on certain gross profit and revenue achievements over a three-year period from the date of acquisition. The acquisition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contingent consideration was $4.7 million, which increased the total purchase price to $39.7 million. The seller's note payable to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at the time of purchase was netted against the initial purchase price, resulting in cash of $34.5 million being paid by the Company to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funded from a $30.0 million draw down of the revolving credit facility under the Credit Agreement held by the Company and $4.5 million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hand. Transaction costs were not material and were expensed. The purchase price allocation is set forth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 and other current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8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$20.2 million for merchant portfolio intangible assets with a ten-year useful life and $5.2 million for ISO partner relationships with a twelve-year useful life.</w:t>
      </w:r>
    </w:p>
    <w:p>
      <w:pPr>
        <w:spacing w:after="0" w:line="19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goodwill for the Wholesale Payments, Inc. asset acquisition and the C&amp;H business combination is deductible by the Company for income tax purposes. Based on their purchase prices and pre-acquisition operating results and assets, these two businesses acquired by the Company in 2021, as described above, did not meet the materiality requirements for pro forma disclosures individually or collectively.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Settlement Assets and Customer Account Balances and Related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SMB Payments Segment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12529"/>
        </w:rPr>
        <w:t xml:space="preserve">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Unaudited Consolidated Balance Sheets. Member banks held merchant funds of $105.7 million </w:t>
      </w:r>
      <w:r>
        <w:rPr>
          <w:rFonts w:ascii="Times New Roman" w:cs="Times New Roman" w:eastAsia="Times New Roman" w:hAnsi="Times New Roman"/>
          <w:sz w:val="18"/>
          <w:szCs w:val="18"/>
          <w:color w:val="000000"/>
        </w:rPr>
        <w:t>and $102.1 million at March 31, 2022 and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2021, respectively.</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Exception items that become the liability of the Company are recorded as merchant losses, a component of costs of services in the Unaudited Consolidated Statements of Operations. Exception items that the Company is still attempting to collect from the merchants through the funds settlement process or merchant reserves are recognized as settlement assets and customer account balances in the Company's Unaudited Consolidated Balance Sheets, with an offsetting reserve for those amounts the Company estimates it will not be able to recover. Expenses for merchant losses for the three months ended March 31, 2022 and 2021 were $1.1 million and $0.4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B2B Payments Segment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related to these funds are not liabilities of the Company. Therefore, neither is recognized in the Company's Unaudited Consolidated Balance Sheets. Bank-owned FBO accounts held funds of $57.6 million and $45.5 million at March 31, 2022 and December 31, 2021, respectively. Company-owned bank accounts held $6.4 million and $21.4 million at March 31, 2022 and December 31, 2021, respectively, which are included in restricted cash and settlement obligations in the Company's Unaudited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Payments Segment</w:t>
      </w:r>
    </w:p>
    <w:p>
      <w:pPr>
        <w:spacing w:after="0" w:line="2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 account balances and the related obligations as settlement and customer account obligations in the Company's Unaudited Consolidated Balance Sheets.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settlement assets and customer account balances and settlement and customer account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settlements due from merchants, net of estimated losses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Account Balances: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468,934</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 and customer account balances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498,616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479,471</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and Customer Account Obligations: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478,935</w:t>
            </w:r>
          </w:p>
        </w:tc>
      </w:tr>
      <w:tr>
        <w:trPr>
          <w:trHeight w:val="230"/>
        </w:trPr>
        <w:tc>
          <w:tcPr>
            <w:tcW w:w="7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Due to customer payees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and customer account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500,291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related assets are included in restricted cash on our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20" w:firstLine="8"/>
        <w:spacing w:after="0" w:line="503" w:lineRule="auto"/>
        <w:tabs>
          <w:tab w:leader="none" w:pos="31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spacing w:after="0"/>
        <w:rPr>
          <w:sz w:val="20"/>
          <w:szCs w:val="20"/>
          <w:color w:val="auto"/>
        </w:rPr>
      </w:pPr>
      <w:r>
        <w:rPr>
          <w:rFonts w:ascii="Times New Roman" w:cs="Times New Roman" w:eastAsia="Times New Roman" w:hAnsi="Times New Roman"/>
          <w:sz w:val="18"/>
          <w:szCs w:val="18"/>
          <w:color w:val="auto"/>
        </w:rPr>
        <w:t>The Company's goodwill relates to the following reporting units as of March 31, 2022 and December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120,636</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245,104</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There were no impairment losses for the three months ended March 31, 2022 and 2021. The Company performed its most recent annual goodwill impairment test as of October 1, 2021, using the optional qualitative method. Under the qualitative method, we examined the factors most likely to affect our valuations. As a result, we have concluded that it remains more likely than not that the fair value of each of our reporting units exceeds their carrying amounts. As of March 31, 2022, the Company is not aware of any triggering events that have occurred since October 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December 31, 2021, other intangible assets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00" w:type="dxa"/>
            <w:vAlign w:val="bottom"/>
          </w:tcPr>
          <w:p>
            <w:pPr>
              <w:spacing w:after="0"/>
              <w:rPr>
                <w:sz w:val="14"/>
                <w:szCs w:val="14"/>
                <w:color w:val="auto"/>
              </w:rPr>
            </w:pPr>
          </w:p>
        </w:tc>
        <w:tc>
          <w:tcPr>
            <w:tcW w:w="16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160,529</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65,171</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8.0</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530,157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(205,073)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325,084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10.0</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Residual buyouts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6.4</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Non-compete agreements</w:t>
            </w:r>
            <w:r>
              <w:rPr>
                <w:rFonts w:ascii="Times New Roman" w:cs="Times New Roman" w:eastAsia="Times New Roman" w:hAnsi="Times New Roman"/>
                <w:sz w:val="23"/>
                <w:szCs w:val="23"/>
                <w:color w:val="auto"/>
                <w:vertAlign w:val="superscript"/>
              </w:rPr>
              <w:t>(2)</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530,157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340,211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Additions to residual buyouts were offset by certain assets that became fully amortized in 2021 but are still in service.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assets in the group became fully amortized in 2021 but are still in service.</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$15.1 million and $7.0 million for the three months ended March 31, 2022 and 2021, respectively.</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tests intangible assets for impairment when events occur or circumstances indicate that the fair value of an intangible asset or group of intangible assets may be impaired. The Company also considered the market conditions generated by the COVID-19 pandemic and concluded that there were no additional impairment indicators present at March 31, 2022.</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Equipment and Software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equipment and software, net as of March 31, 2022 and December 31, 2021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 lives)</w:t>
            </w: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74,256</w:t>
            </w: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(49,023)</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$2.2 million and $2.1 million for the three months ended March 31, 2022 and 2021, respectively.</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Computer software represents purchased software and internally developed back office and merchant interfacing systems used to assist in the reporting of merchant processing transactions and other related information.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had notes receivable of $2.7 million and $0.4 million as of March 31, 2022 and December 31, 2021, respectively, which are reported as current portion of notes receivable and notes receivable less current portion on the Company's Unaudited Consolidated Balance Sheets. The carrying value of the Company's notes receivable approximates fair value. On the fair value hierarchy, Level 3 inputs are used to estimate the fair value of notes receivable. The notes receivable carried weighted-average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interest rates of 14.6% and 13.8% as of March 31, 2022 and December 31, 2021, respectively. The notes receivable are comprised of notes receivable from ISOs, and under the terms of the agreements the Company preserves the right to hold back residual payments due to the ISOs and to apply such residuals against future payments due to the Company. As of March 31, 2022 and December 31, 2021, the Company had no allowance for doubtful notes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principal payments for the Company's notes receivable are due as follows:</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Twelve month period ending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0" w:type="dxa"/>
            <w:vAlign w:val="bottom"/>
            <w:tcBorders>
              <w:top w:val="single" w:sz="8" w:color="auto"/>
            </w:tcBorders>
            <w:shd w:val="clear" w:color="auto" w:fill="CCEEFF"/>
          </w:tcPr>
          <w:p>
            <w:pPr>
              <w:jc w:val="right"/>
              <w:ind w:right="8530"/>
              <w:spacing w:after="0"/>
              <w:rPr>
                <w:sz w:val="20"/>
                <w:szCs w:val="20"/>
                <w:color w:val="auto"/>
              </w:rPr>
            </w:pPr>
            <w:r>
              <w:rPr>
                <w:rFonts w:ascii="Times New Roman" w:cs="Times New Roman" w:eastAsia="Times New Roman" w:hAnsi="Times New Roman"/>
                <w:sz w:val="18"/>
                <w:szCs w:val="18"/>
                <w:color w:val="auto"/>
                <w:w w:val="99"/>
              </w:rPr>
              <w:t>2023</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9000" w:type="dxa"/>
            <w:vAlign w:val="bottom"/>
          </w:tcPr>
          <w:p>
            <w:pPr>
              <w:jc w:val="right"/>
              <w:ind w:right="8530"/>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9"/>
        </w:trPr>
        <w:tc>
          <w:tcPr>
            <w:tcW w:w="9000" w:type="dxa"/>
            <w:vAlign w:val="bottom"/>
            <w:shd w:val="clear" w:color="auto" w:fill="CCEEFF"/>
          </w:tcPr>
          <w:p>
            <w:pPr>
              <w:jc w:val="right"/>
              <w:ind w:right="8530"/>
              <w:spacing w:after="0"/>
              <w:rPr>
                <w:sz w:val="20"/>
                <w:szCs w:val="20"/>
                <w:color w:val="auto"/>
              </w:rPr>
            </w:pPr>
            <w:r>
              <w:rPr>
                <w:rFonts w:ascii="Times New Roman" w:cs="Times New Roman" w:eastAsia="Times New Roman" w:hAnsi="Times New Roman"/>
                <w:sz w:val="18"/>
                <w:szCs w:val="18"/>
                <w:color w:val="auto"/>
                <w:w w:val="99"/>
              </w:rPr>
              <w:t>2025</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9000" w:type="dxa"/>
            <w:vAlign w:val="bottom"/>
          </w:tcPr>
          <w:p>
            <w:pPr>
              <w:jc w:val="right"/>
              <w:ind w:right="8530"/>
              <w:spacing w:after="0"/>
              <w:rPr>
                <w:sz w:val="20"/>
                <w:szCs w:val="20"/>
                <w:color w:val="auto"/>
              </w:rPr>
            </w:pPr>
            <w:r>
              <w:rPr>
                <w:rFonts w:ascii="Times New Roman" w:cs="Times New Roman" w:eastAsia="Times New Roman" w:hAnsi="Times New Roman"/>
                <w:sz w:val="18"/>
                <w:szCs w:val="18"/>
                <w:color w:val="auto"/>
                <w:w w:val="99"/>
              </w:rPr>
              <w:t>2026</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9000" w:type="dxa"/>
            <w:vAlign w:val="bottom"/>
            <w:shd w:val="clear" w:color="auto" w:fill="CCEEFF"/>
          </w:tcPr>
          <w:p>
            <w:pPr>
              <w:jc w:val="right"/>
              <w:ind w:right="8530"/>
              <w:spacing w:after="0"/>
              <w:rPr>
                <w:sz w:val="20"/>
                <w:szCs w:val="20"/>
                <w:color w:val="auto"/>
              </w:rPr>
            </w:pPr>
            <w:r>
              <w:rPr>
                <w:rFonts w:ascii="Times New Roman" w:cs="Times New Roman" w:eastAsia="Times New Roman" w:hAnsi="Times New Roman"/>
                <w:sz w:val="18"/>
                <w:szCs w:val="18"/>
                <w:color w:val="auto"/>
                <w:w w:val="99"/>
              </w:rPr>
              <w:t>2027</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9000" w:type="dxa"/>
            <w:vAlign w:val="bottom"/>
          </w:tcPr>
          <w:p>
            <w:pPr>
              <w:jc w:val="right"/>
              <w:ind w:right="8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2,679</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debt obligations as of March 31, 2022 and December 31, 2021 consisted of the following:</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7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55"/>
        </w:trPr>
        <w:tc>
          <w:tcPr>
            <w:tcW w:w="73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Term facility - matures April 27, 2027, interest rate of 6.75% at March 31, 2022 and December 31,</w:t>
            </w:r>
          </w:p>
        </w:tc>
        <w:tc>
          <w:tcPr>
            <w:tcW w:w="22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616,900</w:t>
            </w:r>
          </w:p>
        </w:tc>
      </w:tr>
      <w:tr>
        <w:trPr>
          <w:trHeight w:val="175"/>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Revolving credit facility - $40.0 million line, matures April 27, 2026, interest rate of 5.75% at</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March 31, 2022 and December 31, 2021</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598,403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604,105</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Loan Costs and Discounts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Agreement accrue interest using either a base rate or a LIBOR rate plus an applicable margin per year, subject to a LIBOR rate floor of 1.00%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expense for outstanding debt, including fees for undrawn amounts and amortization of deferred financing costs and debt discounts, was $11.5 million, and $9.2 million for the three months ended March 31, 2022 and 2021. Interest expense included amortization of deferred financing costs and debt discounts of $0.8 million and $0.6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Outstanding debt obligations are reflected in the Company's Unaudited Consolidated Balance Sheets at carrying value since the Company did not elect to remeasure debt obligations to fair value at the end of each reporting period.</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fair value of the of the term facility was estimated to be $614.6 million and $613.8 million. at March 31, 2022 and December 31, 2021, respectively, and was estimated using binding and non-binding quoted prices in an active secondary market, which considers the credit risk and market related conditions, and is within Level 3 of the fair value hierarchy.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March 31, 2022, the Company was in compliance with our financial covenants.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Redeemable Senior Preferred Stock and Warrants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carrying amounts of the redeemable senior preferred stock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210,158</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215,053</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dividends for the period presented:</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21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49"/>
        </w:trPr>
        <w:tc>
          <w:tcPr>
            <w:tcW w:w="8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0" w:type="dxa"/>
            <w:vAlign w:val="bottom"/>
          </w:tcPr>
          <w:p>
            <w:pPr>
              <w:spacing w:after="0"/>
              <w:rPr>
                <w:sz w:val="1"/>
                <w:szCs w:val="1"/>
                <w:color w:val="auto"/>
              </w:rPr>
            </w:pPr>
          </w:p>
        </w:tc>
      </w:tr>
      <w:tr>
        <w:trPr>
          <w:trHeight w:val="92"/>
        </w:trPr>
        <w:tc>
          <w:tcPr>
            <w:tcW w:w="87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212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in cash</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29"/>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dividends accrued as part of the carrying value of redeemable senior preferred stock</w:t>
            </w:r>
          </w:p>
        </w:tc>
        <w:tc>
          <w:tcPr>
            <w:tcW w:w="3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48"/>
        </w:trPr>
        <w:tc>
          <w:tcPr>
            <w:tcW w:w="8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Dividends declared at the rate of 13.0% per year</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7,595</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April 27, 2021, the Company issued warrants to purchase up to 1,803,841 shares of the Company's common stock, par value $0.001 per share, at an exercise price of $0.001. As of March 31, 2022,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 xml:space="preserve">The Company's consolidated effective income tax rate was 49.4% for the three months ended March 31, 2022, compared to a consolidated effective income tax rate of 45.4% for the three months ended March 31, 2021. The effective rate for March 31, 2022 differed from the statutory rate of 21.0% primarily due to </w:t>
      </w:r>
      <w:r>
        <w:rPr>
          <w:rFonts w:ascii="Times New Roman" w:cs="Times New Roman" w:eastAsia="Times New Roman" w:hAnsi="Times New Roman"/>
          <w:sz w:val="17"/>
          <w:szCs w:val="17"/>
          <w:color w:val="222222"/>
        </w:rPr>
        <w:t>an increase in the valuation allowance against certain business interest carryover deferred tax assets.</w:t>
      </w:r>
      <w:r>
        <w:rPr>
          <w:rFonts w:ascii="Times New Roman" w:cs="Times New Roman" w:eastAsia="Times New Roman" w:hAnsi="Times New Roman"/>
          <w:sz w:val="17"/>
          <w:szCs w:val="17"/>
          <w:color w:val="auto"/>
        </w:rPr>
        <w:t xml:space="preserve"> The effective rate for March 31, 2021 differed from the statutory federal rate of 21.0% primarily due to an increase in the valuation allowance against certain business interest carryover deferred tax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for Deferred Income Tax Assets</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management's assessment, as of March 31, 2022,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Annual Commitments with Third-party Processors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March 31, 2022, the Company is committed to pay minimum processing fees under these agreements of approximately $15.7 million in 2022 and $16.6 million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15, 2019, a subsidiary of the Company paid $15.2 million cash to acquire certain residual portfolio rights. This asset acquisition became part of the Company's SMB Payments reportable segment. The initial purchase price is subject to an increase of up to $6.4 million in accordance with the terms of the agreement between the Company and the sellers. As of March 31, 2022, the sellers had not achieved the criteria to earn the remaining $2.1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3, Acquisitions</w:t>
      </w:r>
      <w:r>
        <w:rPr>
          <w:rFonts w:ascii="Times New Roman" w:cs="Times New Roman" w:eastAsia="Times New Roman" w:hAnsi="Times New Roman"/>
          <w:sz w:val="18"/>
          <w:szCs w:val="18"/>
          <w:color w:val="auto"/>
        </w:rPr>
        <w:t>, for information about contingent consideration related to other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stock-based compensation was as follows: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3"/>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compensation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March 2021, the Company converted a $0.3 million liability-classified stock-based compensation award for restricted stock units under the 2018 Plan, whereby the service inception date preceded the future grant-date, to an equity-classified award when the restricted stock units were granted.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tax benefit for stock-based compensation was immaterial for the three months ended March 31, 2022 and 2021. No stock-based compensation has been capitalized.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2018 Plan provided for the issuance of up to 6,685,696 shares of the Company's common stock. On March 17, 2022, the Company's Board of Directors unanimously approved an amendment to the 2018 Plan, subject to approval by our shareholders, to increase the number of shares authorized for issuance under the plan by 2,500,000 shares, resulting in 9,185,696 shares of the Company's common stock authorized for issuance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Purchase Plan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on a quarterly basis through payroll deductions at a price equal to 95% of the lesser of the fair value on the first and last trading day of each offering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212529"/>
        </w:rPr>
        <w:t xml:space="preserve">Prior to the fourth quarter of 2021, the Company's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reportable segments included the Consumer Payments segment, the Commercial Payments segment and the Integrated Partners segment. As a result of the Company's organic growth and recent acquisitions, a new internal reporting structure was implemented which resulted in changes to the Company's reportable segments.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new reportable operating segments are </w:t>
      </w:r>
      <w:r>
        <w:rPr>
          <w:rFonts w:ascii="Times New Roman" w:cs="Times New Roman" w:eastAsia="Times New Roman" w:hAnsi="Times New Roman"/>
          <w:sz w:val="18"/>
          <w:szCs w:val="18"/>
          <w:color w:val="000000"/>
        </w:rPr>
        <w:t>SMB Payments, B2B</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Payments and Enterprise Payments. </w:t>
      </w:r>
      <w:r>
        <w:rPr>
          <w:rFonts w:ascii="Times New Roman" w:cs="Times New Roman" w:eastAsia="Times New Roman" w:hAnsi="Times New Roman"/>
          <w:sz w:val="18"/>
          <w:szCs w:val="18"/>
          <w:color w:val="212529"/>
        </w:rPr>
        <w:t>All comparative periods have been adjusted to reflect the new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about our three reportable segments:</w:t>
      </w:r>
    </w:p>
    <w:p>
      <w:pPr>
        <w:spacing w:after="0" w:line="223" w:lineRule="exact"/>
        <w:rPr>
          <w:sz w:val="20"/>
          <w:szCs w:val="20"/>
          <w:color w:val="auto"/>
        </w:rPr>
      </w:pPr>
    </w:p>
    <w:p>
      <w:pPr>
        <w:ind w:left="660" w:right="48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SMB Payments – </w:t>
      </w:r>
      <w:r>
        <w:rPr>
          <w:rFonts w:ascii="Times New Roman" w:cs="Times New Roman" w:eastAsia="Times New Roman" w:hAnsi="Times New Roman"/>
          <w:sz w:val="18"/>
          <w:szCs w:val="18"/>
          <w:color w:val="auto"/>
        </w:rPr>
        <w:t>provides full-service acquiring and payment-enabled solutions for B2C transactions, leveraging the Company's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platform, distributed through ISOs, direct sales and vertically focused ISV channels.</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B2B Payments – </w:t>
      </w:r>
      <w:r>
        <w:rPr>
          <w:rFonts w:ascii="Times New Roman" w:cs="Times New Roman" w:eastAsia="Times New Roman" w:hAnsi="Times New Roman"/>
          <w:sz w:val="18"/>
          <w:szCs w:val="18"/>
          <w:color w:val="auto"/>
        </w:rPr>
        <w:t>provides AP automation solutions to corporations, software partners and FIs, including Citi, Mastercard and American Express.</w:t>
      </w:r>
    </w:p>
    <w:p>
      <w:pPr>
        <w:spacing w:after="0" w:line="225"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Payments – </w:t>
      </w:r>
      <w:r>
        <w:rPr>
          <w:rFonts w:ascii="Times New Roman" w:cs="Times New Roman" w:eastAsia="Times New Roman" w:hAnsi="Times New Roman"/>
          <w:sz w:val="18"/>
          <w:szCs w:val="18"/>
          <w:color w:val="auto"/>
        </w:rPr>
        <w:t>provides embedded payment and banking solutions to enterprise customers that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modern software partners looking to monetize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revenues, consolidated depreciation and amortization, and consolidated operating income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129,959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113,297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operating income of reportable segments to the Company's net loss is provided in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of reportable segments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23"/>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(2,679)</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Loss per Common Share</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loss per common share:</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r>
      <w:tr>
        <w:trPr>
          <w:trHeight w:val="238"/>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r>
    </w:tbl>
    <w:p>
      <w:pPr>
        <w:spacing w:after="0" w:line="253"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common shares outstanding includes 1,803,841 warrants issued in the second quarter of 2021.</w:t>
      </w:r>
    </w:p>
    <w:p>
      <w:pPr>
        <w:spacing w:after="0" w:line="19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Potentially anti-dilutive securities that were excluded from the Company's loss per common share that could potentially be dilutive in future periods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warrants on common stock</w:t>
            </w:r>
            <w:r>
              <w:rPr>
                <w:rFonts w:ascii="Times New Roman" w:cs="Times New Roman" w:eastAsia="Times New Roman" w:hAnsi="Times New Roman"/>
                <w:sz w:val="23"/>
                <w:szCs w:val="23"/>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options and warrants issued to adviser</w:t>
            </w:r>
            <w:r>
              <w:rPr>
                <w:rFonts w:ascii="Times New Roman" w:cs="Times New Roman" w:eastAsia="Times New Roman" w:hAnsi="Times New Roman"/>
                <w:sz w:val="23"/>
                <w:szCs w:val="23"/>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awards</w:t>
            </w:r>
            <w:r>
              <w:rPr>
                <w:rFonts w:ascii="Times New Roman" w:cs="Times New Roman" w:eastAsia="Times New Roman" w:hAnsi="Times New Roman"/>
                <w:sz w:val="23"/>
                <w:szCs w:val="23"/>
                <w:color w:val="auto"/>
                <w:vertAlign w:val="superscript"/>
              </w:rPr>
              <w:t>(3)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7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stock option awards</w:t>
            </w:r>
            <w:r>
              <w:rPr>
                <w:rFonts w:ascii="Times New Roman" w:cs="Times New Roman" w:eastAsia="Times New Roman" w:hAnsi="Times New Roman"/>
                <w:sz w:val="23"/>
                <w:szCs w:val="23"/>
                <w:color w:val="auto"/>
                <w:vertAlign w:val="superscript"/>
              </w:rPr>
              <w:t>(3)</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48"/>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warrants are exercisable at $11.50 per share and expire on August 24, 2023.</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warrants and options are exercisable at $12.00 per share and expire on August 24, 2023.</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9" w:lineRule="exact"/>
        <w:rPr>
          <w:rFonts w:ascii="Times New Roman" w:cs="Times New Roman" w:eastAsia="Times New Roman" w:hAnsi="Times New Roman"/>
          <w:sz w:val="18"/>
          <w:szCs w:val="18"/>
          <w:color w:val="auto"/>
        </w:rPr>
      </w:pPr>
    </w:p>
    <w:p>
      <w:pPr>
        <w:ind w:left="660" w:right="4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section of this Quarterly Report on Form 10-Q or our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8"/>
          <w:szCs w:val="18"/>
          <w:u w:val="single" w:color="auto"/>
          <w:color w:val="0000FF"/>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section of this Quarterly Report on Form 10-Q or our Annual Report on Form 10-K, that may cause our actual results or performance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Terms Used in this Quarterly Report on Form 10-Q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This section includes certain components of our results of operations for the three months ended March 31, 2022, compared to the three months ended March 31, 2021. We have derived this data, except key indicators for merchant bankcard processing dollar values and transaction volumes, from our Unaudited Consolidated Financial Statements included elsewhere in this Quarterly Report on Form 10-Q and our audited Consolidated Financial Statements included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our consolidated revenue of $153.2 million increased by $39.9 million, or 35.2%, from $113.3 million for the three months ended March 31, 2021. This overall increase was mainly driven by an increase in bankcard volumes fueled by increased consumer spending and acquisitions completed by the Company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by type for the three months ended March 31,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0"/>
                <w:szCs w:val="20"/>
                <w:color w:val="auto"/>
              </w:rPr>
            </w:pPr>
          </w:p>
        </w:tc>
        <w:tc>
          <w:tcPr>
            <w:tcW w:w="34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0"/>
                <w:szCs w:val="20"/>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127,952</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107,702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7,097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transmission services revenue</w:t>
            </w:r>
          </w:p>
        </w:tc>
        <w:tc>
          <w:tcPr>
            <w:tcW w:w="3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16,283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153,239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113,297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39,942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our merchant card fees revenue of $128.0 million increased by $20.3 million, or 18.8%, from $107.7 million for the three months ended March 31, 2021. This increase was primarily driven by an increase in the merchant bankcard volume processed by the Company and purchased residuals related to the C&amp;H acquisition, slightly offset by rate decreases.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Outsourced services and other services revenue of $7.1 million for the three months ended March 31, 2022 increased by $2.7 million, or 61.4%, from $4.4 million for the three months ended March 31, 2021, primarily due to growth in revenue from AP automation solutions and the acceleration of certain customer programs which were scaled back in 2021 due to the impact of the COVID-19 pandemic.</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Money transmission services revenue of $16.3 million for the three months ended March 31, 2022 is related to the acquisition of Finxera in September 2021.</w:t>
      </w:r>
    </w:p>
    <w:p>
      <w:pPr>
        <w:spacing w:after="0" w:line="16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Equipment revenue of $1.9 million for the three months ended March 31, 2022 increased by $0.7 million, or 58.3%, from $1.2 million for the three months ended March 31, 2021. The increase was primarily due to increased sales of mobile card reader equipment and other equipment from our MX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 for three months ended March 31, 2022 and 2021 were as follows: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34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4"/>
                <w:szCs w:val="24"/>
                <w:color w:val="auto"/>
              </w:rPr>
            </w:pP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of services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101,480</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81,863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16,077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6,529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17,353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7,503</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142,413</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108,770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33,643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of Services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Costs of services of $101.5 million for the three months ended March 31, 2022 increased by $19.6 million, or 23.9%, from $81.9 million for the three months ended March 31, 2021, primarily due to the corresponding increase in revenues. For the three months ended March 31, 2022, costs of services as a percentage of total revenues decreased to 66.2% as compared to 72.3% for the three months ended March 31, 2021. This decrease was primarily due to the impact of the Finxera acquisition on gross profit margins, partially offset by bankcard volume growth from larger partners with higher commissions and contraction of the specialized merchant acquiring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Salary and Employee Benefits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$16.1 million for the three months ended March 31, 2022 increased by $6.6 million, or 69.5%, from $9.5 million for the three months ended March 31, 2021, primarily due to increases in headcount related to our acquisition of Finxera in September 2021, an increase in stock-based compensation and overall growth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 Expense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$17.4 million for the three months ended March 31, 2022 increased by $8.3 million, or 91.2%, from $9.1 million for the three months ended March 31, 2021, primarily due to the amortization of finite-lived intangible assets acquired from the business combinations completed during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of $7.5 million for the three months ended March 31, 2022 decreased by $0.8 million, or 9.6%, from $8.3 million for the three months ended March 31, 2021, primarily due to an increase in expenses from acquired businesses offset by one-time transaction expenses in the prior year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 net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35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4"/>
                <w:szCs w:val="24"/>
                <w:color w:val="auto"/>
              </w:rPr>
            </w:pP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4"/>
                <w:szCs w:val="24"/>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(11,535)</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(11,484)</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(2,047)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expense of $11.5 million for the three months ended March 31, 2022 increased by $2.3 million, or 25.0%, from $9.2 million for the three months ended March 31, 2021, due to additional borrowings to fund the acquisition of Finxera in September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Income Tax Expense</w:t>
            </w:r>
          </w:p>
        </w:tc>
        <w:tc>
          <w:tcPr>
            <w:tcW w:w="3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(4,910)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9"/>
                <w:szCs w:val="19"/>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(2,231)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12529"/>
        </w:rPr>
        <w:t xml:space="preserve">We compute our interim period income tax expense or benefit by using a forecasted EAETR and adjust for any discrete items arising during the interim period and any changes in our projected full-year business interest expense and taxable income. The EAETR for 2022 is 51.5% and includes the income tax provision on pre-tax income and a tax provision related to establishment of a valuation allowance for deferred income tax on the future portion of the Section 163(j) limitation created by additional 2022 interest expense. </w:t>
      </w:r>
      <w:r>
        <w:rPr>
          <w:rFonts w:ascii="Times New Roman" w:cs="Times New Roman" w:eastAsia="Times New Roman" w:hAnsi="Times New Roman"/>
          <w:sz w:val="18"/>
          <w:szCs w:val="18"/>
          <w:color w:val="000000"/>
        </w:rPr>
        <w:t>The effective tax rate for 2022 increased primarily due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222222"/>
        </w:rPr>
        <w:t>an increase in the valuation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222222"/>
        </w:rPr>
        <w:t>allowance against certain business interest carryover deferred tax assets.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consolidated effective income tax rates differ from the statutory rate due to timing and permanent differences between amounts calculated under accounting principles GAAP and the U.S. tax code. The consolidated effective income tax rate for 2022 may not be indicative of our effective tax rate for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reorganized its business segments as of December 31, 2021, resulting in three segments: SMB Payments, B2B Payments and Enterprise Payments. Segment results included in the discussion below were restated in accordance with the new segment structure for comparison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restatement of the prior period results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6"/>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2021</w:t>
            </w:r>
          </w:p>
        </w:tc>
        <w:tc>
          <w:tcPr>
            <w:tcW w:w="204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SMB Payments</w:t>
            </w:r>
            <w:r>
              <w:rPr>
                <w:rFonts w:ascii="Times New Roman" w:cs="Times New Roman" w:eastAsia="Times New Roman" w:hAnsi="Times New Roman"/>
                <w:sz w:val="23"/>
                <w:szCs w:val="23"/>
                <w:b w:val="1"/>
                <w:bCs w:val="1"/>
                <w:color w:val="auto"/>
                <w:vertAlign w:val="superscript"/>
              </w:rPr>
              <w:t>(1)</w:t>
            </w:r>
          </w:p>
        </w:tc>
        <w:tc>
          <w:tcPr>
            <w:tcW w:w="320" w:type="dxa"/>
            <w:vAlign w:val="bottom"/>
          </w:tcPr>
          <w:p>
            <w:pPr>
              <w:spacing w:after="0"/>
              <w:rPr>
                <w:sz w:val="19"/>
                <w:szCs w:val="19"/>
                <w:color w:val="auto"/>
              </w:rPr>
            </w:pPr>
          </w:p>
        </w:tc>
        <w:tc>
          <w:tcPr>
            <w:tcW w:w="2060" w:type="dxa"/>
            <w:vAlign w:val="bottom"/>
            <w:gridSpan w:val="2"/>
          </w:tcPr>
          <w:p>
            <w:pPr>
              <w:jc w:val="center"/>
              <w:ind w:right="400"/>
              <w:spacing w:after="0" w:line="223" w:lineRule="exact"/>
              <w:rPr>
                <w:sz w:val="20"/>
                <w:szCs w:val="20"/>
                <w:color w:val="auto"/>
              </w:rPr>
            </w:pPr>
            <w:r>
              <w:rPr>
                <w:rFonts w:ascii="Times New Roman" w:cs="Times New Roman" w:eastAsia="Times New Roman" w:hAnsi="Times New Roman"/>
                <w:sz w:val="18"/>
                <w:szCs w:val="18"/>
                <w:b w:val="1"/>
                <w:bCs w:val="1"/>
                <w:color w:val="auto"/>
                <w:w w:val="96"/>
              </w:rPr>
              <w:t>B2B Payments</w:t>
            </w:r>
            <w:r>
              <w:rPr>
                <w:rFonts w:ascii="Times New Roman" w:cs="Times New Roman" w:eastAsia="Times New Roman" w:hAnsi="Times New Roman"/>
                <w:sz w:val="23"/>
                <w:szCs w:val="23"/>
                <w:b w:val="1"/>
                <w:bCs w:val="1"/>
                <w:color w:val="auto"/>
                <w:w w:val="96"/>
                <w:vertAlign w:val="superscript"/>
              </w:rPr>
              <w:t>(2)</w:t>
            </w:r>
          </w:p>
        </w:tc>
        <w:tc>
          <w:tcPr>
            <w:tcW w:w="240" w:type="dxa"/>
            <w:vAlign w:val="bottom"/>
          </w:tcPr>
          <w:p>
            <w:pPr>
              <w:spacing w:after="0"/>
              <w:rPr>
                <w:sz w:val="19"/>
                <w:szCs w:val="19"/>
                <w:color w:val="auto"/>
              </w:rPr>
            </w:pPr>
          </w:p>
        </w:tc>
        <w:tc>
          <w:tcPr>
            <w:tcW w:w="2040" w:type="dxa"/>
            <w:vAlign w:val="bottom"/>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w w:val="98"/>
              </w:rPr>
              <w:t>Enterprise Payments</w:t>
            </w:r>
            <w:r>
              <w:rPr>
                <w:rFonts w:ascii="Times New Roman" w:cs="Times New Roman" w:eastAsia="Times New Roman" w:hAnsi="Times New Roman"/>
                <w:sz w:val="23"/>
                <w:szCs w:val="23"/>
                <w:b w:val="1"/>
                <w:bCs w:val="1"/>
                <w:color w:val="auto"/>
                <w:w w:val="98"/>
                <w:vertAlign w:val="superscript"/>
              </w:rPr>
              <w:t>(3)</w:t>
            </w: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109,101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108,393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1,404</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r>
      <w:tr>
        <w:trPr>
          <w:trHeight w:val="21"/>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Compared to the Company's legacy Consumer Payments segment.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Compared to the Company's legacy Commercial Payments segment.</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Compared to the Company's legacy Integrated Partners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SMB Payments</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Pr>
          <w:p>
            <w:pPr>
              <w:spacing w:after="0"/>
              <w:rPr>
                <w:sz w:val="24"/>
                <w:szCs w:val="24"/>
                <w:color w:val="auto"/>
              </w:rPr>
            </w:pPr>
          </w:p>
        </w:tc>
        <w:tc>
          <w:tcPr>
            <w:tcW w:w="36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4"/>
                <w:szCs w:val="24"/>
                <w:color w:val="auto"/>
              </w:rPr>
            </w:pP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1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6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129,959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117,473</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95,812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21,661</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12,486</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10,824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14,076,847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11,883,166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2,193,681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4"/>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44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145,948</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127,583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from our SMB Payments segment was $130.0 million for the three months ended March 31, 2022, compared to $109.1 million for the three months ended March 31, 2021. The increase of $20.9 million, or 19.2%, was primarily driven by increased merchant bankcard volume. The Company's revenue from the SMB Payments segment as a percentage of merchant bankcard processing dollar value during 2022 decreased to 0.88% from 0.90% during 2021. The decrease is primarily driven by a decrease in revenue from the specialized merchant acquiring portfolio offset by an increase in other fees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income from our SMB Payments segment was $12.5 million for the three months ended March 31, 2022, compared to $13.3 million for the three months ended March 31, 2021. The decrease of $0.8 million, or 6.0%, was primarily driven by the increase in volumes from partners with higher commissions.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our SMB Payments segment was $10.8 million for the three months ended March 31, 2022, compared to $8.7 million depreciation expense for the three months ended March 31, 2021. The increase of $2.1 million was primarily driven by the amortization of acquired intangibles resulting from the C&amp;H and Wholesale Payments, Inc. acquisitions.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B2B Payments</w:t>
            </w: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4"/>
                <w:szCs w:val="24"/>
                <w:color w:val="auto"/>
              </w:rPr>
            </w:pPr>
          </w:p>
        </w:tc>
        <w:tc>
          <w:tcPr>
            <w:tcW w:w="1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5,925</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5,516</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1,607</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6.9 %</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108,407</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44,757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0" w:type="dxa"/>
            <w:vAlign w:val="bottom"/>
          </w:tcPr>
          <w:p>
            <w:pPr>
              <w:spacing w:after="0"/>
              <w:rPr>
                <w:sz w:val="1"/>
                <w:szCs w:val="1"/>
                <w:color w:val="auto"/>
              </w:rPr>
            </w:pPr>
          </w:p>
        </w:tc>
      </w:tr>
      <w:tr>
        <w:trPr>
          <w:trHeight w:val="234"/>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1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125.6 %</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Revenue from our B2B Payments segment was $5.9 million for the three months ended March 31, 2022, compared to $3.5 million for the three months ended March 31, 2021. The increase of $2.4 million, or 68.6%, was primarily driven by $1.5 million, or 42.9%, as a result of the acceleration of certain programs in the Managed Services business operations that were scaled back in 2021 as a result of the COVID-19 pandemic and volume growth in the CPX business. The remaining increase of $0.9 million, or 25.7%, is from the recognition of certain revenues for which recovery became probable during the current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 (Loss)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income from our B2B Payments segment was $0.4 million for the three months ended March 31, 2022, compared to an operating loss of $(0.4) million for the three months ended March 31, 2021. The increase of $0.8 million, or 200.0%, was primarily attributable to increases in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Payments</w:t>
            </w: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4"/>
                <w:szCs w:val="24"/>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17,355</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12,861</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12,329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4,494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25.9 %</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216,398</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216,398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1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from our Enterprise Payments segment was $17.4 million for the three months ended March 31, 2022, compared to $0.7 million for the three months ended March 31, 2021. The increase of $16.7 million was primarily driven by revenues contributed by the Finxera business acquired in September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Operating income from our Enterprise Payments segment was $4.5 million for the three months ended March 31, 2022, compared to $0.2 million for the three months ended March 31, 2021. The increase of $4.3 million was primarily driven by operating income contributed by the Finxera business acquired in September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our Enterprise Payments segment was $6.2 million for the three months ended March 31, 2022, compared to no depreciation expense for the three months ended March 31, 2021. The increase of $6.2 million was primarily driven by the amortization of acquired intangibles resulting from the Finxera acquisition in September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 This is based upon management's estimates and assumptions, including utilizing the most currently available information regarding the effects of the COVID-19 pandemic on our financial results. Actual future results could differ materially, as the magnitude, duration and effects of the COVID-19 pandemic are difficult to predict, and ultimately could negatively impact our liquidity and capital resources.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uses of cash are to fund business operations and administrative costs, and to service our debt.</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$18.9 million at March 31, 2022 and $19.6 million at December 31, 2021. As of March 31, 2022, we had cash totaling $13.6 million compared to $20.3 million at December 31, 2021. These cash balances do not include restricted cash of $13.6 million and $28.9 million at March 31, 2022 and December 31, 2021, respectively, which reflects cash accounts holding customer settlement funds and cash reserves for potential losses. The current portion of long-term debt included in current liabilities was $6.2 million at March 31, 2022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At March 31, 2022, we had availability of approximately $30.0 million under our revolving credit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discussion reflect our changes in cash flows for the comparative three month periods.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9,613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(5,711)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2,538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Net cash provided by operating activities was $9.6 million and $9.1 million for the three months March 31, 2022 and 2021, respectively. The $0.5 million, or 5.5%, increase in 2022 was primarily driven by cash generated from the operations of the Company, offset by changes in operating assets and liabilities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$5.7 million for both the three months ended March 31, 2022 and 2021. For the three months ended March 31, 2022, net cash used in investing activities included $2.4 million related to the funding of new loans to ISOs, additions to property, equipment and software of $2.4 million, and acquisitions of intangible assets of $0.9 million. For three months ended March 31, 2021, net cash used in investing activities included $2.9 million of cash used to fund a portfolio acquisition and $2.8 million of cash used to acquire property, equipment and software.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$2.5 million for the three months ended March 31, 2022, compared to $26.8 million of cash used in financing activities for the three months ended March 31, 2021. The net cash provided by financing activities for three months ended March 31, 2022 included $6.6 million of cash used for the repayment of debt, $3.5 million of cash dividends paid to redeemable senior preferred stockholders and $0.2 million of cash used for other financing activities, offset by changes in the net obligations for funds held on the behalf of customers of $12.7 million. The net cash used in financing activities for the three months ended March 31, 2021 included $22.5 million of cash used related to changes in the net obligations for funds held on behalf of customers and $4.9 million of cash used for the repayment of debt, slightly offset by $0.6 million of cash provided by other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2022, we had outstanding debt obligations, including the current portion and net of unamortized debt discount of $604.6 million, compared to $610.3 million at December 31, 2021, resulting in a decrease of $5.7 million. The debt balance at March 31, 2022 consisted of $615.3 million outstanding under the term facility and $10.0 million outstanding under the revolving credit facility, offset by $20.7 million of unamortized debt discounts and issuance costs. Minimum amortization of the term facility are equal quarterly installments in aggregate annual amounts equal to 1.0% of original principal, with the balance paid upon maturity. The term facility matures in April 2027 and the revolving credit facility expires in April 2026.</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March 31, 2022, the Company was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2021. There have been no material changes to these critical accounting policies and estimates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8"/>
          <w:szCs w:val="18"/>
          <w:u w:val="single" w:color="auto"/>
          <w:color w:val="0000FF"/>
        </w:rPr>
        <w:t>Note 1, Basis of Presentation and Significant Accounting Policies</w:t>
      </w:r>
      <w:r>
        <w:rPr>
          <w:rFonts w:ascii="Times New Roman" w:cs="Times New Roman" w:eastAsia="Times New Roman" w:hAnsi="Times New Roman"/>
          <w:sz w:val="18"/>
          <w:szCs w:val="18"/>
          <w:color w:val="auto"/>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For quantitative and qualitative disclosures about market risk, see Item 7A, "Quantitative and Qualitative Disclosures About Market Risk," of our Annual Report on Form 10-K for the year ended December 31, 2021. Our exposures to market risk have not changed materially since December 31, 2021.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CEO and CFO, has evaluated the effectiveness of the Company's disclosure controls and procedures as of March 31, 2022. Based on that evaluation, the Company's CEO and CFO concluded that the Company's disclosure controls and procedures were effective as of March 31, 2022.</w:t>
      </w:r>
    </w:p>
    <w:p>
      <w:pPr>
        <w:spacing w:after="0" w:line="176"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three months ended 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its common stock during the three months ended March 31, 2022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 Purchased as</w:t>
            </w:r>
          </w:p>
        </w:tc>
        <w:tc>
          <w:tcPr>
            <w:tcW w:w="1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 that</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 Announced Plans or</w:t>
            </w:r>
          </w:p>
        </w:tc>
        <w:tc>
          <w:tcPr>
            <w:tcW w:w="100" w:type="dxa"/>
            <w:vAlign w:val="bottom"/>
          </w:tcPr>
          <w:p>
            <w:pPr>
              <w:spacing w:after="0"/>
              <w:rPr>
                <w:sz w:val="15"/>
                <w:szCs w:val="15"/>
                <w:color w:val="auto"/>
              </w:rPr>
            </w:pPr>
          </w:p>
        </w:tc>
        <w:tc>
          <w:tcPr>
            <w:tcW w:w="3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Yet Be Purchased Under the</w:t>
            </w:r>
          </w:p>
        </w:tc>
        <w:tc>
          <w:tcPr>
            <w:tcW w:w="0" w:type="dxa"/>
            <w:vAlign w:val="bottom"/>
          </w:tcPr>
          <w:p>
            <w:pPr>
              <w:spacing w:after="0"/>
              <w:rPr>
                <w:sz w:val="1"/>
                <w:szCs w:val="1"/>
                <w:color w:val="auto"/>
              </w:rPr>
            </w:pPr>
          </w:p>
        </w:tc>
      </w:tr>
      <w:tr>
        <w:trPr>
          <w:trHeight w:val="243"/>
        </w:trPr>
        <w:tc>
          <w:tcPr>
            <w:tcW w:w="2000" w:type="dxa"/>
            <w:vAlign w:val="bottom"/>
            <w:gridSpan w:val="2"/>
            <w:vMerge w:val="continue"/>
          </w:tcPr>
          <w:p>
            <w:pPr>
              <w:spacing w:after="0"/>
              <w:rPr>
                <w:sz w:val="21"/>
                <w:szCs w:val="21"/>
                <w:color w:val="auto"/>
              </w:rPr>
            </w:pP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21"/>
                <w:szCs w:val="21"/>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1-28,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12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0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bottom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100" w:hanging="328"/>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(in whole units) withheld to satisfy employees' tax withholding obligations related to the vesting of restricted stock awards, which was determined based on the fair market value on the vesting date.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1240"/>
          </w:cols>
          <w:pgMar w:left="320" w:top="121" w:right="33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01"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102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260" w:type="dxa"/>
            <w:vAlign w:val="bottom"/>
            <w:tcBorders>
              <w:top w:val="single" w:sz="8" w:color="auto"/>
            </w:tcBorders>
            <w:gridSpan w:val="38"/>
            <w:shd w:val="clear" w:color="auto" w:fill="CCEEFF"/>
          </w:tcPr>
          <w:p>
            <w:pPr>
              <w:spacing w:after="0" w:line="18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Second Amended and Restated Contribution Agreement, dated as of April 17, 2018, by and among Priority Investment Holdings, Priority</w:t>
              </w:r>
            </w:hyperlink>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Incentive Equity Holdings, LLC and M I Acquisitions, Inc. (incorporated by reference to Annex A to the Company's Proxy Statement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0000FF"/>
            </w:tcBorders>
            <w:gridSpan w:val="6"/>
            <w:shd w:val="clear" w:color="auto" w:fill="CCEEFF"/>
          </w:tcPr>
          <w:p>
            <w:pPr>
              <w:spacing w:after="0" w:line="169"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Schedule 14(a), filed July 5, 2018).</w:t>
              </w:r>
            </w:hyperlink>
          </w:p>
        </w:tc>
        <w:tc>
          <w:tcPr>
            <w:tcW w:w="7480" w:type="dxa"/>
            <w:vAlign w:val="bottom"/>
            <w:tcBorders>
              <w:bottom w:val="single" w:sz="8" w:color="CCEEFF"/>
            </w:tcBorders>
            <w:gridSpan w:val="20"/>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180" w:type="dxa"/>
            <w:vAlign w:val="bottom"/>
            <w:gridSpan w:val="6"/>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Agreement and Plan of Merger, dated as of March 5, 2021, by and among the Company, Finxera, Merger Sub, and the Equityholder</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rFonts w:ascii="Times New Roman" w:cs="Times New Roman" w:eastAsia="Times New Roman" w:hAnsi="Times New Roman"/>
                <w:sz w:val="18"/>
                <w:szCs w:val="18"/>
                <w:color w:val="0000FF"/>
                <w:w w:val="97"/>
              </w:rPr>
            </w:pPr>
            <w:hyperlink r:id="rId48">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0" w:type="dxa"/>
            <w:vAlign w:val="bottom"/>
            <w:tcBorders>
              <w:bottom w:val="single" w:sz="8" w:color="0000FF"/>
            </w:tcBorders>
            <w:gridSpan w:val="23"/>
            <w:shd w:val="clear" w:color="auto" w:fill="CCEEFF"/>
          </w:tcPr>
          <w:p>
            <w:pPr>
              <w:spacing w:after="0" w:line="189"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Certificate of Amendment to the Certificate of Incorporation of Priority Technology Holdings dated April 16, 2021, filed April 29, 2021</w:t>
              </w:r>
            </w:hyperlink>
          </w:p>
        </w:tc>
        <w:tc>
          <w:tcPr>
            <w:tcW w:w="460" w:type="dxa"/>
            <w:vAlign w:val="bottom"/>
            <w:tcBorders>
              <w:bottom w:val="single" w:sz="8" w:color="CCEEFF"/>
            </w:tcBorders>
            <w:gridSpan w:val="15"/>
            <w:shd w:val="clear" w:color="auto" w:fill="CCEEFF"/>
          </w:tcPr>
          <w:p>
            <w:pPr>
              <w:spacing w:after="0"/>
              <w:rPr>
                <w:sz w:val="18"/>
                <w:szCs w:val="18"/>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Agreement and Plan of Merger by and among the Company, Finxera Holdings, Inc., Prime Warrior Acquisition Corp., and Stone Point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Capital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Second Amended and Restated Certificate of Incorporation of Priority Technology Holdings, Inc. (incorporated by reference to Exhibit 3.1</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to the Company's Current Report on Form 8-K, filed July 31,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Bylaws of Priority Technology Holdings, Inc. (incorporated by reference to Exhibit 3.2 to the Company's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Report on Form 8-K, filed July 31,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rFonts w:ascii="Times New Roman" w:cs="Times New Roman" w:eastAsia="Times New Roman" w:hAnsi="Times New Roman"/>
                <w:sz w:val="18"/>
                <w:szCs w:val="18"/>
                <w:color w:val="0000FF"/>
                <w:w w:val="97"/>
              </w:rPr>
            </w:pPr>
            <w:hyperlink r:id="rId5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8"/>
            <w:shd w:val="clear" w:color="auto" w:fill="CCEEFF"/>
          </w:tcPr>
          <w:p>
            <w:pPr>
              <w:spacing w:after="0" w:line="18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Certificate of Designations of Senior Preferred Stock</w:t>
              </w:r>
            </w:hyperlink>
          </w:p>
        </w:tc>
        <w:tc>
          <w:tcPr>
            <w:tcW w:w="6440" w:type="dxa"/>
            <w:vAlign w:val="bottom"/>
            <w:tcBorders>
              <w:bottom w:val="single" w:sz="8" w:color="CCEEFF"/>
            </w:tcBorders>
            <w:gridSpan w:val="30"/>
            <w:shd w:val="clear" w:color="auto" w:fill="CCEEFF"/>
          </w:tcPr>
          <w:p>
            <w:pPr>
              <w:spacing w:after="0"/>
              <w:rPr>
                <w:sz w:val="18"/>
                <w:szCs w:val="18"/>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Warrant Agreement, dated September 13, 2016, by and between American Stock Transfer &amp; Trust Company, LLC and the Registrant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(incorporated by reference to Exhibit 4.1 to the Current Report on Form 8-K, filed September 16,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40" w:type="dxa"/>
            <w:vAlign w:val="bottom"/>
            <w:tcBorders>
              <w:right w:val="single" w:sz="8" w:color="CCEEFF"/>
            </w:tcBorders>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Registration Rights Agreement dated as of July 25, 2018 by and among M I Acquisitions, Inc. and the other parties thereto (incorporated</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35"/>
            <w:shd w:val="clear" w:color="auto" w:fill="CCEEFF"/>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by reference to Exhibit 10.1 to the Company's Current Report on Form 8-K, filed July 31,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80" w:type="dxa"/>
            <w:vAlign w:val="bottom"/>
            <w:gridSpan w:val="6"/>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Priority Technology Holdings, Inc. 2018 Equity Incentive Plan (incorporated by reference to Exhibit 10.2 to the Company's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Report on Form 8-K, filed July 31, 2018).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Priority Technology Holdings, Inc. 2021 Employee Stock Purchase Plan</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80" w:type="dxa"/>
            <w:vAlign w:val="bottom"/>
            <w:gridSpan w:val="5"/>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No. 1 to Priority Technology Holdings, Inc. 2021 Employee Stock Purchase Plan</w:t>
              </w:r>
            </w:hyperlink>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6"/>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Director Agreement by and among Priority Holdings LLC, Pipeline Cynergy Holdings, LLC, Priority Payment Systems Holdings, LLC</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and Thomas C. Priore, dated May 21, 2014 (incorporated by reference to Exhibit 10.6 to the Company's Registration Statement on Form</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S-4/A, filed December 26, 2018).</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No. 1 to Director Agreement by and among Priority Holdings LLC, Pipeline Cynergy Holdings, LLC, Priority Payment</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tcBorders>
            <w:gridSpan w:val="34"/>
            <w:shd w:val="clear" w:color="auto" w:fill="CCEEFF"/>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Systems Holdings, LLC and Thomas C. Priore, dated April 19, 2018 (incorporated by reference to Exhibit 10.7 to the Company's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760" w:type="dxa"/>
            <w:vAlign w:val="bottom"/>
            <w:tcBorders>
              <w:top w:val="single" w:sz="8" w:color="0000FF"/>
              <w:bottom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Registration Statement on Form S-4/A, filed December 26, 2018).</w:t>
              </w:r>
            </w:hyperlink>
          </w:p>
        </w:tc>
        <w:tc>
          <w:tcPr>
            <w:tcW w:w="522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180" w:type="dxa"/>
            <w:vAlign w:val="bottom"/>
            <w:gridSpan w:val="6"/>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Executive Employment Agreement between Priority Technology Holdings, Inc. and Michael Vollkommer, dated December 20, 2018</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(incorporated by reference to Exhibit 10.1 to the Company's Current Report on Form 8-K, filed December 26, 2018).</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Restricted Stock Unit Award Agreement between Priority Technology Holdings, Inc. and Michael Vollkommer, dated December 20, 2018</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10.13 to the Company's Annual Report on Form 10-K, filed March 29, 2019).</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80" w:type="dxa"/>
            <w:vAlign w:val="bottom"/>
            <w:gridSpan w:val="6"/>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of Independent Director Agreement (incorporated by reference to Exhibit 10.19 to the Company's Annual Report on Form 10-K,</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filed March 29,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40" w:type="dxa"/>
            <w:vAlign w:val="bottom"/>
            <w:tcBorders>
              <w:right w:val="single" w:sz="8" w:color="CCEEFF"/>
            </w:tcBorders>
            <w:gridSpan w:val="4"/>
            <w:shd w:val="clear" w:color="auto" w:fill="CCEEFF"/>
          </w:tcPr>
          <w:p>
            <w:pPr>
              <w:ind w:left="20"/>
              <w:spacing w:after="0" w:line="189" w:lineRule="exact"/>
              <w:rPr>
                <w:rFonts w:ascii="Times New Roman" w:cs="Times New Roman" w:eastAsia="Times New Roman" w:hAnsi="Times New Roman"/>
                <w:sz w:val="18"/>
                <w:szCs w:val="18"/>
                <w:color w:val="0000FF"/>
                <w:w w:val="93"/>
              </w:rPr>
            </w:pPr>
            <w:hyperlink r:id="rId6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14</w:t>
              </w:r>
            </w:hyperlink>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6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August 31, 2020 (incorporated by reference to Exhibit 10.1 to the Company's Current Report on Form 8-K filed September 1, 2020).</w:t>
              </w:r>
            </w:hyperlink>
          </w:p>
        </w:tc>
        <w:tc>
          <w:tcPr>
            <w:tcW w:w="6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w w:val="93"/>
              </w:rPr>
            </w:pPr>
            <w:hyperlink r:id="rId6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15</w:t>
              </w:r>
            </w:hyperlink>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Support Agreement, dated as of March 5, 2021, by and among the Stockholders and Finxera</w:t>
              </w:r>
            </w:hyperlink>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spacing w:after="0" w:line="189" w:lineRule="exact"/>
              <w:rPr>
                <w:rFonts w:ascii="Times New Roman" w:cs="Times New Roman" w:eastAsia="Times New Roman" w:hAnsi="Times New Roman"/>
                <w:sz w:val="18"/>
                <w:szCs w:val="18"/>
                <w:color w:val="0000FF"/>
                <w:w w:val="93"/>
              </w:rPr>
            </w:pPr>
            <w:hyperlink r:id="rId6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16</w:t>
              </w:r>
            </w:hyperlink>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Debt Commitment Letter, dated as of March 5, 2021, between Priority Holdings, LLC and Truist Securities, Inc.</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gridSpan w:val="3"/>
          </w:tcPr>
          <w:p>
            <w:pPr>
              <w:spacing w:after="0" w:line="189" w:lineRule="exact"/>
              <w:rPr>
                <w:rFonts w:ascii="Times New Roman" w:cs="Times New Roman" w:eastAsia="Times New Roman" w:hAnsi="Times New Roman"/>
                <w:sz w:val="18"/>
                <w:szCs w:val="18"/>
                <w:color w:val="0000FF"/>
                <w:w w:val="93"/>
              </w:rPr>
            </w:pPr>
            <w:hyperlink r:id="rId6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17</w:t>
              </w:r>
            </w:hyperlink>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Preferred Stock Commitment Letter, dated as of March 5, 2021, among the Company and certain affiliates of Ares Capital Management</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LLC</w:t>
              </w:r>
            </w:hyperlink>
          </w:p>
        </w:tc>
        <w:tc>
          <w:tcPr>
            <w:tcW w:w="200" w:type="dxa"/>
            <w:vAlign w:val="bottom"/>
            <w:gridSpan w:val="10"/>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6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Securities Purchase Agreement, dated as of April 27, 2021, among the Company and the Investors named therein</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6"/>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60" w:type="dxa"/>
            <w:vAlign w:val="bottom"/>
            <w:gridSpan w:val="38"/>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Registration Rights Agreement, dated as of April 27, 2021, among the Company and the Investors name therein</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spacing w:after="0"/>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80" w:type="dxa"/>
            <w:vAlign w:val="bottom"/>
            <w:gridSpan w:val="11"/>
            <w:shd w:val="clear" w:color="auto" w:fill="CCEEFF"/>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80" w:type="dxa"/>
            <w:vAlign w:val="bottom"/>
            <w:tcBorders>
              <w:top w:val="single" w:sz="8" w:color="0000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gridSpan w:val="3"/>
          </w:tcPr>
          <w:p>
            <w:pPr>
              <w:spacing w:after="0" w:line="189" w:lineRule="exact"/>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80" w:type="dxa"/>
            <w:vAlign w:val="bottom"/>
            <w:gridSpan w:val="11"/>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Amendment No. 2, dated September 17, 2021, to the Credit Agreement, dated as of April 27, 2021, by and among the Loan Parties named</w:t>
              </w:r>
            </w:hyperlink>
          </w:p>
        </w:tc>
      </w:tr>
      <w:tr>
        <w:trPr>
          <w:trHeight w:val="155"/>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therein and Truist Bank.</w:t>
              </w:r>
            </w:hyperlink>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Restricted Stock Unit Award Agreement</w:t>
            </w:r>
          </w:p>
        </w:tc>
      </w:tr>
      <w:tr>
        <w:trPr>
          <w:trHeight w:val="189"/>
        </w:trPr>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3"/>
          </w:tcPr>
          <w:p>
            <w:pPr>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340" w:type="dxa"/>
            <w:vAlign w:val="bottom"/>
            <w:tcBorders>
              <w:top w:val="single" w:sz="8" w:color="0000FF"/>
            </w:tcBorders>
            <w:gridSpan w:val="5"/>
          </w:tcPr>
          <w:p>
            <w:pPr>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Subsidiaries</w:t>
              </w:r>
            </w:hyperlink>
          </w:p>
        </w:tc>
        <w:tc>
          <w:tcPr>
            <w:tcW w:w="6740" w:type="dxa"/>
            <w:vAlign w:val="bottom"/>
            <w:tcBorders>
              <w:top w:val="single" w:sz="8" w:color="CCEEFF"/>
            </w:tcBorders>
            <w:gridSpan w:val="6"/>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31.</w:t>
            </w:r>
            <w:r>
              <w:rPr>
                <w:rFonts w:ascii="Times New Roman" w:cs="Times New Roman" w:eastAsia="Times New Roman" w:hAnsi="Times New Roman"/>
                <w:sz w:val="18"/>
                <w:szCs w:val="18"/>
                <w:u w:val="single" w:color="auto"/>
                <w:color w:val="0000FF"/>
                <w:w w:val="97"/>
              </w:rPr>
              <w:t>1</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w:t>
            </w:r>
          </w:p>
        </w:tc>
        <w:tc>
          <w:tcPr>
            <w:tcW w:w="740" w:type="dxa"/>
            <w:vAlign w:val="bottom"/>
            <w:shd w:val="clear" w:color="auto" w:fill="CCEEFF"/>
          </w:tcPr>
          <w:p>
            <w:pPr>
              <w:spacing w:after="0"/>
              <w:rPr>
                <w:sz w:val="16"/>
                <w:szCs w:val="16"/>
                <w:color w:val="auto"/>
              </w:rPr>
            </w:pPr>
          </w:p>
        </w:tc>
        <w:tc>
          <w:tcPr>
            <w:tcW w:w="100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 and Rule 15d-14(a), promulgated under the Securities and Exchange Act</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 1934, as amended.</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31.</w:t>
            </w:r>
            <w:r>
              <w:rPr>
                <w:rFonts w:ascii="Times New Roman" w:cs="Times New Roman" w:eastAsia="Times New Roman" w:hAnsi="Times New Roman"/>
                <w:sz w:val="18"/>
                <w:szCs w:val="18"/>
                <w:u w:val="single" w:color="auto"/>
                <w:color w:val="0000FF"/>
                <w:w w:val="97"/>
              </w:rPr>
              <w:t>2</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w:t>
            </w:r>
          </w:p>
        </w:tc>
        <w:tc>
          <w:tcPr>
            <w:tcW w:w="740" w:type="dxa"/>
            <w:vAlign w:val="bottom"/>
          </w:tcPr>
          <w:p>
            <w:pPr>
              <w:spacing w:after="0"/>
              <w:rPr>
                <w:sz w:val="16"/>
                <w:szCs w:val="16"/>
                <w:color w:val="auto"/>
              </w:rPr>
            </w:pPr>
          </w:p>
        </w:tc>
        <w:tc>
          <w:tcPr>
            <w:tcW w:w="100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 and Rule 15d-14(a), promulgated under the Securities and Exchange Act</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of 1934, as amended.</w:t>
            </w:r>
          </w:p>
        </w:tc>
        <w:tc>
          <w:tcPr>
            <w:tcW w:w="40" w:type="dxa"/>
            <w:vAlign w:val="bottom"/>
            <w:gridSpan w:val="2"/>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xml:space="preserve">32 </w:t>
            </w:r>
            <w:r>
              <w:rPr>
                <w:rFonts w:ascii="Times New Roman" w:cs="Times New Roman" w:eastAsia="Times New Roman" w:hAnsi="Times New Roman"/>
                <w:sz w:val="18"/>
                <w:szCs w:val="18"/>
                <w:color w:val="000000"/>
              </w:rPr>
              <w:t>**</w:t>
            </w:r>
          </w:p>
        </w:tc>
        <w:tc>
          <w:tcPr>
            <w:tcW w:w="740" w:type="dxa"/>
            <w:vAlign w:val="bottom"/>
            <w:shd w:val="clear" w:color="auto" w:fill="CCEEFF"/>
          </w:tcPr>
          <w:p>
            <w:pPr>
              <w:spacing w:after="0"/>
              <w:rPr>
                <w:sz w:val="16"/>
                <w:szCs w:val="16"/>
                <w:color w:val="auto"/>
              </w:rPr>
            </w:pPr>
          </w:p>
        </w:tc>
        <w:tc>
          <w:tcPr>
            <w:tcW w:w="100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12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101.INS *</w:t>
            </w:r>
          </w:p>
        </w:tc>
        <w:tc>
          <w:tcPr>
            <w:tcW w:w="10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 *</w:t>
            </w:r>
          </w:p>
        </w:tc>
        <w:tc>
          <w:tcPr>
            <w:tcW w:w="100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 *</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2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 *</w:t>
            </w:r>
          </w:p>
        </w:tc>
        <w:tc>
          <w:tcPr>
            <w:tcW w:w="100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2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 *</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9"/>
        </w:trPr>
        <w:tc>
          <w:tcPr>
            <w:tcW w:w="2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 *</w:t>
            </w:r>
          </w:p>
        </w:tc>
        <w:tc>
          <w:tcPr>
            <w:tcW w:w="100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6680" w:type="dxa"/>
            <w:vAlign w:val="bottom"/>
            <w:gridSpan w:val="4"/>
          </w:tcPr>
          <w:p>
            <w:pPr>
              <w:ind w:left="168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May 11, 2022</w:t>
            </w:r>
          </w:p>
        </w:tc>
        <w:tc>
          <w:tcPr>
            <w:tcW w:w="3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9"/>
        </w:trPr>
        <w:tc>
          <w:tcPr>
            <w:tcW w:w="2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Thomas C. Priore</w:t>
            </w: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82"/>
        </w:trPr>
        <w:tc>
          <w:tcPr>
            <w:tcW w:w="2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5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w:t>
            </w:r>
          </w:p>
        </w:tc>
      </w:tr>
      <w:tr>
        <w:trPr>
          <w:trHeight w:val="236"/>
        </w:trPr>
        <w:tc>
          <w:tcPr>
            <w:tcW w:w="2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33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May 11, 2022</w:t>
            </w:r>
          </w:p>
        </w:tc>
        <w:tc>
          <w:tcPr>
            <w:tcW w:w="312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Michael Vollkommer</w:t>
            </w:r>
          </w:p>
        </w:tc>
      </w:tr>
      <w:tr>
        <w:trPr>
          <w:trHeight w:val="171"/>
        </w:trPr>
        <w:tc>
          <w:tcPr>
            <w:tcW w:w="2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60" w:type="dxa"/>
            <w:vAlign w:val="bottom"/>
            <w:tcBorders>
              <w:top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Michael Vollkommer</w:t>
            </w:r>
          </w:p>
        </w:tc>
        <w:tc>
          <w:tcPr>
            <w:tcW w:w="1800" w:type="dxa"/>
            <w:vAlign w:val="bottom"/>
          </w:tcPr>
          <w:p>
            <w:pPr>
              <w:spacing w:after="0"/>
              <w:rPr>
                <w:sz w:val="14"/>
                <w:szCs w:val="14"/>
                <w:color w:val="auto"/>
              </w:rPr>
            </w:pPr>
          </w:p>
        </w:tc>
      </w:tr>
    </w:tbl>
    <w:p>
      <w:pPr>
        <w:ind w:left="584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21"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2018 EQUITY INCENTIVE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182" w:lineRule="exact"/>
        <w:rPr>
          <w:sz w:val="20"/>
          <w:szCs w:val="20"/>
          <w:color w:val="auto"/>
        </w:rPr>
      </w:pPr>
    </w:p>
    <w:p>
      <w:pPr>
        <w:ind w:right="60" w:firstLine="1296"/>
        <w:spacing w:after="0" w:line="229"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made and entered into as of ___ __, 20__ (the “</w:t>
      </w:r>
      <w:r>
        <w:rPr>
          <w:rFonts w:ascii="Times New Roman" w:cs="Times New Roman" w:eastAsia="Times New Roman" w:hAnsi="Times New Roman"/>
          <w:sz w:val="21"/>
          <w:szCs w:val="21"/>
          <w:b w:val="1"/>
          <w:bCs w:val="1"/>
          <w:i w:val="1"/>
          <w:iCs w:val="1"/>
          <w:color w:val="auto"/>
        </w:rPr>
        <w:t>Grant Date</w:t>
      </w:r>
      <w:r>
        <w:rPr>
          <w:rFonts w:ascii="Times New Roman" w:cs="Times New Roman" w:eastAsia="Times New Roman" w:hAnsi="Times New Roman"/>
          <w:sz w:val="21"/>
          <w:szCs w:val="21"/>
          <w:color w:val="auto"/>
        </w:rPr>
        <w:t>”), by and between Priority Technology Holdings,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___________</w:t>
      </w:r>
    </w:p>
    <w:p>
      <w:pPr>
        <w:spacing w:after="0" w:line="1"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Capitalized terms not otherwise defined herein shall have the meanings provided in the Priority Technology Holdings, Inc. 2018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maintains the Plan; and</w:t>
      </w:r>
    </w:p>
    <w:p>
      <w:pPr>
        <w:spacing w:after="0" w:line="179" w:lineRule="exact"/>
        <w:rPr>
          <w:sz w:val="20"/>
          <w:szCs w:val="20"/>
          <w:color w:val="auto"/>
        </w:rPr>
      </w:pPr>
    </w:p>
    <w:p>
      <w:pPr>
        <w:ind w:right="24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grant Restricted Stock Units to the Participant pursuant to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the terms set forth herein;</w:t>
      </w:r>
    </w:p>
    <w:p>
      <w:pPr>
        <w:spacing w:after="0" w:line="146"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in consideration of the mutual covenants and agreements herein contained and other good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valuable consideration, the receipt and sufficiency of which are hereby acknowledged, the parties hereby agree as follows:</w:t>
      </w:r>
    </w:p>
    <w:p>
      <w:pPr>
        <w:spacing w:after="0" w:line="127" w:lineRule="exact"/>
        <w:rPr>
          <w:sz w:val="20"/>
          <w:szCs w:val="20"/>
          <w:color w:val="auto"/>
        </w:rPr>
      </w:pPr>
    </w:p>
    <w:p>
      <w:pPr>
        <w:ind w:left="1960" w:hanging="656"/>
        <w:spacing w:after="0"/>
        <w:tabs>
          <w:tab w:leader="none" w:pos="19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Subject to the conditions set forth in the Plan and this Agreement, the Company grants Participant</w:t>
      </w:r>
    </w:p>
    <w:p>
      <w:pPr>
        <w:spacing w:after="0" w:line="2" w:lineRule="exact"/>
        <w:rPr>
          <w:rFonts w:ascii="Times New Roman" w:cs="Times New Roman" w:eastAsia="Times New Roman" w:hAnsi="Times New Roman"/>
          <w:sz w:val="21"/>
          <w:szCs w:val="21"/>
          <w:color w:val="auto"/>
        </w:rPr>
      </w:pPr>
    </w:p>
    <w:p>
      <w:pPr>
        <w:ind w:right="4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________ shares of Restricted Stock Units, subject to a three-year vesting schedule as further defined in Schedule A and set forth herein.</w:t>
      </w:r>
    </w:p>
    <w:p>
      <w:pPr>
        <w:spacing w:after="0" w:line="14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become vested in the Restricted Stock Units, in accordance with the terms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Schedule A attached hereto.</w:t>
      </w:r>
    </w:p>
    <w:p>
      <w:pPr>
        <w:spacing w:after="0" w:line="155" w:lineRule="exact"/>
        <w:rPr>
          <w:rFonts w:ascii="Times New Roman" w:cs="Times New Roman" w:eastAsia="Times New Roman" w:hAnsi="Times New Roman"/>
          <w:sz w:val="21"/>
          <w:szCs w:val="21"/>
          <w:color w:val="auto"/>
        </w:rPr>
      </w:pPr>
    </w:p>
    <w:p>
      <w:pPr>
        <w:jc w:val="both"/>
        <w:ind w:right="160" w:firstLine="1952"/>
        <w:spacing w:after="0" w:line="220" w:lineRule="auto"/>
        <w:tabs>
          <w:tab w:leader="none" w:pos="258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of the Participant’s Termination of Service on account of the Participant’s death or Disability (as defined below), the Restricted Stock Units shall become one hundred percent (100%) vested. For purposes of this Agreement,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that the Participant would be considered disabled under Section 409A of the Code.</w:t>
      </w:r>
    </w:p>
    <w:p>
      <w:pPr>
        <w:spacing w:after="0" w:line="152" w:lineRule="exact"/>
        <w:rPr>
          <w:rFonts w:ascii="Times New Roman" w:cs="Times New Roman" w:eastAsia="Times New Roman" w:hAnsi="Times New Roman"/>
          <w:sz w:val="22"/>
          <w:szCs w:val="22"/>
          <w:color w:val="auto"/>
        </w:rPr>
      </w:pPr>
    </w:p>
    <w:p>
      <w:pPr>
        <w:jc w:val="both"/>
        <w:ind w:right="300" w:firstLine="1952"/>
        <w:spacing w:after="0" w:line="255" w:lineRule="auto"/>
        <w:tabs>
          <w:tab w:leader="none" w:pos="2589"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Participant’s Termination of Service for any reason, the portion of the Restricted Stock Units in which the Participant has not become vested shall be cancelled and forfeited by the Participant without consideration.</w:t>
      </w:r>
    </w:p>
    <w:p>
      <w:pPr>
        <w:spacing w:after="0" w:line="200" w:lineRule="exact"/>
        <w:rPr>
          <w:rFonts w:ascii="Times New Roman" w:cs="Times New Roman" w:eastAsia="Times New Roman" w:hAnsi="Times New Roman"/>
          <w:sz w:val="21"/>
          <w:szCs w:val="21"/>
          <w:color w:val="auto"/>
        </w:rPr>
      </w:pPr>
    </w:p>
    <w:p>
      <w:pPr>
        <w:spacing w:after="0" w:line="389" w:lineRule="exact"/>
        <w:rPr>
          <w:rFonts w:ascii="Times New Roman" w:cs="Times New Roman" w:eastAsia="Times New Roman" w:hAnsi="Times New Roman"/>
          <w:sz w:val="21"/>
          <w:szCs w:val="21"/>
          <w:color w:val="auto"/>
        </w:rPr>
      </w:pPr>
    </w:p>
    <w:p>
      <w:pPr>
        <w:ind w:right="80" w:firstLine="1304"/>
        <w:spacing w:after="0" w:line="206" w:lineRule="auto"/>
        <w:tabs>
          <w:tab w:leader="none" w:pos="19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Settlement</w:t>
      </w:r>
      <w:r>
        <w:rPr>
          <w:rFonts w:ascii="Times New Roman" w:cs="Times New Roman" w:eastAsia="Times New Roman" w:hAnsi="Times New Roman"/>
          <w:sz w:val="22"/>
          <w:szCs w:val="22"/>
          <w:color w:val="auto"/>
        </w:rPr>
        <w:t>. The Company shall deliver to the Participant (or, in the event of the Participant’s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death, the Participant’s beneficiary), one (1) share of Company Stock for each Restricted Stock Unit in which the Participant becomes vested in accordance with this Agreement, less any shares withheld for payment of taxes as provided in Section 17 of the Plan. The Participant shall receive cash in lieu of any fractional shares of Company Stock that would otherwise be issuable hereunder. Delivery of such Company Stock and cash, if applicable, shall be made within thirty (30) days following the applicable Vesting Date, but in no event later than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month following the end of the calendar year in which the Vesting Date occurred.</w:t>
      </w:r>
    </w:p>
    <w:p>
      <w:pPr>
        <w:spacing w:after="0" w:line="148" w:lineRule="exact"/>
        <w:rPr>
          <w:rFonts w:ascii="Times New Roman" w:cs="Times New Roman" w:eastAsia="Times New Roman" w:hAnsi="Times New Roman"/>
          <w:sz w:val="22"/>
          <w:szCs w:val="22"/>
          <w:color w:val="auto"/>
        </w:rPr>
      </w:pPr>
    </w:p>
    <w:p>
      <w:pPr>
        <w:ind w:right="560" w:firstLine="1304"/>
        <w:spacing w:after="0" w:line="238" w:lineRule="auto"/>
        <w:tabs>
          <w:tab w:leader="none" w:pos="19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22"/>
          <w:szCs w:val="22"/>
          <w:color w:val="auto"/>
        </w:rPr>
        <w:t>. The Participant shall not have any voting rights, rights to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or other rights of a stockholder with respect to shares of Company</w:t>
      </w:r>
    </w:p>
    <w:p>
      <w:pPr>
        <w:sectPr>
          <w:pgSz w:w="11900" w:h="16838" w:orient="portrait"/>
          <w:cols w:equalWidth="0" w:num="1">
            <w:col w:w="11240"/>
          </w:cols>
          <w:pgMar w:left="320" w:top="108" w:right="339" w:bottom="1440" w:gutter="0" w:footer="0" w:header="0"/>
        </w:sectPr>
      </w:pPr>
    </w:p>
    <w:bookmarkStart w:id="39" w:name="page40"/>
    <w:bookmarkEnd w:id="39"/>
    <w:p>
      <w:pPr>
        <w:jc w:val="both"/>
        <w:ind w:right="560"/>
        <w:spacing w:after="0" w:line="255" w:lineRule="auto"/>
        <w:rPr>
          <w:sz w:val="20"/>
          <w:szCs w:val="20"/>
          <w:color w:val="auto"/>
        </w:rPr>
      </w:pPr>
      <w:r>
        <w:rPr>
          <w:rFonts w:ascii="Times New Roman" w:cs="Times New Roman" w:eastAsia="Times New Roman" w:hAnsi="Times New Roman"/>
          <w:sz w:val="21"/>
          <w:szCs w:val="21"/>
          <w:color w:val="auto"/>
        </w:rPr>
        <w:t>Stock underlying a Restricted Stock Unit until the Restricted Stock Unit has vested and a share of Company Stock has been issued in settlement thereof and, if applicable, the Participant has satisfied any other conditions imposed by the Committee.</w:t>
      </w:r>
    </w:p>
    <w:p>
      <w:pPr>
        <w:spacing w:after="0" w:line="131" w:lineRule="exact"/>
        <w:rPr>
          <w:sz w:val="20"/>
          <w:szCs w:val="20"/>
          <w:color w:val="auto"/>
        </w:rPr>
      </w:pPr>
    </w:p>
    <w:p>
      <w:pPr>
        <w:ind w:right="100" w:firstLine="1304"/>
        <w:spacing w:after="0" w:line="224" w:lineRule="auto"/>
        <w:tabs>
          <w:tab w:leader="none" w:pos="194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Transferability</w:t>
      </w:r>
      <w:r>
        <w:rPr>
          <w:rFonts w:ascii="Times New Roman" w:cs="Times New Roman" w:eastAsia="Times New Roman" w:hAnsi="Times New Roman"/>
          <w:sz w:val="21"/>
          <w:szCs w:val="21"/>
          <w:color w:val="auto"/>
        </w:rPr>
        <w:t>. Except as permitted by the Committee, in its sole discretion, the Restricted Stock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may not be assigned, alienated, pledged, attached, sold or otherwise transferred or encumbered by the Participant other than by will or by the laws of descent and distribution or, subject to the consent of the Committee, pursuant to a domestic relations order, unless and until the Restricted Stock Units have been settled and the shares of Company Stock underlying the Restricted Stock Units have been issued, and all restrictions applicable to such shares have lapsed, and any such purported assignment, alienation, pledge, attachment, sale, transfer or encumbrance shall be void and unenforceable against the Company;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the designation of a beneficiary shall not constitute an assignment, alienation, pledge, attachment, sale, transfer or encumbrance.</w:t>
      </w:r>
    </w:p>
    <w:p>
      <w:pPr>
        <w:spacing w:after="0" w:line="150" w:lineRule="exact"/>
        <w:rPr>
          <w:rFonts w:ascii="Times New Roman" w:cs="Times New Roman" w:eastAsia="Times New Roman" w:hAnsi="Times New Roman"/>
          <w:sz w:val="21"/>
          <w:szCs w:val="21"/>
          <w:color w:val="auto"/>
        </w:rPr>
      </w:pPr>
    </w:p>
    <w:p>
      <w:pPr>
        <w:jc w:val="both"/>
        <w:ind w:right="120" w:firstLine="1304"/>
        <w:spacing w:after="0" w:line="218"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Participant has reviewed with his or her own tax advisors the federal, state, local and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4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Non-Solicitation of Customers</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I agree that, while I am employed by the Company and for a period of two years following any termination or cessation of such employment (such period, the “</w:t>
      </w:r>
      <w:r>
        <w:rPr>
          <w:rFonts w:ascii="Times New Roman" w:cs="Times New Roman" w:eastAsia="Times New Roman" w:hAnsi="Times New Roman"/>
          <w:sz w:val="22"/>
          <w:szCs w:val="22"/>
          <w:u w:val="single" w:color="auto"/>
          <w:color w:val="auto"/>
        </w:rPr>
        <w:t>Non-Interference Period</w:t>
      </w:r>
      <w:r>
        <w:rPr>
          <w:rFonts w:ascii="Times New Roman" w:cs="Times New Roman" w:eastAsia="Times New Roman" w:hAnsi="Times New Roman"/>
          <w:sz w:val="22"/>
          <w:szCs w:val="22"/>
          <w:color w:val="auto"/>
        </w:rPr>
        <w:t>”), I shall not solicit, divert, or take away, or attempt to divert or take away, the business or patronage of any of the referral sources, clients, customers, or accounts of the Company for the purpose of selling or providing any products or services competitive with the Business.</w:t>
      </w:r>
    </w:p>
    <w:p>
      <w:pPr>
        <w:spacing w:after="0" w:line="148" w:lineRule="exact"/>
        <w:rPr>
          <w:sz w:val="20"/>
          <w:szCs w:val="20"/>
          <w:color w:val="auto"/>
        </w:rPr>
      </w:pPr>
    </w:p>
    <w:p>
      <w:pPr>
        <w:ind w:right="20" w:firstLine="1304"/>
        <w:spacing w:after="0" w:line="232" w:lineRule="auto"/>
        <w:tabs>
          <w:tab w:leader="none" w:pos="194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w:t>
      </w:r>
      <w:r>
        <w:rPr>
          <w:rFonts w:ascii="Times New Roman" w:cs="Times New Roman" w:eastAsia="Times New Roman" w:hAnsi="Times New Roman"/>
          <w:sz w:val="21"/>
          <w:szCs w:val="21"/>
          <w:color w:val="auto"/>
        </w:rPr>
        <w:t>. The terms and provisions of the Plan are incorporated herein by reference,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Participant hereby acknowledges receiving a copy of the Plan and represents that the Participant is familiar with the terms and provisions thereof. The Participant accepts this Award subject to all of the terms and conditions of the Plan. In the event of a conflict or inconsistency between the terms of the Plan and the terms of this Agreement, the Plan shall govern and control.</w:t>
      </w:r>
    </w:p>
    <w:p>
      <w:pPr>
        <w:spacing w:after="0" w:line="146" w:lineRule="exact"/>
        <w:rPr>
          <w:rFonts w:ascii="Times New Roman" w:cs="Times New Roman" w:eastAsia="Times New Roman" w:hAnsi="Times New Roman"/>
          <w:sz w:val="21"/>
          <w:szCs w:val="21"/>
          <w:color w:val="auto"/>
        </w:rPr>
      </w:pPr>
    </w:p>
    <w:p>
      <w:pPr>
        <w:ind w:right="80" w:firstLine="1304"/>
        <w:spacing w:after="0" w:line="216"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color w:val="auto"/>
        </w:rPr>
        <w:t>. The issuance of the RSUs (and the Shares upon settlement of the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or regulation applicable thereto. The Company shall not be obligated to issue the RSUs or any of the Shares pursuant to this Agreement if any such issuance would violate any such requirements.</w:t>
      </w:r>
    </w:p>
    <w:p>
      <w:pPr>
        <w:spacing w:after="0" w:line="145" w:lineRule="exact"/>
        <w:rPr>
          <w:rFonts w:ascii="Times New Roman" w:cs="Times New Roman" w:eastAsia="Times New Roman" w:hAnsi="Times New Roman"/>
          <w:sz w:val="22"/>
          <w:szCs w:val="22"/>
          <w:color w:val="auto"/>
        </w:rPr>
      </w:pPr>
    </w:p>
    <w:p>
      <w:pPr>
        <w:ind w:right="500" w:firstLine="1304"/>
        <w:spacing w:after="0" w:line="238"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Captions</w:t>
      </w:r>
      <w:r>
        <w:rPr>
          <w:rFonts w:ascii="Times New Roman" w:cs="Times New Roman" w:eastAsia="Times New Roman" w:hAnsi="Times New Roman"/>
          <w:sz w:val="22"/>
          <w:szCs w:val="22"/>
          <w:color w:val="auto"/>
        </w:rPr>
        <w:t>. The captions in this Agreement are for convenience of reference only and shall not limit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affect the meaning of terms contained herein.</w:t>
      </w:r>
    </w:p>
    <w:p>
      <w:pPr>
        <w:spacing w:after="0" w:line="146" w:lineRule="exact"/>
        <w:rPr>
          <w:rFonts w:ascii="Times New Roman" w:cs="Times New Roman" w:eastAsia="Times New Roman" w:hAnsi="Times New Roman"/>
          <w:sz w:val="22"/>
          <w:szCs w:val="22"/>
          <w:color w:val="auto"/>
        </w:rPr>
      </w:pPr>
    </w:p>
    <w:p>
      <w:pPr>
        <w:ind w:right="100" w:firstLine="1304"/>
        <w:spacing w:after="0" w:line="221" w:lineRule="auto"/>
        <w:tabs>
          <w:tab w:leader="none" w:pos="19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together with the Plan, as either of the foregoing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supplemented in accordance with their terms, constitutes the entire agreement and understanding of the parties hereto with respect to the subject matter contained herein and therein, and supersedes all prior communications, representations and negotiations in respect thereto.</w:t>
      </w:r>
    </w:p>
    <w:p>
      <w:pPr>
        <w:sectPr>
          <w:pgSz w:w="11900" w:h="16838" w:orient="portrait"/>
          <w:cols w:equalWidth="0" w:num="1">
            <w:col w:w="11240"/>
          </w:cols>
          <w:pgMar w:left="320" w:top="1395" w:right="339" w:bottom="1440" w:gutter="0" w:footer="0" w:header="0"/>
        </w:sectPr>
      </w:pPr>
    </w:p>
    <w:bookmarkStart w:id="40" w:name="page41"/>
    <w:bookmarkEnd w:id="40"/>
    <w:p>
      <w:pPr>
        <w:ind w:left="-1120" w:right="20" w:firstLine="1304"/>
        <w:spacing w:after="0" w:line="221" w:lineRule="auto"/>
        <w:tabs>
          <w:tab w:leader="none" w:pos="8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terms of this Agreement shall inure to the benefit of and be binding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and their respective heirs, successors and permitted assigns. The Participant may not assign any of the rights or obligations under this Agreement without the prior written consent of the Company. The Company may assign its rights and obligations to another entity which will succeed to all or substantially all of the assets and business of the Company.</w:t>
      </w:r>
    </w:p>
    <w:p>
      <w:pPr>
        <w:spacing w:after="0" w:line="148" w:lineRule="exact"/>
        <w:rPr>
          <w:rFonts w:ascii="Times New Roman" w:cs="Times New Roman" w:eastAsia="Times New Roman" w:hAnsi="Times New Roman"/>
          <w:sz w:val="22"/>
          <w:szCs w:val="22"/>
          <w:color w:val="auto"/>
        </w:rPr>
      </w:pPr>
    </w:p>
    <w:p>
      <w:pPr>
        <w:ind w:left="-1120" w:firstLine="1304"/>
        <w:spacing w:after="0" w:line="218" w:lineRule="auto"/>
        <w:tabs>
          <w:tab w:leader="none" w:pos="8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and Waivers</w:t>
      </w:r>
      <w:r>
        <w:rPr>
          <w:rFonts w:ascii="Times New Roman" w:cs="Times New Roman" w:eastAsia="Times New Roman" w:hAnsi="Times New Roman"/>
          <w:sz w:val="22"/>
          <w:szCs w:val="22"/>
          <w:color w:val="auto"/>
        </w:rPr>
        <w:t>. The Board may, at any time, suspend or terminate this Agreement or revise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it in any respect whatsoever provided however, that no amendment, suspension or termination will materially and adversely affect the rights of any Participant under this Award Agreement or the Plan without the consent of the Participant. Waivers or consents to departures from the provisions hereof may not be given if they materially and adversely affect the rights of any Participant under this Award Agreement or the Plan without the consent of the Participant.</w:t>
      </w:r>
    </w:p>
    <w:p>
      <w:pPr>
        <w:spacing w:after="0" w:line="147" w:lineRule="exact"/>
        <w:rPr>
          <w:rFonts w:ascii="Times New Roman" w:cs="Times New Roman" w:eastAsia="Times New Roman" w:hAnsi="Times New Roman"/>
          <w:sz w:val="22"/>
          <w:szCs w:val="22"/>
          <w:color w:val="auto"/>
        </w:rPr>
      </w:pPr>
    </w:p>
    <w:p>
      <w:pPr>
        <w:ind w:left="-1120" w:right="120" w:firstLine="1304"/>
        <w:spacing w:after="0" w:line="227" w:lineRule="auto"/>
        <w:tabs>
          <w:tab w:leader="none" w:pos="8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any provision of this Agreement shall be held illegal or invalid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such illegality or invalidity shall not affect the remaining parts of this Agreement, and this Agreement shall be construed and enforced as if the illegal or invalid provision had not been included.</w:t>
      </w:r>
    </w:p>
    <w:p>
      <w:pPr>
        <w:spacing w:after="0" w:line="146" w:lineRule="exact"/>
        <w:rPr>
          <w:rFonts w:ascii="Times New Roman" w:cs="Times New Roman" w:eastAsia="Times New Roman" w:hAnsi="Times New Roman"/>
          <w:sz w:val="22"/>
          <w:szCs w:val="22"/>
          <w:color w:val="auto"/>
        </w:rPr>
      </w:pPr>
    </w:p>
    <w:p>
      <w:pPr>
        <w:ind w:left="-1120" w:right="380" w:firstLine="1304"/>
        <w:spacing w:after="0" w:line="238" w:lineRule="auto"/>
        <w:tabs>
          <w:tab w:leader="none" w:pos="8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signed in counterparts, each which shall constitute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same effect as if the signatures thereto and hereto were upon the same instrument.</w:t>
      </w:r>
    </w:p>
    <w:p>
      <w:pPr>
        <w:spacing w:after="0" w:line="146" w:lineRule="exact"/>
        <w:rPr>
          <w:rFonts w:ascii="Times New Roman" w:cs="Times New Roman" w:eastAsia="Times New Roman" w:hAnsi="Times New Roman"/>
          <w:sz w:val="22"/>
          <w:szCs w:val="22"/>
          <w:color w:val="auto"/>
        </w:rPr>
      </w:pPr>
    </w:p>
    <w:p>
      <w:pPr>
        <w:ind w:left="-1120" w:right="40" w:firstLine="1304"/>
        <w:spacing w:after="0" w:line="224" w:lineRule="auto"/>
        <w:tabs>
          <w:tab w:leader="none" w:pos="82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required to be given or delivered to the Company under the terms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in writing and addressed to the General Counsel and the Secretary of the Company at its principal corporate offices. Any notice required to be given or delivered to the Participant shall be in writing and addressed to the Participant at the address listed in the Company’s personnel files or to such other address as the Participant may designate in writing from time to time to the Company. All notices shall be deemed to have been given or delivered upon: personal delivery, three (3) days after deposit in the United States mail by certified or registered mail (return receipt requested), one business day after deposit with any return receipt express courier (prepaid), or one business day after transmission by facsimile.</w:t>
      </w:r>
    </w:p>
    <w:p>
      <w:pPr>
        <w:spacing w:after="0" w:line="150" w:lineRule="exact"/>
        <w:rPr>
          <w:rFonts w:ascii="Times New Roman" w:cs="Times New Roman" w:eastAsia="Times New Roman" w:hAnsi="Times New Roman"/>
          <w:sz w:val="21"/>
          <w:szCs w:val="21"/>
          <w:color w:val="auto"/>
        </w:rPr>
      </w:pPr>
    </w:p>
    <w:p>
      <w:pPr>
        <w:ind w:left="-1120" w:right="20" w:firstLine="1304"/>
        <w:spacing w:after="0" w:line="259" w:lineRule="auto"/>
        <w:tabs>
          <w:tab w:leader="none" w:pos="82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Except to the extent preempted by any applicable federal law, the Plan shall be construed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administered in accordance with the laws of the State of Delaware without reference to its principles of conflicts of law.</w:t>
      </w:r>
    </w:p>
    <w:p>
      <w:pPr>
        <w:spacing w:after="0" w:line="126" w:lineRule="exact"/>
        <w:rPr>
          <w:rFonts w:ascii="Times New Roman" w:cs="Times New Roman" w:eastAsia="Times New Roman" w:hAnsi="Times New Roman"/>
          <w:sz w:val="21"/>
          <w:szCs w:val="21"/>
          <w:color w:val="auto"/>
        </w:rPr>
      </w:pPr>
    </w:p>
    <w:p>
      <w:pPr>
        <w:ind w:left="-1120" w:firstLine="1304"/>
        <w:spacing w:after="0" w:line="213" w:lineRule="auto"/>
        <w:tabs>
          <w:tab w:leader="none" w:pos="8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to Jurisdiction</w:t>
      </w:r>
      <w:r>
        <w:rPr>
          <w:rFonts w:ascii="Times New Roman" w:cs="Times New Roman" w:eastAsia="Times New Roman" w:hAnsi="Times New Roman"/>
          <w:sz w:val="22"/>
          <w:szCs w:val="22"/>
          <w:color w:val="auto"/>
        </w:rPr>
        <w:t>. Each of the parties hereto hereby irrevocably and unconditionally agrees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suit or proceeding, at law or equity, arising out of or relating to the Plan, this Agreement or any agreements or transactions contemplated hereby shall only be brought in any federal court of the Northern District of Georgia or any state court located in Fulton County, State of Georgia, and hereby irrevocably and unconditionally expressly submits to the personal jurisdiction and venue of such courts for the purposes thereof and hereby irrevocably and unconditionally waives (by way of motion, as a defense or otherwise) any and all jurisdictional, venue and convenience objections or defenses that such party may have in such action, suit or proceeding. Each party hereby irrevocably and unconditionally consents to the service of process of any of the aforementioned courts.</w:t>
      </w:r>
    </w:p>
    <w:p>
      <w:pPr>
        <w:spacing w:after="0" w:line="147" w:lineRule="exact"/>
        <w:rPr>
          <w:rFonts w:ascii="Times New Roman" w:cs="Times New Roman" w:eastAsia="Times New Roman" w:hAnsi="Times New Roman"/>
          <w:sz w:val="22"/>
          <w:szCs w:val="22"/>
          <w:color w:val="auto"/>
        </w:rPr>
      </w:pPr>
    </w:p>
    <w:p>
      <w:pPr>
        <w:ind w:left="-1120" w:firstLine="1304"/>
        <w:spacing w:after="0" w:line="216" w:lineRule="auto"/>
        <w:tabs>
          <w:tab w:leader="none" w:pos="8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THE PARTIES HERETO HEREBY WAIVE, TO THE EXTENT PERMITTED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TRIAL BY JURY IN ANY LITIGATION IN ANY COURT WITH RESPECT TO, IN CONNECTION WITH, OR ARISING OUT OF THIS AGREEMENT OR THE VALIDITY, INTERPRETATION OR ENFORCEMENT HEREOF. THE PARTIES HERETO AGREE THAT THIS SECTION IS A SPECIFIC AND MATERIAL ASPECT OF THIS AGREEMENT AND WOULD NOT ENTER INTO THIS AGREEMENT IF THIS SECTION WERE NOT PART OF THIS AGREEMENT.</w:t>
      </w:r>
    </w:p>
    <w:p>
      <w:pPr>
        <w:sectPr>
          <w:pgSz w:w="11900" w:h="16838" w:orient="portrait"/>
          <w:cols w:equalWidth="0" w:num="1">
            <w:col w:w="10100"/>
          </w:cols>
          <w:pgMar w:left="1440" w:top="1391" w:right="359" w:bottom="1440" w:gutter="0" w:footer="0" w:header="0"/>
        </w:sectPr>
      </w:pPr>
    </w:p>
    <w:bookmarkStart w:id="41" w:name="page42"/>
    <w:bookmarkEnd w:id="41"/>
    <w:p>
      <w:pPr>
        <w:jc w:val="both"/>
        <w:ind w:left="-60" w:right="200" w:firstLine="1304"/>
        <w:spacing w:after="0" w:line="221" w:lineRule="auto"/>
        <w:tabs>
          <w:tab w:leader="none" w:pos="18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Employment Rights</w:t>
      </w:r>
      <w:r>
        <w:rPr>
          <w:rFonts w:ascii="Times New Roman" w:cs="Times New Roman" w:eastAsia="Times New Roman" w:hAnsi="Times New Roman"/>
          <w:sz w:val="22"/>
          <w:szCs w:val="22"/>
          <w:color w:val="auto"/>
        </w:rPr>
        <w:t>. The Participant understands and agrees that this Agreement does not impact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way the right of the Company or its Affiliates to terminate or change the terms of the employment of the Participant at any time for any reason whatsoever, with or without cause, nor confer upon any right to continue in the employ of the Company or any of its Affiliates.</w:t>
      </w:r>
    </w:p>
    <w:p>
      <w:pPr>
        <w:spacing w:after="0" w:line="148" w:lineRule="exact"/>
        <w:rPr>
          <w:rFonts w:ascii="Times New Roman" w:cs="Times New Roman" w:eastAsia="Times New Roman" w:hAnsi="Times New Roman"/>
          <w:sz w:val="22"/>
          <w:szCs w:val="22"/>
          <w:color w:val="auto"/>
        </w:rPr>
      </w:pPr>
    </w:p>
    <w:p>
      <w:pPr>
        <w:ind w:left="-60" w:right="260" w:firstLine="1304"/>
        <w:spacing w:after="0" w:line="216" w:lineRule="auto"/>
        <w:tabs>
          <w:tab w:leader="none" w:pos="18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the Participant is subject to Section 16 of the Exchange Act, the Plan, the Restricted Stock Units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5" w:lineRule="exact"/>
        <w:rPr>
          <w:rFonts w:ascii="Times New Roman" w:cs="Times New Roman" w:eastAsia="Times New Roman" w:hAnsi="Times New Roman"/>
          <w:sz w:val="22"/>
          <w:szCs w:val="22"/>
          <w:color w:val="auto"/>
        </w:rPr>
      </w:pPr>
    </w:p>
    <w:p>
      <w:pPr>
        <w:ind w:left="-60" w:firstLine="1304"/>
        <w:spacing w:after="0" w:line="221" w:lineRule="auto"/>
        <w:tabs>
          <w:tab w:leader="none" w:pos="18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The Restricted Stock Units are subject to the terms of the Company’s recoupment, clawback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5"/>
          <w:szCs w:val="25"/>
          <w:b w:val="1"/>
          <w:bCs w:val="1"/>
          <w:i w:val="1"/>
          <w:iCs w:val="1"/>
          <w:color w:val="auto"/>
        </w:rPr>
        <w:t>]</w:t>
      </w:r>
    </w:p>
    <w:p>
      <w:pPr>
        <w:sectPr>
          <w:pgSz w:w="11900" w:h="16838" w:orient="portrait"/>
          <w:cols w:equalWidth="0" w:num="1">
            <w:col w:w="11140"/>
          </w:cols>
          <w:pgMar w:left="380" w:top="1391" w:right="379" w:bottom="1440" w:gutter="0" w:footer="0" w:header="0"/>
        </w:sectPr>
      </w:pPr>
    </w:p>
    <w:bookmarkStart w:id="42" w:name="page43"/>
    <w:bookmarkEnd w:id="42"/>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first date set forth above.</w:t>
      </w:r>
    </w:p>
    <w:p>
      <w:pPr>
        <w:sectPr>
          <w:pgSz w:w="11900" w:h="16838" w:orient="portrait"/>
          <w:cols w:equalWidth="0" w:num="1">
            <w:col w:w="9900"/>
          </w:cols>
          <w:pgMar w:left="1440" w:top="139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b w:val="1"/>
          <w:bCs w:val="1"/>
          <w:color w:val="auto"/>
        </w:rPr>
        <w:t>PRIORITY TECHNOLOGY HOLDINGS, INC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-5715</wp:posOffset>
            </wp:positionV>
            <wp:extent cx="274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36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-151130</wp:posOffset>
            </wp:positionV>
            <wp:extent cx="274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9900"/>
          </w:cols>
          <w:pgMar w:left="1440" w:top="1391" w:right="559"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 to Restricted Stock Unit Award Agreement</w:t>
      </w:r>
    </w:p>
    <w:p>
      <w:pPr>
        <w:spacing w:after="0" w:line="17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Vesting Schedule For 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57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Vesting Schedule*</w:t>
            </w:r>
          </w:p>
        </w:tc>
      </w:tr>
    </w:tbl>
    <w:p>
      <w:pPr>
        <w:spacing w:after="0" w:line="200" w:lineRule="exact"/>
        <w:rPr>
          <w:sz w:val="20"/>
          <w:szCs w:val="20"/>
          <w:color w:val="auto"/>
        </w:rPr>
      </w:pPr>
    </w:p>
    <w:p>
      <w:pPr>
        <w:spacing w:after="0" w:line="31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*Participant must be employed by the Company on each Vesting Date to be eligible to receive the Restricted Stock Units for each applicable Grant Date.</w:t>
      </w:r>
    </w:p>
    <w:p>
      <w:pPr>
        <w:sectPr>
          <w:pgSz w:w="11900" w:h="16838" w:orient="portrait"/>
          <w:cols w:equalWidth="0" w:num="1">
            <w:col w:w="11240"/>
          </w:cols>
          <w:pgMar w:left="320" w:top="139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1020"/>
        <w:spacing w:after="0"/>
        <w:tabs>
          <w:tab w:leader="none" w:pos="6420" w:val="left"/>
        </w:tabs>
        <w:rPr>
          <w:sz w:val="20"/>
          <w:szCs w:val="20"/>
          <w:color w:val="auto"/>
        </w:rPr>
      </w:pPr>
      <w:r>
        <w:rPr>
          <w:rFonts w:ascii="Times New Roman" w:cs="Times New Roman" w:eastAsia="Times New Roman" w:hAnsi="Times New Roman"/>
          <w:sz w:val="18"/>
          <w:szCs w:val="18"/>
          <w:color w:val="auto"/>
        </w:rPr>
        <w:t>May 11, 2022</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36944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Vollkommer, certify that:</w:t>
      </w:r>
    </w:p>
    <w:p>
      <w:pPr>
        <w:spacing w:after="0" w:line="25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120"/>
        <w:spacing w:after="0"/>
        <w:tabs>
          <w:tab w:leader="none" w:pos="7440" w:val="left"/>
        </w:tabs>
        <w:rPr>
          <w:sz w:val="20"/>
          <w:szCs w:val="20"/>
          <w:color w:val="auto"/>
        </w:rPr>
      </w:pPr>
      <w:r>
        <w:rPr>
          <w:rFonts w:ascii="Times New Roman" w:cs="Times New Roman" w:eastAsia="Times New Roman" w:hAnsi="Times New Roman"/>
          <w:sz w:val="18"/>
          <w:szCs w:val="18"/>
          <w:color w:val="auto"/>
        </w:rPr>
        <w:t>May 11, 2022</w:t>
      </w:r>
      <w:r>
        <w:rPr>
          <w:sz w:val="20"/>
          <w:szCs w:val="20"/>
          <w:color w:val="auto"/>
        </w:rPr>
        <w:tab/>
      </w:r>
      <w:r>
        <w:rPr>
          <w:rFonts w:ascii="Times New Roman" w:cs="Times New Roman" w:eastAsia="Times New Roman" w:hAnsi="Times New Roman"/>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600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T. Vollkommer</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Priority Technology Holdings, Inc. (the "Company") for the quarter ended March 31, 2022 as filed with the Securities and Exchange Commission (the "Report"), each of the undersigned, on the dates indicated below, hereby certifies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May 11, 2022</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May 11, 2022</w:t>
      </w:r>
      <w:r>
        <w:rPr>
          <w:sz w:val="20"/>
          <w:szCs w:val="20"/>
          <w:color w:val="auto"/>
        </w:rPr>
        <w:tab/>
      </w:r>
      <w:r>
        <w:rPr>
          <w:rFonts w:ascii="Times New Roman" w:cs="Times New Roman" w:eastAsia="Times New Roman" w:hAnsi="Times New Roman"/>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Michael T. Vollkommer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7"/>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lvl w:ilvl="1">
      <w:lvlJc w:val="left"/>
      <w:lvlText w:val="(%2)"/>
      <w:numFmt w:val="lowerLetter"/>
      <w:start w:val="1"/>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8"/>
    </w:lvl>
  </w:abstractNum>
  <w:abstractNum w:abstractNumId="24">
    <w:nsid w:val="54E49EB4"/>
    <w:multiLevelType w:val="hybridMultilevel"/>
    <w:lvl w:ilvl="0">
      <w:lvlJc w:val="left"/>
      <w:lvlText w:val="%1."/>
      <w:numFmt w:val="decimal"/>
      <w:start w:val="12"/>
    </w:lvl>
  </w:abstractNum>
  <w:abstractNum w:abstractNumId="25">
    <w:nsid w:val="71F32454"/>
    <w:multiLevelType w:val="hybridMultilevel"/>
    <w:lvl w:ilvl="0">
      <w:lvlJc w:val="left"/>
      <w:lvlText w:val="%1."/>
      <w:numFmt w:val="decimal"/>
      <w:start w:val="20"/>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70"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46" Type="http://schemas.openxmlformats.org/officeDocument/2006/relationships/hyperlink" Target="https://www.sec.gov/Archives/edgar/data/1653558/000161577418006226/s111183_defm14a.htm" TargetMode="External"/><Relationship Id="rId47" Type="http://schemas.openxmlformats.org/officeDocument/2006/relationships/hyperlink" Target="https://www.sec.gov/Archives/edgar/data/1653558/000165355821000031/projectwarriorfinxera-merg.htm" TargetMode="External"/><Relationship Id="rId48" Type="http://schemas.openxmlformats.org/officeDocument/2006/relationships/hyperlink" Target="https://www.sec.gov/Archives/edgar/data/1653558/000165355821000060/annex1certificateofamendme.htm" TargetMode="External"/><Relationship Id="rId49" Type="http://schemas.openxmlformats.org/officeDocument/2006/relationships/hyperlink" Target="https://www.sec.gov/Archives/edgar/data/0001653558/000165355821000031/projectwarriorfinxera-merg.htm" TargetMode="External"/><Relationship Id="rId50" Type="http://schemas.openxmlformats.org/officeDocument/2006/relationships/hyperlink" Target="http://www.sec.gov/Archives/edgar/data/1653558/000161577418007231/s111606_ex3-1.htm" TargetMode="External"/><Relationship Id="rId51" Type="http://schemas.openxmlformats.org/officeDocument/2006/relationships/hyperlink" Target="http://www.sec.gov/Archives/edgar/data/1653558/000161577418007231/s111606_ex3-2.htm" TargetMode="External"/><Relationship Id="rId52" Type="http://schemas.openxmlformats.org/officeDocument/2006/relationships/hyperlink" Target="https://www.sec.gov/Archives/edgar/data/0001653558/000165355821000065/exhibit31-priorityxcertifi.htm" TargetMode="External"/><Relationship Id="rId53" Type="http://schemas.openxmlformats.org/officeDocument/2006/relationships/hyperlink" Target="http://www.sec.gov/Archives/edgar/data/1653558/000161577416007233/s104127_ex4-1.htm" TargetMode="External"/><Relationship Id="rId54" Type="http://schemas.openxmlformats.org/officeDocument/2006/relationships/hyperlink" Target="http://www.sec.gov/Archives/edgar/data/1653558/000161577418007231/s111606_ex10-1.htm" TargetMode="External"/><Relationship Id="rId55" Type="http://schemas.openxmlformats.org/officeDocument/2006/relationships/hyperlink" Target="http://www.sec.gov/Archives/edgar/data/1653558/000161577418007231/s111606_ex10-2.htm" TargetMode="External"/><Relationship Id="rId56" Type="http://schemas.openxmlformats.org/officeDocument/2006/relationships/hyperlink" Target="https://www.sec.gov/Archives/edgar/data/0001653558/000165355821000101/ex1021prioritytechnologyq2.htm" TargetMode="External"/><Relationship Id="rId57" Type="http://schemas.openxmlformats.org/officeDocument/2006/relationships/hyperlink" Target="https://www.sec.gov/Archives/edgar/data/1653558/000165355822000028/prioritytechnology-ex1031x.htm" TargetMode="External"/><Relationship Id="rId58" Type="http://schemas.openxmlformats.org/officeDocument/2006/relationships/hyperlink" Target="https://www.sec.gov/Archives/edgar/data/0001653558/000165355821000065/exhibit103-prioritypayment.htm" TargetMode="External"/><Relationship Id="rId59" Type="http://schemas.openxmlformats.org/officeDocument/2006/relationships/hyperlink" Target="http://www.sec.gov/Archives/edgar/data/1653558/000161577418014981/s114881_ex10-6.htm" TargetMode="External"/><Relationship Id="rId60" Type="http://schemas.openxmlformats.org/officeDocument/2006/relationships/hyperlink" Target="http://www.sec.gov/Archives/edgar/data/1653558/000161577418014981/s114881_ex10-7.htm" TargetMode="External"/><Relationship Id="rId61" Type="http://schemas.openxmlformats.org/officeDocument/2006/relationships/hyperlink" Target="http://www.sec.gov/Archives/edgar/data/1653558/000161577418014966/s114910_ex10-1.htm" TargetMode="External"/><Relationship Id="rId62" Type="http://schemas.openxmlformats.org/officeDocument/2006/relationships/hyperlink" Target="http://www.sec.gov/Archives/edgar/data/1653558/000162828019003666/prioritytechnology-ex1013.htm" TargetMode="External"/><Relationship Id="rId63" Type="http://schemas.openxmlformats.org/officeDocument/2006/relationships/hyperlink" Target="http://www.sec.gov/Archives/edgar/data/1653558/000162828019003666/prioritytechnology-ex1019.htm" TargetMode="External"/><Relationship Id="rId64" Type="http://schemas.openxmlformats.org/officeDocument/2006/relationships/hyperlink" Target="https://www.sec.gov/Archives/edgar/data/1653558/000165355820000148/assetpurchaseagreement.htm" TargetMode="External"/><Relationship Id="rId65" Type="http://schemas.openxmlformats.org/officeDocument/2006/relationships/hyperlink" Target="https://www.sec.gov/Archives/edgar/data/0001653558/000165355821000031/exhibith-supportagreemente.htm" TargetMode="External"/><Relationship Id="rId66" Type="http://schemas.openxmlformats.org/officeDocument/2006/relationships/hyperlink" Target="https://www.sec.gov/Archives/edgar/data/0001653558/000165355821000031/priorityprojectwarrior-tru.htm" TargetMode="External"/><Relationship Id="rId67" Type="http://schemas.openxmlformats.org/officeDocument/2006/relationships/hyperlink" Target="https://www.sec.gov/Archives/edgar/data/0001653558/000165355821000031/priority-arespreferredcomm.htm" TargetMode="External"/><Relationship Id="rId68" Type="http://schemas.openxmlformats.org/officeDocument/2006/relationships/hyperlink" Target="https://www.sec.gov/Archives/edgar/data/0001653558/000165355821000065/exhibit101-priorityxpurcha.htm" TargetMode="External"/><Relationship Id="rId69" Type="http://schemas.openxmlformats.org/officeDocument/2006/relationships/hyperlink" Target="https://www.sec.gov/Archives/edgar/data/0001653558/000165355821000065/exhibit102-priorityxregist.htm" TargetMode="External"/><Relationship Id="rId71" Type="http://schemas.openxmlformats.org/officeDocument/2006/relationships/hyperlink" Target="https://www.sec.gov/Archives/edgar/data/0001653558/000165355821000114/prioritypayments-secondame.htm" TargetMode="External"/><Relationship Id="rId72" Type="http://schemas.openxmlformats.org/officeDocument/2006/relationships/hyperlink" Target="https://www.sec.gov/Archives/edgar/data/1653558/000165355822000028/prioritytechnology-ex211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2022-05-11T07:24:29Z</dcterms:created>
  <dcterms:modified xsi:type="dcterms:W3CDTF">2022-05-11T07:24:29Z</dcterms:modified>
</cp:coreProperties>
</file>