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480" w:right="2840" w:hanging="1650"/>
        <w:spacing w:after="0" w:line="320" w:lineRule="auto"/>
        <w:tabs>
          <w:tab w:leader="none" w:pos="297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September 30, 2024</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116205</wp:posOffset>
            </wp:positionV>
            <wp:extent cx="1697355" cy="537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rPr>
              <w:t>Nasdaq Global Market</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w:t>
      </w:r>
    </w:p>
    <w:p>
      <w:pPr>
        <w:spacing w:after="0" w:line="122" w:lineRule="exact"/>
        <w:rPr>
          <w:sz w:val="24"/>
          <w:szCs w:val="24"/>
          <w:color w:val="auto"/>
        </w:rPr>
      </w:pPr>
    </w:p>
    <w:p>
      <w:pPr>
        <w:spacing w:after="0" w:line="138" w:lineRule="exact"/>
        <w:tabs>
          <w:tab w:leader="none" w:pos="8660" w:val="left"/>
          <w:tab w:leader="none" w:pos="9160" w:val="left"/>
        </w:tabs>
        <w:rPr>
          <w:sz w:val="20"/>
          <w:szCs w:val="20"/>
          <w:color w:val="auto"/>
        </w:rPr>
      </w:pPr>
      <w:r>
        <w:rPr>
          <w:rFonts w:ascii="Times New Roman" w:cs="Times New Roman" w:eastAsia="Times New Roman" w:hAnsi="Times New Roman"/>
          <w:sz w:val="12"/>
          <w:szCs w:val="12"/>
          <w:color w:val="auto"/>
        </w:rPr>
        <w:t>pursuant to Rule 405 of Regulation S-T (§232.405 of this chapter) during the preceding 12 months (or for such shorter period that the registrant was required to submit such files).</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66"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November 1, 2024, the number of the registrant's Common Stock outstanding was 77,165,973.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1480" w:type="dxa"/>
            <w:vAlign w:val="bottom"/>
            <w:tcBorders>
              <w:bottom w:val="single" w:sz="8" w:color="0000FF"/>
            </w:tcBorders>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2"/>
              </w:rPr>
              <w:t>Commonly Used or Defined Terms</w:t>
            </w:r>
          </w:p>
        </w:tc>
        <w:tc>
          <w:tcPr>
            <w:tcW w:w="9380" w:type="dxa"/>
            <w:vAlign w:val="bottom"/>
            <w:gridSpan w:val="13"/>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124"/>
        </w:trPr>
        <w:tc>
          <w:tcPr>
            <w:tcW w:w="1740" w:type="dxa"/>
            <w:vAlign w:val="bottom"/>
            <w:tcBorders>
              <w:bottom w:val="single" w:sz="8" w:color="0000FF"/>
            </w:tcBorders>
            <w:gridSpan w:val="15"/>
          </w:tcPr>
          <w:p>
            <w:pPr>
              <w:spacing w:after="0" w:line="124" w:lineRule="exact"/>
              <w:rPr>
                <w:sz w:val="20"/>
                <w:szCs w:val="20"/>
                <w:color w:val="auto"/>
              </w:rPr>
            </w:pPr>
            <w:r>
              <w:rPr>
                <w:rFonts w:ascii="Times New Roman" w:cs="Times New Roman" w:eastAsia="Times New Roman" w:hAnsi="Times New Roman"/>
                <w:sz w:val="11"/>
                <w:szCs w:val="11"/>
                <w:color w:val="0000FF"/>
                <w:w w:val="96"/>
              </w:rPr>
              <w:t>PART I. FINANCIAL INFORMATION</w:t>
            </w:r>
          </w:p>
        </w:tc>
        <w:tc>
          <w:tcPr>
            <w:tcW w:w="9120" w:type="dxa"/>
            <w:vAlign w:val="bottom"/>
            <w:gridSpan w:val="1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1"/>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9540" w:type="dxa"/>
            <w:vAlign w:val="bottom"/>
            <w:gridSpan w:val="1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680" w:type="dxa"/>
            <w:vAlign w:val="bottom"/>
            <w:tcBorders>
              <w:bottom w:val="single" w:sz="8" w:color="0000FF"/>
            </w:tcBorders>
            <w:gridSpan w:val="16"/>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Balance Sheets</w:t>
            </w:r>
          </w:p>
        </w:tc>
        <w:tc>
          <w:tcPr>
            <w:tcW w:w="9040" w:type="dxa"/>
            <w:vAlign w:val="bottom"/>
            <w:gridSpan w:val="10"/>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Income (Loss)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8"/>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7"/>
          </w:tcPr>
          <w:p>
            <w:pPr>
              <w:spacing w:after="0"/>
              <w:rPr>
                <w:sz w:val="10"/>
                <w:szCs w:val="10"/>
                <w:color w:val="auto"/>
              </w:rPr>
            </w:pPr>
          </w:p>
        </w:tc>
        <w:tc>
          <w:tcPr>
            <w:tcW w:w="6400" w:type="dxa"/>
            <w:vAlign w:val="bottom"/>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6</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19"/>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8100" w:type="dxa"/>
            <w:vAlign w:val="bottom"/>
            <w:gridSpan w:val="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8</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10620" w:type="dxa"/>
            <w:vAlign w:val="bottom"/>
            <w:gridSpan w:val="25"/>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u w:val="single" w:color="auto"/>
                <w:color w:val="0000FF"/>
              </w:rPr>
              <w:t>9</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top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tcBorders>
              <w:top w:val="single" w:sz="8" w:color="0000FF"/>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20" w:type="dxa"/>
            <w:vAlign w:val="bottom"/>
            <w:tcBorders>
              <w:top w:val="single" w:sz="8" w:color="0000FF"/>
            </w:tcBorders>
            <w:gridSpan w:val="2"/>
          </w:tcPr>
          <w:p>
            <w:pPr>
              <w:spacing w:after="0"/>
              <w:rPr>
                <w:sz w:val="10"/>
                <w:szCs w:val="10"/>
                <w:color w:val="auto"/>
              </w:rPr>
            </w:pPr>
          </w:p>
        </w:tc>
        <w:tc>
          <w:tcPr>
            <w:tcW w:w="10060" w:type="dxa"/>
            <w:vAlign w:val="bottom"/>
            <w:gridSpan w:val="21"/>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2780" w:type="dxa"/>
            <w:vAlign w:val="bottom"/>
            <w:gridSpan w:val="21"/>
          </w:tcPr>
          <w:p>
            <w:pPr>
              <w:ind w:left="20"/>
              <w:spacing w:after="0" w:line="124" w:lineRule="exact"/>
              <w:rPr>
                <w:sz w:val="20"/>
                <w:szCs w:val="20"/>
                <w:color w:val="auto"/>
              </w:rPr>
            </w:pPr>
            <w:r>
              <w:rPr>
                <w:rFonts w:ascii="Times New Roman" w:cs="Times New Roman" w:eastAsia="Times New Roman" w:hAnsi="Times New Roman"/>
                <w:sz w:val="11"/>
                <w:szCs w:val="11"/>
                <w:color w:val="0000FF"/>
                <w:w w:val="94"/>
              </w:rPr>
              <w:t>Settlement Assets and Customer/Subscriber Account Obligations</w:t>
            </w: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80" w:type="dxa"/>
            <w:vAlign w:val="bottom"/>
            <w:gridSpan w:val="7"/>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Notes Receivable</w:t>
            </w:r>
          </w:p>
        </w:tc>
        <w:tc>
          <w:tcPr>
            <w:tcW w:w="2000" w:type="dxa"/>
            <w:vAlign w:val="bottom"/>
            <w:gridSpan w:val="14"/>
          </w:tcPr>
          <w:p>
            <w:pPr>
              <w:spacing w:after="0"/>
              <w:rPr>
                <w:sz w:val="10"/>
                <w:szCs w:val="10"/>
                <w:color w:val="auto"/>
              </w:rPr>
            </w:pP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10620" w:type="dxa"/>
            <w:vAlign w:val="bottom"/>
            <w:gridSpan w:val="25"/>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1620" w:type="dxa"/>
            <w:vAlign w:val="bottom"/>
            <w:gridSpan w:val="16"/>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Goodwill and Other Intangible Assets</w:t>
            </w:r>
          </w:p>
        </w:tc>
        <w:tc>
          <w:tcPr>
            <w:tcW w:w="9000" w:type="dxa"/>
            <w:vAlign w:val="bottom"/>
            <w:gridSpan w:val="9"/>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800" w:type="dxa"/>
            <w:vAlign w:val="bottom"/>
            <w:gridSpan w:val="8"/>
          </w:tcPr>
          <w:p>
            <w:pPr>
              <w:ind w:left="20"/>
              <w:spacing w:after="0" w:line="124" w:lineRule="exact"/>
              <w:rPr>
                <w:sz w:val="20"/>
                <w:szCs w:val="20"/>
                <w:color w:val="auto"/>
              </w:rPr>
            </w:pPr>
            <w:r>
              <w:rPr>
                <w:rFonts w:ascii="Times New Roman" w:cs="Times New Roman" w:eastAsia="Times New Roman" w:hAnsi="Times New Roman"/>
                <w:sz w:val="11"/>
                <w:szCs w:val="11"/>
                <w:color w:val="0000FF"/>
              </w:rPr>
              <w:t>Debt Obligations</w:t>
            </w:r>
          </w:p>
        </w:tc>
        <w:tc>
          <w:tcPr>
            <w:tcW w:w="820" w:type="dxa"/>
            <w:vAlign w:val="bottom"/>
            <w:gridSpan w:val="8"/>
          </w:tcPr>
          <w:p>
            <w:pPr>
              <w:spacing w:after="0"/>
              <w:rPr>
                <w:sz w:val="10"/>
                <w:szCs w:val="10"/>
                <w:color w:val="auto"/>
              </w:rPr>
            </w:pPr>
          </w:p>
        </w:tc>
        <w:tc>
          <w:tcPr>
            <w:tcW w:w="9000" w:type="dxa"/>
            <w:vAlign w:val="bottom"/>
            <w:gridSpan w:val="9"/>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17</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2160" w:type="dxa"/>
            <w:vAlign w:val="bottom"/>
            <w:gridSpan w:val="18"/>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Redeemable Senior Preferred Stock and Warrants</w:t>
            </w:r>
          </w:p>
        </w:tc>
        <w:tc>
          <w:tcPr>
            <w:tcW w:w="8460" w:type="dxa"/>
            <w:vAlign w:val="bottom"/>
            <w:gridSpan w:val="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780" w:type="dxa"/>
            <w:vAlign w:val="bottom"/>
            <w:gridSpan w:val="6"/>
          </w:tcPr>
          <w:p>
            <w:pPr>
              <w:spacing w:after="0" w:line="124" w:lineRule="exact"/>
              <w:rPr>
                <w:sz w:val="20"/>
                <w:szCs w:val="20"/>
                <w:color w:val="auto"/>
              </w:rPr>
            </w:pPr>
            <w:r>
              <w:rPr>
                <w:rFonts w:ascii="Times New Roman" w:cs="Times New Roman" w:eastAsia="Times New Roman" w:hAnsi="Times New Roman"/>
                <w:sz w:val="11"/>
                <w:szCs w:val="11"/>
                <w:color w:val="0000FF"/>
                <w:w w:val="96"/>
              </w:rPr>
              <w:t>10. Income Taxes</w:t>
            </w:r>
          </w:p>
        </w:tc>
        <w:tc>
          <w:tcPr>
            <w:tcW w:w="1480" w:type="dxa"/>
            <w:vAlign w:val="bottom"/>
            <w:gridSpan w:val="13"/>
          </w:tcPr>
          <w:p>
            <w:pPr>
              <w:spacing w:after="0"/>
              <w:rPr>
                <w:sz w:val="10"/>
                <w:szCs w:val="10"/>
                <w:color w:val="auto"/>
              </w:rPr>
            </w:pPr>
          </w:p>
        </w:tc>
        <w:tc>
          <w:tcPr>
            <w:tcW w:w="8460" w:type="dxa"/>
            <w:vAlign w:val="bottom"/>
            <w:gridSpan w:val="7"/>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3"/>
              </w:rPr>
              <w:t>11. Stockholders' Deficit</w:t>
            </w:r>
          </w:p>
        </w:tc>
        <w:tc>
          <w:tcPr>
            <w:tcW w:w="9660" w:type="dxa"/>
            <w:vAlign w:val="bottom"/>
            <w:gridSpan w:val="1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5"/>
              </w:rPr>
              <w:t>12. Stock-based Compensation</w:t>
            </w: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6"/>
              </w:rPr>
              <w:t>13. Related Party Transactions</w:t>
            </w: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14. Commitments and Contingencies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15. Fair Value</w:t>
            </w:r>
          </w:p>
        </w:tc>
        <w:tc>
          <w:tcPr>
            <w:tcW w:w="980" w:type="dxa"/>
            <w:vAlign w:val="bottom"/>
            <w:gridSpan w:val="10"/>
          </w:tcPr>
          <w:p>
            <w:pPr>
              <w:spacing w:after="0"/>
              <w:rPr>
                <w:sz w:val="10"/>
                <w:szCs w:val="10"/>
                <w:color w:val="auto"/>
              </w:rPr>
            </w:pPr>
          </w:p>
        </w:tc>
        <w:tc>
          <w:tcPr>
            <w:tcW w:w="9120" w:type="dxa"/>
            <w:vAlign w:val="bottom"/>
            <w:gridSpan w:val="12"/>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rPr>
              <w:t>16. Segment Information</w:t>
            </w: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26</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17. Earnings (Loss) per Common Share</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28</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720" w:type="dxa"/>
            <w:vAlign w:val="bottom"/>
            <w:gridSpan w:val="26"/>
          </w:tcPr>
          <w:p>
            <w:pPr>
              <w:spacing w:after="0" w:line="124" w:lineRule="exact"/>
              <w:rPr>
                <w:sz w:val="20"/>
                <w:szCs w:val="20"/>
                <w:color w:val="auto"/>
              </w:rPr>
            </w:pPr>
            <w:r>
              <w:rPr>
                <w:rFonts w:ascii="Times New Roman" w:cs="Times New Roman" w:eastAsia="Times New Roman" w:hAnsi="Times New Roman"/>
                <w:sz w:val="11"/>
                <w:szCs w:val="11"/>
                <w:color w:val="0000FF"/>
              </w:rPr>
              <w:t>Item 2. Management's Discussion and Analysis of Financial Condition and Results of Operations</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28</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4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60" w:type="dxa"/>
            <w:vAlign w:val="bottom"/>
            <w:gridSpan w:val="21"/>
          </w:tcPr>
          <w:p>
            <w:pPr>
              <w:spacing w:after="0" w:line="124" w:lineRule="exact"/>
              <w:rPr>
                <w:sz w:val="20"/>
                <w:szCs w:val="20"/>
                <w:color w:val="auto"/>
              </w:rPr>
            </w:pPr>
            <w:r>
              <w:rPr>
                <w:rFonts w:ascii="Times New Roman" w:cs="Times New Roman" w:eastAsia="Times New Roman" w:hAnsi="Times New Roman"/>
                <w:sz w:val="11"/>
                <w:szCs w:val="11"/>
                <w:color w:val="0000FF"/>
                <w:w w:val="95"/>
              </w:rPr>
              <w:t>Item 3. Qualitative and Quantitative Disclosures about Market Risk</w:t>
            </w:r>
          </w:p>
        </w:tc>
        <w:tc>
          <w:tcPr>
            <w:tcW w:w="7860" w:type="dxa"/>
            <w:vAlign w:val="bottom"/>
            <w:gridSpan w:val="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39</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Controls and Procedures</w:t>
            </w:r>
          </w:p>
        </w:tc>
        <w:tc>
          <w:tcPr>
            <w:tcW w:w="1520" w:type="dxa"/>
            <w:vAlign w:val="bottom"/>
            <w:gridSpan w:val="8"/>
          </w:tcPr>
          <w:p>
            <w:pPr>
              <w:spacing w:after="0"/>
              <w:rPr>
                <w:sz w:val="10"/>
                <w:szCs w:val="10"/>
                <w:color w:val="auto"/>
              </w:rPr>
            </w:pPr>
          </w:p>
        </w:tc>
        <w:tc>
          <w:tcPr>
            <w:tcW w:w="7860" w:type="dxa"/>
            <w:vAlign w:val="bottom"/>
            <w:gridSpan w:val="5"/>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39</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086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8"/>
              </w:rPr>
              <w:t>Item 1. Legal Proceedings</w:t>
            </w:r>
          </w:p>
        </w:tc>
        <w:tc>
          <w:tcPr>
            <w:tcW w:w="280" w:type="dxa"/>
            <w:vAlign w:val="bottom"/>
            <w:gridSpan w:val="3"/>
          </w:tcPr>
          <w:p>
            <w:pPr>
              <w:spacing w:after="0"/>
              <w:rPr>
                <w:sz w:val="10"/>
                <w:szCs w:val="10"/>
                <w:color w:val="auto"/>
              </w:rPr>
            </w:pP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9"/>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tcPr>
          <w:p>
            <w:pPr>
              <w:spacing w:after="0"/>
              <w:rPr>
                <w:sz w:val="10"/>
                <w:szCs w:val="10"/>
                <w:color w:val="auto"/>
              </w:rPr>
            </w:pPr>
          </w:p>
        </w:tc>
        <w:tc>
          <w:tcPr>
            <w:tcW w:w="9660" w:type="dxa"/>
            <w:vAlign w:val="bottom"/>
            <w:gridSpan w:val="1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2"/>
          </w:tcPr>
          <w:p>
            <w:pPr>
              <w:spacing w:after="0" w:line="124" w:lineRule="exact"/>
              <w:rPr>
                <w:sz w:val="20"/>
                <w:szCs w:val="20"/>
                <w:color w:val="auto"/>
              </w:rPr>
            </w:pPr>
            <w:r>
              <w:rPr>
                <w:rFonts w:ascii="Times New Roman" w:cs="Times New Roman" w:eastAsia="Times New Roman" w:hAnsi="Times New Roman"/>
                <w:sz w:val="11"/>
                <w:szCs w:val="11"/>
                <w:color w:val="0000FF"/>
                <w:w w:val="94"/>
              </w:rPr>
              <w:t>Item 2. Unregistered Sales of Equity Securities and Use of Proceeds</w:t>
            </w: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78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2"/>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7840" w:type="dxa"/>
            <w:vAlign w:val="bottom"/>
            <w:gridSpan w:val="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90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Mine Safety Disclosures</w:t>
            </w:r>
          </w:p>
        </w:tc>
        <w:tc>
          <w:tcPr>
            <w:tcW w:w="320" w:type="dxa"/>
            <w:vAlign w:val="bottom"/>
            <w:gridSpan w:val="2"/>
          </w:tcPr>
          <w:p>
            <w:pPr>
              <w:spacing w:after="0"/>
              <w:rPr>
                <w:sz w:val="10"/>
                <w:szCs w:val="10"/>
                <w:color w:val="auto"/>
              </w:rPr>
            </w:pPr>
          </w:p>
        </w:tc>
        <w:tc>
          <w:tcPr>
            <w:tcW w:w="9060" w:type="dxa"/>
            <w:vAlign w:val="bottom"/>
            <w:gridSpan w:val="11"/>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41</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938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280" w:type="dxa"/>
            <w:vAlign w:val="bottom"/>
            <w:gridSpan w:val="3"/>
          </w:tcPr>
          <w:p>
            <w:pPr>
              <w:spacing w:after="0"/>
              <w:rPr>
                <w:sz w:val="10"/>
                <w:szCs w:val="10"/>
                <w:color w:val="auto"/>
              </w:rPr>
            </w:pPr>
          </w:p>
        </w:tc>
        <w:tc>
          <w:tcPr>
            <w:tcW w:w="9380" w:type="dxa"/>
            <w:vAlign w:val="bottom"/>
            <w:gridSpan w:val="13"/>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9660" w:type="dxa"/>
            <w:vAlign w:val="bottom"/>
            <w:gridSpan w:val="1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9660" w:type="dxa"/>
            <w:vAlign w:val="bottom"/>
            <w:gridSpan w:val="16"/>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100" w:type="dxa"/>
            <w:vAlign w:val="bottom"/>
            <w:gridSpan w:val="2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10400" w:type="dxa"/>
            <w:vAlign w:val="bottom"/>
            <w:gridSpan w:val="24"/>
          </w:tcPr>
          <w:p>
            <w:pPr>
              <w:spacing w:after="0"/>
              <w:rPr>
                <w:sz w:val="10"/>
                <w:szCs w:val="10"/>
                <w:color w:val="auto"/>
              </w:rPr>
            </w:pPr>
          </w:p>
        </w:tc>
        <w:tc>
          <w:tcPr>
            <w:tcW w:w="160" w:type="dxa"/>
            <w:vAlign w:val="bottom"/>
            <w:gridSpan w:val="2"/>
          </w:tcPr>
          <w:p>
            <w:pPr>
              <w:jc w:val="center"/>
              <w:ind w:left="6"/>
              <w:spacing w:after="0" w:line="124" w:lineRule="exact"/>
              <w:rPr>
                <w:sz w:val="20"/>
                <w:szCs w:val="20"/>
                <w:color w:val="auto"/>
              </w:rPr>
            </w:pPr>
            <w:r>
              <w:rPr>
                <w:rFonts w:ascii="Times New Roman" w:cs="Times New Roman" w:eastAsia="Times New Roman" w:hAnsi="Times New Roman"/>
                <w:sz w:val="11"/>
                <w:szCs w:val="11"/>
                <w:color w:val="0000FF"/>
                <w:w w:val="90"/>
              </w:rPr>
              <w:t>44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2018</w:t>
            </w:r>
          </w:p>
        </w:tc>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Share Repurchase Program</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AP</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ASC</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Amended Certificate of Designation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Amended and Restated Certificate of Designation of Senior Preferred Stock effective as of June 30, 2023</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ASU</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B2B</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Business-to-business</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B2C</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CEO</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CFO</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CODM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operating decision maker</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2024</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Credit 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Agreement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April 27, 2021 (as amended)</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FBO</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FI</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Finxera</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Finxera Holdings, Inc.</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ISO</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ISV</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LIBOR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London Interbank Offered Rate</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MTL</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Money Transmission Licenses</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NCI</w:t>
            </w:r>
          </w:p>
        </w:tc>
        <w:tc>
          <w:tcPr>
            <w:tcW w:w="2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PHOT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Hospitality Technology, LLC</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Plastiq</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Plastiq, Inc. and certain of its affiliates</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2024</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Revolving credit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$70.0 million line issued under the 2024 Credit Agreement</w:t>
            </w:r>
          </w:p>
        </w:tc>
      </w:tr>
      <w:tr>
        <w:trPr>
          <w:trHeight w:val="153"/>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Revolving credit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$65.0 million line issued under the 2021 Credit Agreement</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SEC</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SOFR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Secured Overnight Financing Rate</w:t>
            </w:r>
          </w:p>
        </w:tc>
      </w:tr>
      <w:tr>
        <w:trPr>
          <w:trHeight w:val="153"/>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SOX</w:t>
            </w: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Sarbanes–Oxley Act of 2002</w:t>
            </w:r>
          </w:p>
        </w:tc>
      </w:tr>
      <w:tr>
        <w:trPr>
          <w:trHeight w:val="153"/>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SMB</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Small to medium-sized businesses</w:t>
            </w:r>
          </w:p>
        </w:tc>
      </w:tr>
      <w:tr>
        <w:trPr>
          <w:trHeight w:val="155"/>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Term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$620.0 million senior secured term loan facility issued under the 2021 Credit Agreement (including $320.0 million delayed draw facility)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260" w:type="dxa"/>
            <w:vAlign w:val="bottom"/>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20" w:type="dxa"/>
            <w:vAlign w:val="bottom"/>
          </w:tcPr>
          <w:p>
            <w:pPr>
              <w:spacing w:after="0"/>
              <w:rPr>
                <w:sz w:val="11"/>
                <w:szCs w:val="11"/>
                <w:color w:val="auto"/>
              </w:rPr>
            </w:pPr>
          </w:p>
        </w:tc>
        <w:tc>
          <w:tcPr>
            <w:tcW w:w="7280" w:type="dxa"/>
            <w:vAlign w:val="bottom"/>
            <w:tcBorders>
              <w:top w:val="single" w:sz="8" w:color="CCEEFF"/>
            </w:tcBorders>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41,072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$7,887 and $5,289, respectively</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73,393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58,551</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879,361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1,028,894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881,294</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51,603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44,680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248,819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273,350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25,058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13,649</w:t>
            </w:r>
          </w:p>
        </w:tc>
        <w:tc>
          <w:tcPr>
            <w:tcW w:w="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1,759,669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2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Redeemable Senior Preferred Stock, Redeemable NCI, and Stockholders' Deficit</w:t>
            </w: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67,009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52,643</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3,934</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875,815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755,754</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991,197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808,081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631,965</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19,241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1,818,519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1,502,796</w:t>
            </w:r>
          </w:p>
        </w:tc>
        <w:tc>
          <w:tcPr>
            <w:tcW w:w="40" w:type="dxa"/>
            <w:vAlign w:val="bottom"/>
          </w:tcPr>
          <w:p>
            <w:pPr>
              <w:spacing w:after="0"/>
              <w:rPr>
                <w:sz w:val="12"/>
                <w:szCs w:val="12"/>
                <w:color w:val="auto"/>
              </w:rPr>
            </w:pPr>
          </w:p>
        </w:tc>
      </w:tr>
      <w:tr>
        <w:trPr>
          <w:trHeight w:val="106"/>
        </w:trPr>
        <w:tc>
          <w:tcPr>
            <w:tcW w:w="20" w:type="dxa"/>
            <w:vAlign w:val="bottom"/>
          </w:tcPr>
          <w:p>
            <w:pPr>
              <w:spacing w:after="0"/>
              <w:rPr>
                <w:sz w:val="9"/>
                <w:szCs w:val="9"/>
                <w:color w:val="auto"/>
              </w:rPr>
            </w:pPr>
          </w:p>
        </w:tc>
        <w:tc>
          <w:tcPr>
            <w:tcW w:w="72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14</w:t>
            </w:r>
            <w:r>
              <w:rPr>
                <w:rFonts w:ascii="Times New Roman" w:cs="Times New Roman" w:eastAsia="Times New Roman" w:hAnsi="Times New Roman"/>
                <w:sz w:val="12"/>
                <w:szCs w:val="12"/>
                <w:color w:val="auto"/>
              </w:rPr>
              <w:t>)</w:t>
            </w: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728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2"/>
                <w:szCs w:val="12"/>
                <w:color w:val="auto"/>
              </w:rPr>
              <w:t>Redeemable senior preferred stock, $0.001 par value; 250,000 shares authorized; 225,000 shares issued at September 30, 2024 and December 31,</w:t>
            </w:r>
          </w:p>
        </w:tc>
        <w:tc>
          <w:tcPr>
            <w:tcW w:w="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2023; 88,064 and 225,000 shares outstanding at September 30, 2024 and December 31, 2023, respectively</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c>
          <w:tcPr>
            <w:tcW w:w="4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100,000,000 shares authorized; 0 issued or outstanding at September 30, 2024 and December 31, 2023</w:t>
            </w:r>
          </w:p>
        </w:tc>
        <w:tc>
          <w:tcPr>
            <w:tcW w:w="28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7280" w:type="dxa"/>
            <w:vAlign w:val="bottom"/>
            <w:gridSpan w:val="3"/>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81,440,659 and 79,589,055 shares issued at September 30, 2024 and</w:t>
            </w:r>
          </w:p>
        </w:tc>
        <w:tc>
          <w:tcPr>
            <w:tcW w:w="2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31, 2023, respectively; and 77,092,558 and 76,956,889 shares outstanding at September 30, 2024 and December 31, 2023, respectively</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4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4,348,101 and 2,632,166 shares at September 30, 2024 and December 31, 2023, respectively</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(146,571)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(134,951)</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(165,838)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c>
          <w:tcPr>
            <w:tcW w:w="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(163,948)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2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redeemable NCI and stockholders' deficit</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1,759,669</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40" w:type="dxa"/>
            <w:vAlign w:val="bottom"/>
          </w:tcPr>
          <w:p>
            <w:pPr>
              <w:spacing w:after="0"/>
              <w:rPr>
                <w:sz w:val="14"/>
                <w:szCs w:val="14"/>
                <w:color w:val="auto"/>
              </w:rPr>
            </w:pPr>
          </w:p>
        </w:tc>
      </w:tr>
      <w:tr>
        <w:trPr>
          <w:trHeight w:val="671"/>
        </w:trPr>
        <w:tc>
          <w:tcPr>
            <w:tcW w:w="7300" w:type="dxa"/>
            <w:vAlign w:val="bottom"/>
            <w:gridSpan w:val="4"/>
          </w:tcPr>
          <w:p>
            <w:pPr>
              <w:jc w:val="right"/>
              <w:ind w:right="1620"/>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 and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40" w:type="dxa"/>
            <w:vAlign w:val="bottom"/>
          </w:tcPr>
          <w:p>
            <w:pPr>
              <w:spacing w:after="0"/>
              <w:rPr>
                <w:sz w:val="12"/>
                <w:szCs w:val="12"/>
                <w:color w:val="auto"/>
              </w:rPr>
            </w:pPr>
          </w:p>
        </w:tc>
        <w:tc>
          <w:tcPr>
            <w:tcW w:w="2740" w:type="dxa"/>
            <w:vAlign w:val="bottom"/>
            <w:gridSpan w:val="6"/>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2740" w:type="dxa"/>
            <w:vAlign w:val="bottom"/>
            <w:gridSpan w:val="6"/>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84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227,049</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189,015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652,635</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556,333</w:t>
            </w:r>
          </w:p>
        </w:tc>
        <w:tc>
          <w:tcPr>
            <w:tcW w:w="0" w:type="dxa"/>
            <w:vAlign w:val="bottom"/>
          </w:tcPr>
          <w:p>
            <w:pPr>
              <w:spacing w:after="0"/>
              <w:rPr>
                <w:sz w:val="1"/>
                <w:szCs w:val="1"/>
                <w:color w:val="auto"/>
              </w:rPr>
            </w:pPr>
          </w:p>
        </w:tc>
      </w:tr>
      <w:tr>
        <w:trPr>
          <w:trHeight w:val="133"/>
        </w:trPr>
        <w:tc>
          <w:tcPr>
            <w:tcW w:w="59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141,070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116,682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408,486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353,929</w:t>
            </w:r>
          </w:p>
        </w:tc>
        <w:tc>
          <w:tcPr>
            <w:tcW w:w="0" w:type="dxa"/>
            <w:vAlign w:val="bottom"/>
          </w:tcPr>
          <w:p>
            <w:pPr>
              <w:spacing w:after="0"/>
              <w:rPr>
                <w:sz w:val="1"/>
                <w:szCs w:val="1"/>
                <w:color w:val="auto"/>
              </w:rPr>
            </w:pP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20,129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66,017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58,286</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13,733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17,275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53,303</w:t>
            </w:r>
          </w:p>
        </w:tc>
        <w:tc>
          <w:tcPr>
            <w:tcW w:w="0" w:type="dxa"/>
            <w:vAlign w:val="bottom"/>
          </w:tcPr>
          <w:p>
            <w:pPr>
              <w:spacing w:after="0"/>
              <w:rPr>
                <w:sz w:val="1"/>
                <w:szCs w:val="1"/>
                <w:color w:val="auto"/>
              </w:rPr>
            </w:pPr>
          </w:p>
        </w:tc>
      </w:tr>
      <w:tr>
        <w:trPr>
          <w:trHeight w:val="153"/>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12,413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34,620</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31,328</w:t>
            </w: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188,964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165,509</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553,353</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496,846</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38,085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99,282</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59,487</w:t>
            </w:r>
          </w:p>
        </w:tc>
        <w:tc>
          <w:tcPr>
            <w:tcW w:w="0" w:type="dxa"/>
            <w:vAlign w:val="bottom"/>
          </w:tcPr>
          <w:p>
            <w:pPr>
              <w:spacing w:after="0"/>
              <w:rPr>
                <w:sz w:val="1"/>
                <w:szCs w:val="1"/>
                <w:color w:val="auto"/>
              </w:rPr>
            </w:pPr>
          </w:p>
        </w:tc>
      </w:tr>
      <w:tr>
        <w:trPr>
          <w:trHeight w:val="133"/>
        </w:trPr>
        <w:tc>
          <w:tcPr>
            <w:tcW w:w="59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(55,461)</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0" w:type="dxa"/>
            <w:vAlign w:val="bottom"/>
          </w:tcPr>
          <w:p>
            <w:pPr>
              <w:spacing w:after="0"/>
              <w:rPr>
                <w:sz w:val="1"/>
                <w:szCs w:val="1"/>
                <w:color w:val="auto"/>
              </w:rPr>
            </w:pPr>
          </w:p>
        </w:tc>
      </w:tr>
      <w:tr>
        <w:trPr>
          <w:trHeight w:val="142"/>
        </w:trPr>
        <w:tc>
          <w:tcPr>
            <w:tcW w:w="59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other expense, net</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(22,578)</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(19,265)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(72,491)</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(54,142)</w:t>
            </w:r>
          </w:p>
        </w:tc>
        <w:tc>
          <w:tcPr>
            <w:tcW w:w="0" w:type="dxa"/>
            <w:vAlign w:val="bottom"/>
          </w:tcPr>
          <w:p>
            <w:pPr>
              <w:spacing w:after="0"/>
              <w:rPr>
                <w:sz w:val="1"/>
                <w:szCs w:val="1"/>
                <w:color w:val="auto"/>
              </w:rPr>
            </w:pPr>
          </w:p>
        </w:tc>
      </w:tr>
      <w:tr>
        <w:trPr>
          <w:trHeight w:val="142"/>
        </w:trPr>
        <w:tc>
          <w:tcPr>
            <w:tcW w:w="59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5,345</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9,996</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6,550</w:t>
            </w:r>
          </w:p>
        </w:tc>
        <w:tc>
          <w:tcPr>
            <w:tcW w:w="0" w:type="dxa"/>
            <w:vAlign w:val="bottom"/>
          </w:tcPr>
          <w:p>
            <w:pPr>
              <w:spacing w:after="0"/>
              <w:rPr>
                <w:sz w:val="1"/>
                <w:szCs w:val="1"/>
                <w:color w:val="auto"/>
              </w:rPr>
            </w:pPr>
          </w:p>
        </w:tc>
      </w:tr>
      <w:tr>
        <w:trPr>
          <w:trHeight w:val="142"/>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16,795</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(36,348)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(35,252)</w:t>
            </w:r>
          </w:p>
        </w:tc>
        <w:tc>
          <w:tcPr>
            <w:tcW w:w="0" w:type="dxa"/>
            <w:vAlign w:val="bottom"/>
          </w:tcPr>
          <w:p>
            <w:pPr>
              <w:spacing w:after="0"/>
              <w:rPr>
                <w:sz w:val="1"/>
                <w:szCs w:val="1"/>
                <w:color w:val="auto"/>
              </w:rPr>
            </w:pPr>
          </w:p>
        </w:tc>
      </w:tr>
      <w:tr>
        <w:trPr>
          <w:trHeight w:val="153"/>
        </w:trPr>
        <w:tc>
          <w:tcPr>
            <w:tcW w:w="5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8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8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5,487</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(12,279)</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(20,192)</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(36,457)</w:t>
            </w:r>
          </w:p>
        </w:tc>
        <w:tc>
          <w:tcPr>
            <w:tcW w:w="0" w:type="dxa"/>
            <w:vAlign w:val="bottom"/>
          </w:tcPr>
          <w:p>
            <w:pPr>
              <w:spacing w:after="0"/>
              <w:rPr>
                <w:sz w:val="1"/>
                <w:szCs w:val="1"/>
                <w:color w:val="auto"/>
              </w:rPr>
            </w:pPr>
          </w:p>
        </w:tc>
      </w:tr>
      <w:tr>
        <w:trPr>
          <w:trHeight w:val="153"/>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Other comprehensive income ( loss)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8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8"/>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84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5,459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(12,344)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(20,229)</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(36,491)</w:t>
            </w: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84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(0.47)</w:t>
            </w:r>
          </w:p>
        </w:tc>
        <w:tc>
          <w:tcPr>
            <w:tcW w:w="0" w:type="dxa"/>
            <w:vAlign w:val="bottom"/>
          </w:tcPr>
          <w:p>
            <w:pPr>
              <w:spacing w:after="0"/>
              <w:rPr>
                <w:sz w:val="1"/>
                <w:szCs w:val="1"/>
                <w:color w:val="auto"/>
              </w:rPr>
            </w:pPr>
          </w:p>
        </w:tc>
      </w:tr>
      <w:tr>
        <w:trPr>
          <w:trHeight w:val="153"/>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840" w:type="dxa"/>
            <w:vAlign w:val="bottom"/>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(0.47)</w:t>
            </w:r>
          </w:p>
        </w:tc>
        <w:tc>
          <w:tcPr>
            <w:tcW w:w="0" w:type="dxa"/>
            <w:vAlign w:val="bottom"/>
          </w:tcPr>
          <w:p>
            <w:pPr>
              <w:spacing w:after="0"/>
              <w:rPr>
                <w:sz w:val="1"/>
                <w:szCs w:val="1"/>
                <w:color w:val="auto"/>
              </w:rPr>
            </w:pPr>
          </w:p>
        </w:tc>
      </w:tr>
      <w:tr>
        <w:trPr>
          <w:trHeight w:val="171"/>
        </w:trPr>
        <w:tc>
          <w:tcPr>
            <w:tcW w:w="59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77,973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78,381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78,270</w:t>
            </w:r>
          </w:p>
        </w:tc>
        <w:tc>
          <w:tcPr>
            <w:tcW w:w="0" w:type="dxa"/>
            <w:vAlign w:val="bottom"/>
          </w:tcPr>
          <w:p>
            <w:pPr>
              <w:spacing w:after="0"/>
              <w:rPr>
                <w:sz w:val="1"/>
                <w:szCs w:val="1"/>
                <w:color w:val="auto"/>
              </w:rPr>
            </w:pPr>
          </w:p>
        </w:tc>
      </w:tr>
      <w:tr>
        <w:trPr>
          <w:trHeight w:val="155"/>
        </w:trPr>
        <w:tc>
          <w:tcPr>
            <w:tcW w:w="5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76,957</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(12,815)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(147,718)</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(146,064)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429</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for PHOT redeemable NCI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 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5,193</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75,835</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4,183</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(18,491)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(141,412)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(159,869)</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1,747</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(158,122)</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Return on PHOT redeemable NCI</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common equity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80" w:type="dxa"/>
            <w:vAlign w:val="bottom"/>
          </w:tcPr>
          <w:p>
            <w:pPr>
              <w:spacing w:after="0"/>
              <w:rPr>
                <w:sz w:val="11"/>
                <w:szCs w:val="11"/>
                <w:color w:val="auto"/>
              </w:rPr>
            </w:pPr>
          </w:p>
        </w:tc>
        <w:tc>
          <w:tcPr>
            <w:tcW w:w="7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80" w:type="dxa"/>
            <w:vAlign w:val="bottom"/>
          </w:tcPr>
          <w:p>
            <w:pPr>
              <w:spacing w:after="0"/>
              <w:rPr>
                <w:sz w:val="3"/>
                <w:szCs w:val="3"/>
                <w:color w:val="auto"/>
              </w:rPr>
            </w:pPr>
          </w:p>
        </w:tc>
        <w:tc>
          <w:tcPr>
            <w:tcW w:w="780" w:type="dxa"/>
            <w:vAlign w:val="bottom"/>
            <w:gridSpan w:val="2"/>
            <w:vMerge w:val="restart"/>
          </w:tcPr>
          <w:p>
            <w:pPr>
              <w:jc w:val="center"/>
              <w:ind w:left="266"/>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APIC</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June 30, 2024</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75,968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4,240</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(18,673)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(38)</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(153,472)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(172,107)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1,832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(170,275)</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1,358</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419</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56</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PHOT share issuance</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813</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(4,786)</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(4,786)</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(335)</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interests/common equity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7"/>
              </w:rPr>
              <w:t>(28)</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3,707</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10,608</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10,608</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10,608</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September 30,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77,092</w:t>
            </w: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4,348</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(19,278)</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7"/>
              </w:rPr>
              <w:t>(66)</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(146,571)</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(165,838)</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1,890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(163,948)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840" w:type="dxa"/>
            <w:vAlign w:val="bottom"/>
          </w:tcPr>
          <w:p>
            <w:pPr>
              <w:jc w:val="center"/>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76,044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(11,559)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9,650</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(102,208)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(104,041)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(102,786)</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1,936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517</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2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(10,477)</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 to NCI</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76,404</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2,498</w:t>
            </w: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(12,336)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328</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(102,714)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(114,622)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852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(113,770)</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1,746</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Reclassification of negative additional paid-in capital</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June 30, 2023</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76,531</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2,563</w:t>
            </w: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(12,577)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(112,974)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(125,444)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852</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(124,592)</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ESPP compensation and vesting of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Dividends on redeemable senior preferred stock</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(11,348)</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Accretion of redeemable senior preferred stock</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 of profit interest/common equity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514</w:t>
            </w:r>
          </w:p>
        </w:tc>
        <w:tc>
          <w:tcPr>
            <w:tcW w:w="0" w:type="dxa"/>
            <w:vAlign w:val="bottom"/>
          </w:tcPr>
          <w:p>
            <w:pPr>
              <w:spacing w:after="0"/>
              <w:rPr>
                <w:sz w:val="1"/>
                <w:szCs w:val="1"/>
                <w:color w:val="auto"/>
              </w:rPr>
            </w:pPr>
          </w:p>
        </w:tc>
      </w:tr>
      <w:tr>
        <w:trPr>
          <w:trHeight w:val="142"/>
        </w:trPr>
        <w:tc>
          <w:tcPr>
            <w:tcW w:w="4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97"/>
              </w:rPr>
              <w:t>(65)</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Reclassification of negative additional paid in capital</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10,653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(10,653)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September 30, 2023</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76,634</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2,564</w:t>
            </w: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(12,577)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w w:val="97"/>
              </w:rPr>
              <w:t>(34)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(123,714)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(136,248)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1,366</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(134,882)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135255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40" w:top="35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80" w:type="dxa"/>
            <w:vAlign w:val="bottom"/>
          </w:tcPr>
          <w:p>
            <w:pPr>
              <w:spacing w:after="0"/>
              <w:rPr>
                <w:sz w:val="12"/>
                <w:szCs w:val="12"/>
                <w:color w:val="auto"/>
              </w:rPr>
            </w:pPr>
          </w:p>
        </w:tc>
        <w:tc>
          <w:tcPr>
            <w:tcW w:w="286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40" w:type="dxa"/>
            <w:vAlign w:val="bottom"/>
            <w:tcBorders>
              <w:bottom w:val="single" w:sz="8" w:color="auto"/>
            </w:tcBorders>
          </w:tcPr>
          <w:p>
            <w:pPr>
              <w:spacing w:after="0"/>
              <w:rPr>
                <w:sz w:val="12"/>
                <w:szCs w:val="12"/>
                <w:color w:val="auto"/>
              </w:rPr>
            </w:pPr>
          </w:p>
        </w:tc>
      </w:tr>
      <w:tr>
        <w:trPr>
          <w:trHeight w:val="134"/>
        </w:trPr>
        <w:tc>
          <w:tcPr>
            <w:tcW w:w="78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1"/>
                <w:szCs w:val="11"/>
                <w:color w:val="auto"/>
              </w:rPr>
            </w:pPr>
          </w:p>
        </w:tc>
      </w:tr>
      <w:tr>
        <w:trPr>
          <w:trHeight w:val="125"/>
        </w:trPr>
        <w:tc>
          <w:tcPr>
            <w:tcW w:w="78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112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16,795</w:t>
            </w:r>
          </w:p>
        </w:tc>
        <w:tc>
          <w:tcPr>
            <w:tcW w:w="80" w:type="dxa"/>
            <w:vAlign w:val="bottom"/>
          </w:tcPr>
          <w:p>
            <w:pPr>
              <w:spacing w:after="0"/>
              <w:rPr>
                <w:sz w:val="12"/>
                <w:szCs w:val="12"/>
                <w:color w:val="auto"/>
              </w:rPr>
            </w:pPr>
          </w:p>
        </w:tc>
        <w:tc>
          <w:tcPr>
            <w:tcW w:w="1120" w:type="dxa"/>
            <w:vAlign w:val="bottom"/>
          </w:tcPr>
          <w:p>
            <w:pPr>
              <w:jc w:val="right"/>
              <w:ind w:right="10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44,230</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53,303</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ESPP and incentive units compensation</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4,878</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5,183</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2,812</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8,666</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(2,432)</w:t>
            </w:r>
          </w:p>
        </w:tc>
      </w:tr>
      <w:tr>
        <w:trPr>
          <w:trHeight w:val="146"/>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contingent consideration</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906</w:t>
            </w:r>
          </w:p>
        </w:tc>
      </w:tr>
      <w:tr>
        <w:trPr>
          <w:trHeight w:val="142"/>
        </w:trPr>
        <w:tc>
          <w:tcPr>
            <w:tcW w:w="7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receivable</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17,931</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(2,808)</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(2,630)</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taxes (receivable) payable</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498</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Notes receivable</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w:t>
            </w:r>
          </w:p>
        </w:tc>
      </w:tr>
      <w:tr>
        <w:trPr>
          <w:trHeight w:val="142"/>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302</w:t>
            </w:r>
          </w:p>
        </w:tc>
      </w:tr>
      <w:tr>
        <w:trPr>
          <w:trHeight w:val="14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3,802</w:t>
            </w:r>
          </w:p>
        </w:tc>
      </w:tr>
      <w:tr>
        <w:trPr>
          <w:trHeight w:val="140"/>
        </w:trPr>
        <w:tc>
          <w:tcPr>
            <w:tcW w:w="7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assets and liabilities, net</w:t>
            </w: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(5,998)</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61,852</w:t>
            </w: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72,680</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(28,182)</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(17,044)</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(15,268)</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Notes receivable, net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151</w:t>
            </w:r>
          </w:p>
        </w:tc>
      </w:tr>
      <w:tr>
        <w:trPr>
          <w:trHeight w:val="140"/>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Acquisitions of assets and other investing activities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(7,474)</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(24,734)</w:t>
            </w: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(51,224)</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Proceeds from issuance of long-term debt, net of issue discount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830,200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(6,901)</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(656,460)</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(4,650)</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Borrowings under revolving credit facility</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44,000</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Repayments of borrowings under revolving credit facility</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(23,500)</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PHOT redeemable NCI</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w:t>
            </w:r>
          </w:p>
        </w:tc>
        <w:tc>
          <w:tcPr>
            <w:tcW w:w="80" w:type="dxa"/>
            <w:vAlign w:val="bottom"/>
          </w:tcPr>
          <w:p>
            <w:pPr>
              <w:spacing w:after="0"/>
              <w:rPr>
                <w:sz w:val="12"/>
                <w:szCs w:val="12"/>
                <w:color w:val="auto"/>
              </w:rPr>
            </w:pPr>
          </w:p>
        </w:tc>
        <w:tc>
          <w:tcPr>
            <w:tcW w:w="1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Repurchases of shares withheld for taxes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(1,208)</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Redemption of senior preferred stock</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(136,936)</w:t>
            </w:r>
          </w:p>
        </w:tc>
        <w:tc>
          <w:tcPr>
            <w:tcW w:w="80" w:type="dxa"/>
            <w:vAlign w:val="bottom"/>
          </w:tcPr>
          <w:p>
            <w:pPr>
              <w:spacing w:after="0"/>
              <w:rPr>
                <w:sz w:val="12"/>
                <w:szCs w:val="12"/>
                <w:color w:val="auto"/>
              </w:rPr>
            </w:pPr>
          </w:p>
        </w:tc>
        <w:tc>
          <w:tcPr>
            <w:tcW w:w="1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Redemption of accumulated unpaid dividend on redeemable senior preferred stock</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(30,819)</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Dividends paid to redeemable senior preferred stockholders</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(22,099)</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(17,908)</w:t>
            </w:r>
          </w:p>
        </w:tc>
      </w:tr>
      <w:tr>
        <w:trPr>
          <w:trHeight w:val="146"/>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Settlement and customer/subscriber accounts obligations, net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116,065</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165,610</w:t>
            </w:r>
          </w:p>
        </w:tc>
      </w:tr>
      <w:tr>
        <w:trPr>
          <w:trHeight w:val="140"/>
        </w:trPr>
        <w:tc>
          <w:tcPr>
            <w:tcW w:w="7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Payment of contingent consideration related to business combination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(4,996)</w:t>
            </w:r>
          </w:p>
        </w:tc>
        <w:tc>
          <w:tcPr>
            <w:tcW w:w="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84,716</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157,029</w:t>
            </w:r>
          </w:p>
        </w:tc>
      </w:tr>
      <w:tr>
        <w:trPr>
          <w:trHeight w:val="123"/>
        </w:trPr>
        <w:tc>
          <w:tcPr>
            <w:tcW w:w="78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5"/>
        </w:trPr>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increase in cash and cash equivalents, and restricted cash</w:t>
            </w:r>
          </w:p>
        </w:tc>
        <w:tc>
          <w:tcPr>
            <w:tcW w:w="6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121,834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178,485</w:t>
            </w:r>
          </w:p>
        </w:tc>
      </w:tr>
      <w:tr>
        <w:trPr>
          <w:trHeight w:val="142"/>
        </w:trPr>
        <w:tc>
          <w:tcPr>
            <w:tcW w:w="7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796,223</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560,610</w:t>
            </w:r>
          </w:p>
        </w:tc>
      </w:tr>
      <w:tr>
        <w:trPr>
          <w:trHeight w:val="151"/>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68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918,057</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739,095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60" w:type="dxa"/>
            <w:vAlign w:val="bottom"/>
            <w:tcBorders>
              <w:bottom w:val="single" w:sz="8" w:color="auto"/>
            </w:tcBorders>
          </w:tcPr>
          <w:p>
            <w:pPr>
              <w:spacing w:after="0"/>
              <w:rPr>
                <w:sz w:val="12"/>
                <w:szCs w:val="12"/>
                <w:color w:val="auto"/>
              </w:rPr>
            </w:pPr>
          </w:p>
        </w:tc>
      </w:tr>
      <w:tr>
        <w:trPr>
          <w:trHeight w:val="134"/>
        </w:trPr>
        <w:tc>
          <w:tcPr>
            <w:tcW w:w="45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00" w:type="dxa"/>
            <w:vAlign w:val="bottom"/>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41,072</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24,595</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13,398</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13,890</w:t>
            </w:r>
          </w:p>
        </w:tc>
      </w:tr>
      <w:tr>
        <w:trPr>
          <w:trHeight w:val="117"/>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and customer/subscriber account balances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110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863,587</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700,610</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00FF"/>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36"/>
        </w:trPr>
        <w:tc>
          <w:tcPr>
            <w:tcW w:w="7880" w:type="dxa"/>
            <w:vAlign w:val="bottom"/>
            <w:tcBorders>
              <w:bottom w:val="single" w:sz="8" w:color="CCEEFF"/>
            </w:tcBorders>
            <w:gridSpan w:val="3"/>
            <w:shd w:val="clear" w:color="auto" w:fill="CCEEFF"/>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1100" w:type="dxa"/>
            <w:vAlign w:val="bottom"/>
            <w:tcBorders>
              <w:bottom w:val="single" w:sz="8" w:color="auto"/>
            </w:tcBorders>
            <w:shd w:val="clear" w:color="auto" w:fill="CCEEFF"/>
          </w:tcPr>
          <w:p>
            <w:pPr>
              <w:jc w:val="right"/>
              <w:ind w:right="966"/>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918,057</w:t>
            </w:r>
          </w:p>
        </w:tc>
        <w:tc>
          <w:tcPr>
            <w:tcW w:w="8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98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b w:val="1"/>
                <w:bCs w:val="1"/>
                <w:color w:val="auto"/>
              </w:rPr>
              <w:t>739,095</w:t>
            </w:r>
          </w:p>
        </w:tc>
      </w:tr>
      <w:tr>
        <w:trPr>
          <w:trHeight w:val="153"/>
        </w:trPr>
        <w:tc>
          <w:tcPr>
            <w:tcW w:w="4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1100" w:type="dxa"/>
            <w:vAlign w:val="bottom"/>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53,406</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54,670</w:t>
            </w:r>
          </w:p>
        </w:tc>
      </w:tr>
      <w:tr>
        <w:trPr>
          <w:trHeight w:val="146"/>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Adjustment to value of profit interest units</w:t>
            </w:r>
          </w:p>
        </w:tc>
        <w:tc>
          <w:tcPr>
            <w:tcW w:w="1100" w:type="dxa"/>
            <w:vAlign w:val="bottom"/>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596</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 of intangible asset</w:t>
            </w:r>
          </w:p>
        </w:tc>
        <w:tc>
          <w:tcPr>
            <w:tcW w:w="110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(5,751)</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Measurement period adjustment to purchase price</w:t>
            </w:r>
          </w:p>
        </w:tc>
        <w:tc>
          <w:tcPr>
            <w:tcW w:w="1100" w:type="dxa"/>
            <w:vAlign w:val="bottom"/>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w:t>
            </w:r>
          </w:p>
        </w:tc>
      </w:tr>
      <w:tr>
        <w:trPr>
          <w:trHeight w:val="146"/>
        </w:trPr>
        <w:tc>
          <w:tcPr>
            <w:tcW w:w="7880" w:type="dxa"/>
            <w:vAlign w:val="bottom"/>
            <w:gridSpan w:val="3"/>
            <w:shd w:val="clear" w:color="auto" w:fill="CCEEFF"/>
          </w:tcPr>
          <w:p>
            <w:pPr>
              <w:ind w:left="80"/>
              <w:spacing w:after="0" w:line="146" w:lineRule="exact"/>
              <w:rPr>
                <w:sz w:val="20"/>
                <w:szCs w:val="20"/>
                <w:color w:val="auto"/>
              </w:rPr>
            </w:pPr>
            <w:r>
              <w:rPr>
                <w:rFonts w:ascii="Times New Roman" w:cs="Times New Roman" w:eastAsia="Times New Roman" w:hAnsi="Times New Roman"/>
                <w:sz w:val="11"/>
                <w:szCs w:val="11"/>
                <w:color w:val="auto"/>
              </w:rPr>
              <w:t>Cash portion of dividend payable for redeemable senior preferred stock</w:t>
            </w:r>
            <w:r>
              <w:rPr>
                <w:rFonts w:ascii="Times New Roman" w:cs="Times New Roman" w:eastAsia="Times New Roman" w:hAnsi="Times New Roman"/>
                <w:sz w:val="14"/>
                <w:szCs w:val="14"/>
                <w:color w:val="auto"/>
                <w:vertAlign w:val="superscript"/>
              </w:rPr>
              <w:t>(1)</w:t>
            </w:r>
          </w:p>
        </w:tc>
        <w:tc>
          <w:tcPr>
            <w:tcW w:w="1100" w:type="dxa"/>
            <w:vAlign w:val="bottom"/>
            <w:shd w:val="clear" w:color="auto" w:fill="CCEEFF"/>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6,810</w:t>
            </w:r>
          </w:p>
        </w:tc>
      </w:tr>
      <w:tr>
        <w:trPr>
          <w:trHeight w:val="140"/>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Issuance of NCI</w:t>
            </w:r>
          </w:p>
        </w:tc>
        <w:tc>
          <w:tcPr>
            <w:tcW w:w="1100" w:type="dxa"/>
            <w:vAlign w:val="bottom"/>
          </w:tcPr>
          <w:p>
            <w:pPr>
              <w:jc w:val="right"/>
              <w:ind w:right="96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Pr>
          <w:p>
            <w:pPr>
              <w:spacing w:after="0"/>
              <w:rPr>
                <w:sz w:val="12"/>
                <w:szCs w:val="12"/>
                <w:color w:val="auto"/>
              </w:rPr>
            </w:pPr>
          </w:p>
        </w:tc>
        <w:tc>
          <w:tcPr>
            <w:tcW w:w="1100" w:type="dxa"/>
            <w:vAlign w:val="bottom"/>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184</w:t>
            </w:r>
          </w:p>
        </w:tc>
      </w:tr>
    </w:tbl>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71"/>
        </w:trPr>
        <w:tc>
          <w:tcPr>
            <w:tcW w:w="14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rPr>
              <w:t>(1)</w:t>
            </w:r>
          </w:p>
        </w:tc>
        <w:tc>
          <w:tcPr>
            <w:tcW w:w="6480" w:type="dxa"/>
            <w:vAlign w:val="bottom"/>
            <w:vMerge w:val="restart"/>
          </w:tcPr>
          <w:p>
            <w:pPr>
              <w:ind w:left="80"/>
              <w:spacing w:after="0"/>
              <w:rPr>
                <w:sz w:val="20"/>
                <w:szCs w:val="20"/>
                <w:color w:val="auto"/>
              </w:rPr>
            </w:pPr>
            <w:r>
              <w:rPr>
                <w:rFonts w:ascii="Times New Roman" w:cs="Times New Roman" w:eastAsia="Times New Roman" w:hAnsi="Times New Roman"/>
                <w:sz w:val="8"/>
                <w:szCs w:val="8"/>
                <w:color w:val="auto"/>
              </w:rPr>
              <w:t>Paid on October 2, 2023</w:t>
            </w:r>
          </w:p>
        </w:tc>
        <w:tc>
          <w:tcPr>
            <w:tcW w:w="0" w:type="dxa"/>
            <w:vAlign w:val="bottom"/>
          </w:tcPr>
          <w:p>
            <w:pPr>
              <w:spacing w:after="0"/>
              <w:rPr>
                <w:sz w:val="1"/>
                <w:szCs w:val="1"/>
                <w:color w:val="auto"/>
              </w:rPr>
            </w:pPr>
          </w:p>
        </w:tc>
      </w:tr>
      <w:tr>
        <w:trPr>
          <w:trHeight w:val="44"/>
        </w:trPr>
        <w:tc>
          <w:tcPr>
            <w:tcW w:w="140" w:type="dxa"/>
            <w:vAlign w:val="bottom"/>
          </w:tcPr>
          <w:p>
            <w:pPr>
              <w:spacing w:after="0"/>
              <w:rPr>
                <w:sz w:val="3"/>
                <w:szCs w:val="3"/>
                <w:color w:val="auto"/>
              </w:rPr>
            </w:pPr>
          </w:p>
        </w:tc>
        <w:tc>
          <w:tcPr>
            <w:tcW w:w="6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40" w:type="dxa"/>
            <w:vAlign w:val="bottom"/>
          </w:tcPr>
          <w:p>
            <w:pPr>
              <w:spacing w:after="0"/>
              <w:rPr>
                <w:sz w:val="24"/>
                <w:szCs w:val="24"/>
                <w:color w:val="auto"/>
              </w:rPr>
            </w:pPr>
          </w:p>
        </w:tc>
        <w:tc>
          <w:tcPr>
            <w:tcW w:w="6480" w:type="dxa"/>
            <w:vAlign w:val="bottom"/>
          </w:tcPr>
          <w:p>
            <w:pPr>
              <w:ind w:left="4120"/>
              <w:spacing w:after="0"/>
              <w:rPr>
                <w:sz w:val="20"/>
                <w:szCs w:val="20"/>
                <w:color w:val="auto"/>
              </w:rPr>
            </w:pPr>
            <w:r>
              <w:rPr>
                <w:rFonts w:ascii="Times New Roman" w:cs="Times New Roman" w:eastAsia="Times New Roman" w:hAnsi="Times New Roman"/>
                <w:sz w:val="12"/>
                <w:szCs w:val="12"/>
                <w:color w:val="auto"/>
                <w:w w:val="99"/>
              </w:rPr>
              <w:t xml:space="preserve">See </w:t>
            </w:r>
            <w:r>
              <w:rPr>
                <w:rFonts w:ascii="Times New Roman" w:cs="Times New Roman" w:eastAsia="Times New Roman" w:hAnsi="Times New Roman"/>
                <w:sz w:val="12"/>
                <w:szCs w:val="12"/>
                <w:u w:val="single" w:color="auto"/>
                <w:color w:val="0000FF"/>
                <w:w w:val="99"/>
              </w:rPr>
              <w:t>Notes to Unaudited Consolidated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Priority Technology Holdings, Inc. is a holding company with no material operations of its own. Priority Technology Holdings, Inc. and its consolidated subsidiaries are referred to herein collectively as "Priority," the "Company," "we," "our" or "us," unless the context requires otherwise. Priority is the payments and banking fintech that streamlines collecting, storing, lending and sending money through its innovative commerce engine to unlock revenue and generate operational success for businesses.</w:t>
      </w:r>
    </w:p>
    <w:p>
      <w:pPr>
        <w:spacing w:after="0" w:line="119"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2023 was derived from the audited financial statements included in the Company's Annual Report on Form 10-K for the year ended December 31, 2023 but does not include all disclosures required by GAAP for annual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September 30, 2024, there was no income attributable to NCI in accordance with the applicable operating agreements.</w:t>
      </w:r>
    </w:p>
    <w:p>
      <w:pPr>
        <w:spacing w:after="0" w:line="111"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2023.</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(i.e. local currency of Republic of India). The functional currency of the Canadian subsidiaries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 Pending Adoption</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Segment Reporting ASU 2023-07</w:t>
      </w:r>
    </w:p>
    <w:p>
      <w:pPr>
        <w:spacing w:after="0" w:line="150"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2023, the FASB issued ASU 2023-07, </w:t>
      </w:r>
      <w:r>
        <w:rPr>
          <w:rFonts w:ascii="Times New Roman" w:cs="Times New Roman" w:eastAsia="Times New Roman" w:hAnsi="Times New Roman"/>
          <w:sz w:val="12"/>
          <w:szCs w:val="12"/>
          <w:i w:val="1"/>
          <w:iCs w:val="1"/>
          <w:color w:val="auto"/>
        </w:rPr>
        <w:t>Segment Reporting (Topic 280): Improvements to Reportable Segment Disclosures,</w:t>
      </w:r>
      <w:r>
        <w:rPr>
          <w:rFonts w:ascii="Times New Roman" w:cs="Times New Roman" w:eastAsia="Times New Roman" w:hAnsi="Times New Roman"/>
          <w:sz w:val="12"/>
          <w:szCs w:val="12"/>
          <w:color w:val="auto"/>
        </w:rPr>
        <w:t xml:space="preserve"> which requires incremental reportable segment disclosures, primarily about significant segment expenses. The amendments also require entities with a single reportable segment to provide all disclosures required by these amendments, and all existing segment disclosures. This guidance is effective for fiscal years beginning after December 15, 2023, and interim periods after December 15, 2024. The Company will adopt this guidance for the year ended December 31, 2024. This guidance is expected to only impact the disclosures with no impact on the results of operations, financial position or cash flows.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Income Taxes ASU 2023-09</w:t>
      </w:r>
    </w:p>
    <w:p>
      <w:pPr>
        <w:spacing w:after="0" w:line="150" w:lineRule="exact"/>
        <w:rPr>
          <w:sz w:val="20"/>
          <w:szCs w:val="20"/>
          <w:color w:val="auto"/>
        </w:rPr>
      </w:pPr>
    </w:p>
    <w:p>
      <w:pPr>
        <w:ind w:left="8" w:right="80"/>
        <w:spacing w:after="0" w:line="266"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 (Topic 740): Improvement to Income Tax Disclosures,</w:t>
      </w:r>
      <w:r>
        <w:rPr>
          <w:rFonts w:ascii="Times New Roman" w:cs="Times New Roman" w:eastAsia="Times New Roman" w:hAnsi="Times New Roman"/>
          <w:sz w:val="12"/>
          <w:szCs w:val="12"/>
          <w:color w:val="auto"/>
        </w:rPr>
        <w:t xml:space="preserve"> to enhance the transparency and decision usefulness of income tax disclosures. The guidance includes improvements to income tax disclosures primarily related to the rate reconciliation and income taxes paid. This guidance is effective for annual periods beginning after December 15, 2024, with early adoption permitted. The Company is in the process of evaluating the potential effects this guidance will have on its disclosures.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Profit Interest ASU 2024-01</w:t>
      </w:r>
    </w:p>
    <w:p>
      <w:pPr>
        <w:spacing w:after="0" w:line="150"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2"/>
          <w:szCs w:val="12"/>
          <w:color w:val="auto"/>
        </w:rPr>
        <w:t xml:space="preserve">In March 2024, the FASB issued ASU 2024-01, </w:t>
      </w:r>
      <w:r>
        <w:rPr>
          <w:rFonts w:ascii="Times New Roman" w:cs="Times New Roman" w:eastAsia="Times New Roman" w:hAnsi="Times New Roman"/>
          <w:sz w:val="12"/>
          <w:szCs w:val="12"/>
          <w:i w:val="1"/>
          <w:iCs w:val="1"/>
          <w:color w:val="auto"/>
        </w:rPr>
        <w:t>Profit Interest and Similar Awards</w:t>
      </w:r>
      <w:r>
        <w:rPr>
          <w:rFonts w:ascii="Times New Roman" w:cs="Times New Roman" w:eastAsia="Times New Roman" w:hAnsi="Times New Roman"/>
          <w:sz w:val="12"/>
          <w:szCs w:val="12"/>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 Compensation. This guidance is effective for annual periods beginning after December 15, 2024, with early adoption permitted. The Company is in the process of evaluating the potential effects this guidance will have.</w:t>
      </w:r>
    </w:p>
    <w:p>
      <w:pPr>
        <w:spacing w:after="0" w:line="200" w:lineRule="exact"/>
        <w:rPr>
          <w:sz w:val="20"/>
          <w:szCs w:val="20"/>
          <w:color w:val="auto"/>
        </w:rPr>
      </w:pPr>
    </w:p>
    <w:p>
      <w:pPr>
        <w:spacing w:after="0" w:line="221" w:lineRule="exact"/>
        <w:rPr>
          <w:sz w:val="20"/>
          <w:szCs w:val="20"/>
          <w:color w:val="auto"/>
        </w:rPr>
      </w:pPr>
    </w:p>
    <w:p>
      <w:pPr>
        <w:ind w:left="8" w:right="10320" w:hanging="8"/>
        <w:spacing w:after="0" w:line="550" w:lineRule="auto"/>
        <w:tabs>
          <w:tab w:leader="none" w:pos="211"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Acquisition Plastiq Acquisition</w:t>
      </w:r>
    </w:p>
    <w:p>
      <w:pPr>
        <w:ind w:left="8" w:right="160"/>
        <w:spacing w:after="0" w:line="260" w:lineRule="auto"/>
        <w:rPr>
          <w:sz w:val="20"/>
          <w:szCs w:val="20"/>
          <w:color w:val="auto"/>
        </w:rPr>
      </w:pPr>
      <w:r>
        <w:rPr>
          <w:rFonts w:ascii="Times New Roman" w:cs="Times New Roman" w:eastAsia="Times New Roman" w:hAnsi="Times New Roman"/>
          <w:sz w:val="12"/>
          <w:szCs w:val="12"/>
          <w:color w:val="auto"/>
        </w:rPr>
        <w:t>On May 23, 2023, Priority’s subsidiary, Plastiq, Powered by Priority, LLC (the "acquiring entity"), entered into a stalking horse equity and asset purchase agreement (the "Purchase Agreement") with Plastiq, Inc. and certain of its affiliates ("Plastiq") to acquire substantially all of the assets of Plastiq, including the equity interest in Plastiq Canada, Inc. Plastiq is a buyer funded B2B payments platform offering bill pay and instant access to working capital to its customers and complements the Company's existing supplier-funded B2B payments business. On May 24, 2023, Plastiq filed voluntary petitions for relief under Chapter 11 of Title 11 of the United States Code in the United States Bankruptcy Court for the District of Delaware.</w:t>
      </w:r>
    </w:p>
    <w:p>
      <w:pPr>
        <w:spacing w:after="0" w:line="122" w:lineRule="exact"/>
        <w:rPr>
          <w:sz w:val="20"/>
          <w:szCs w:val="20"/>
          <w:color w:val="auto"/>
        </w:rPr>
      </w:pPr>
    </w:p>
    <w:p>
      <w:pPr>
        <w:ind w:left="8" w:right="360"/>
        <w:spacing w:after="0" w:line="279" w:lineRule="auto"/>
        <w:rPr>
          <w:sz w:val="20"/>
          <w:szCs w:val="20"/>
          <w:color w:val="auto"/>
        </w:rPr>
      </w:pPr>
      <w:r>
        <w:rPr>
          <w:rFonts w:ascii="Times New Roman" w:cs="Times New Roman" w:eastAsia="Times New Roman" w:hAnsi="Times New Roman"/>
          <w:sz w:val="12"/>
          <w:szCs w:val="12"/>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11" w:lineRule="exact"/>
        <w:rPr>
          <w:sz w:val="20"/>
          <w:szCs w:val="20"/>
          <w:color w:val="auto"/>
        </w:rPr>
      </w:pPr>
    </w:p>
    <w:p>
      <w:pPr>
        <w:jc w:val="both"/>
        <w:ind w:left="8" w:right="100"/>
        <w:spacing w:after="0" w:line="265" w:lineRule="auto"/>
        <w:rPr>
          <w:sz w:val="20"/>
          <w:szCs w:val="20"/>
          <w:color w:val="auto"/>
        </w:rPr>
      </w:pPr>
      <w:r>
        <w:rPr>
          <w:rFonts w:ascii="Times New Roman" w:cs="Times New Roman" w:eastAsia="Times New Roman" w:hAnsi="Times New Roman"/>
          <w:sz w:val="12"/>
          <w:szCs w:val="12"/>
          <w:color w:val="auto"/>
        </w:rPr>
        <w:t>The acquisition was accounted for as a business combination using the acquisition method of accounting, under which the acquired assets and assumed liabilities were recognized at their fair values as of July 31, 2023,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final purchase price allocation is set forth in the table below.</w:t>
      </w:r>
    </w:p>
    <w:p>
      <w:pPr>
        <w:spacing w:after="0" w:line="200" w:lineRule="exact"/>
        <w:rPr>
          <w:sz w:val="20"/>
          <w:szCs w:val="20"/>
          <w:color w:val="auto"/>
        </w:rPr>
      </w:pPr>
    </w:p>
    <w:p>
      <w:pPr>
        <w:spacing w:after="0" w:line="3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0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Consideration: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Contingent consideration payments </w:t>
      </w:r>
      <w:r>
        <w:rPr>
          <w:rFonts w:ascii="Times New Roman" w:cs="Times New Roman" w:eastAsia="Times New Roman" w:hAnsi="Times New Roman"/>
          <w:sz w:val="15"/>
          <w:szCs w:val="1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Common equity of acquiring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Less: cash and restricted cash acquired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Total purchase consideration,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Settlement 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2"/>
          <w:szCs w:val="12"/>
          <w:color w:val="auto"/>
        </w:rPr>
        <w:t>Goodwill</w:t>
      </w:r>
      <w:r>
        <w:rPr>
          <w:rFonts w:ascii="Times New Roman" w:cs="Times New Roman" w:eastAsia="Times New Roman" w:hAnsi="Times New Roman"/>
          <w:sz w:val="15"/>
          <w:szCs w:val="15"/>
          <w:color w:val="auto"/>
          <w:vertAlign w:val="superscript"/>
        </w:rPr>
        <w:t>(3)</w:t>
      </w:r>
    </w:p>
    <w:p>
      <w:pPr>
        <w:spacing w:after="0" w:line="223" w:lineRule="auto"/>
        <w:rPr>
          <w:sz w:val="20"/>
          <w:szCs w:val="20"/>
          <w:color w:val="auto"/>
        </w:rPr>
      </w:pPr>
      <w:r>
        <w:rPr>
          <w:rFonts w:ascii="Times New Roman" w:cs="Times New Roman" w:eastAsia="Times New Roman" w:hAnsi="Times New Roman"/>
          <w:sz w:val="12"/>
          <w:szCs w:val="12"/>
          <w:color w:val="auto"/>
        </w:rPr>
        <w:t>Intangible assets</w:t>
      </w:r>
      <w:r>
        <w:rPr>
          <w:rFonts w:ascii="Times New Roman" w:cs="Times New Roman" w:eastAsia="Times New Roman" w:hAnsi="Times New Roman"/>
          <w:sz w:val="15"/>
          <w:szCs w:val="1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7804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Accounts payable and accrued expenses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Settlement obligations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28,500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8,419</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r>
      <w:tr>
        <w:trPr>
          <w:trHeight w:val="155"/>
        </w:trPr>
        <w:tc>
          <w:tcPr>
            <w:tcW w:w="9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w:t>
            </w:r>
          </w:p>
        </w:tc>
      </w:tr>
      <w:tr>
        <w:trPr>
          <w:trHeight w:val="142"/>
        </w:trPr>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36,971</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06"/>
        </w:trPr>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8,277</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30,460</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w:t>
            </w:r>
          </w:p>
        </w:tc>
      </w:tr>
      <w:tr>
        <w:trPr>
          <w:trHeight w:val="153"/>
        </w:trPr>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r>
      <w:tr>
        <w:trPr>
          <w:trHeight w:val="155"/>
        </w:trPr>
        <w:tc>
          <w:tcPr>
            <w:tcW w:w="9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(8,279)</w:t>
            </w:r>
          </w:p>
        </w:tc>
      </w:tr>
      <w:tr>
        <w:trPr>
          <w:trHeight w:val="142"/>
        </w:trPr>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36,971</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8320" w:space="720"/>
            <w:col w:w="2260"/>
          </w:cols>
          <w:pgMar w:left="300" w:top="1054" w:right="299" w:bottom="1440" w:gutter="0" w:footer="0" w:header="0"/>
        </w:sectPr>
      </w:pPr>
    </w:p>
    <w:p>
      <w:pPr>
        <w:ind w:left="420" w:right="200" w:hanging="212"/>
        <w:spacing w:after="0" w:line="231" w:lineRule="auto"/>
        <w:tabs>
          <w:tab w:leader="none" w:pos="41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ind w:left="420" w:hanging="212"/>
        <w:spacing w:after="0" w:line="187" w:lineRule="auto"/>
        <w:tabs>
          <w:tab w:leader="none" w:pos="42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intangible assets acquired consist of $13.0 million for customer relationships, $7.0 million for referral partner relationships, $6.5 million for technology and $3.9 million for trade name.</w:t>
      </w:r>
    </w:p>
    <w:p>
      <w:pPr>
        <w:spacing w:after="0" w:line="1" w:lineRule="exact"/>
        <w:rPr>
          <w:rFonts w:ascii="Times New Roman" w:cs="Times New Roman" w:eastAsia="Times New Roman" w:hAnsi="Times New Roman"/>
          <w:sz w:val="16"/>
          <w:szCs w:val="16"/>
          <w:color w:val="auto"/>
          <w:vertAlign w:val="superscript"/>
        </w:rPr>
      </w:pPr>
    </w:p>
    <w:p>
      <w:pPr>
        <w:ind w:left="420" w:right="140" w:hanging="212"/>
        <w:spacing w:after="0" w:line="213" w:lineRule="auto"/>
        <w:tabs>
          <w:tab w:leader="none" w:pos="41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first and second quarters of 2024, the Company recorded immaterial measurement period adjustments due to a pre-acquisition tax accrual and security deposit which resulted in an adjustment to goodwill, accounts payable and accrued expenses, and prepaid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59"/>
        </w:trPr>
        <w:tc>
          <w:tcPr>
            <w:tcW w:w="4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Revenues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type:</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80" w:type="dxa"/>
            <w:vAlign w:val="bottom"/>
          </w:tcPr>
          <w:p>
            <w:pPr>
              <w:spacing w:after="0"/>
              <w:rPr>
                <w:sz w:val="24"/>
                <w:szCs w:val="24"/>
                <w:color w:val="auto"/>
              </w:rPr>
            </w:pPr>
          </w:p>
        </w:tc>
        <w:tc>
          <w:tcPr>
            <w:tcW w:w="3000" w:type="dxa"/>
            <w:vAlign w:val="bottom"/>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44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171,814</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146,974</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499,007</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441,142</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33,868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25,831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94,352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70,955</w:t>
            </w:r>
          </w:p>
        </w:tc>
      </w:tr>
      <w:tr>
        <w:trPr>
          <w:trHeight w:val="153"/>
        </w:trPr>
        <w:tc>
          <w:tcPr>
            <w:tcW w:w="4480" w:type="dxa"/>
            <w:vAlign w:val="bottom"/>
          </w:tcPr>
          <w:p>
            <w:pPr>
              <w:ind w:left="140"/>
              <w:spacing w:after="0" w:line="153" w:lineRule="exact"/>
              <w:rPr>
                <w:sz w:val="20"/>
                <w:szCs w:val="20"/>
                <w:color w:val="auto"/>
              </w:rPr>
            </w:pPr>
            <w:r>
              <w:rPr>
                <w:rFonts w:ascii="Times New Roman" w:cs="Times New Roman" w:eastAsia="Times New Roman" w:hAnsi="Times New Roman"/>
                <w:sz w:val="12"/>
                <w:szCs w:val="12"/>
                <w:color w:val="auto"/>
              </w:rPr>
              <w:t>Outsourced services and other services</w:t>
            </w:r>
            <w:r>
              <w:rPr>
                <w:rFonts w:ascii="Times New Roman" w:cs="Times New Roman" w:eastAsia="Times New Roman" w:hAnsi="Times New Roman"/>
                <w:sz w:val="15"/>
                <w:szCs w:val="15"/>
                <w:color w:val="auto"/>
                <w:vertAlign w:val="superscript"/>
              </w:rPr>
              <w:t>(2)</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13,181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49,984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34,768</w:t>
            </w:r>
          </w:p>
        </w:tc>
      </w:tr>
      <w:tr>
        <w:trPr>
          <w:trHeight w:val="15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9,468</w:t>
            </w: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revenues</w:t>
            </w:r>
            <w:r>
              <w:rPr>
                <w:rFonts w:ascii="Times New Roman" w:cs="Times New Roman" w:eastAsia="Times New Roman" w:hAnsi="Times New Roman"/>
                <w:sz w:val="15"/>
                <w:szCs w:val="15"/>
                <w:color w:val="auto"/>
                <w:vertAlign w:val="superscript"/>
              </w:rPr>
              <w:t>(1)</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227,049</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189,015</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652,635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556,333</w:t>
            </w:r>
          </w:p>
        </w:tc>
      </w:tr>
      <w:tr>
        <w:trPr>
          <w:trHeight w:val="20"/>
        </w:trPr>
        <w:tc>
          <w:tcPr>
            <w:tcW w:w="4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6"/>
          <w:szCs w:val="16"/>
          <w:color w:val="auto"/>
          <w:vertAlign w:val="superscript"/>
        </w:rPr>
      </w:pPr>
    </w:p>
    <w:p>
      <w:pPr>
        <w:ind w:left="420" w:right="240" w:hanging="212"/>
        <w:spacing w:after="0" w:line="231" w:lineRule="auto"/>
        <w:tabs>
          <w:tab w:leader="none" w:pos="41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Approximately $13.8 million and $38.8 million of interest income on customer funds for the three and nine months ended September 30, 2024, respectively, and $9.7 million and $21.9 million for the three and nine months ended September 30, 2023, respectively, is included in outsourced services and other services revenue in the table above. Approximately $0.6 million and $1.8 million of interest income on corporate funds for the three and nine months ended September 30, 2024, respectively, and $0.5 million and $1.1 million three and nine months ended September 30, 2023, respectively, is included in other income, net on the Company's Unaudited Consolidated Statements of Operations and Comprehensive Income (Loss) and not reflected in the table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153,061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2,405</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158,770</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22,143</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33,868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47,099</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171,814</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33,868</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18,063</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3,304</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227,049</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86"/>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26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2024</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443,557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5,026</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9,292</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457,875</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9,473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65,368</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94,352</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36,081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131,758</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(2,366)</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499,007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94,352</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49,984</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9,292</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652,635</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0"/>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2023</w:t>
            </w: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136,292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140,241</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13,985</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25,831</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35,174</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146,974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25,831</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13,181</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3,029</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189,015</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51"/>
        </w:trPr>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6"/>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2023</w:t>
            </w: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12"/>
                <w:szCs w:val="12"/>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340" w:type="dxa"/>
            <w:vAlign w:val="bottom"/>
          </w:tcPr>
          <w:p>
            <w:pPr>
              <w:spacing w:after="0"/>
              <w:rPr>
                <w:sz w:val="12"/>
                <w:szCs w:val="12"/>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12"/>
                <w:szCs w:val="12"/>
                <w:color w:val="auto"/>
              </w:rPr>
            </w:pPr>
          </w:p>
        </w:tc>
        <w:tc>
          <w:tcPr>
            <w:tcW w:w="12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SMB Payments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428,524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5,130</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9,468</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443,122</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Payments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19,744</w:t>
            </w: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Enterprise Payments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70,955</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93,919</w:t>
            </w: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w:t>
            </w: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441,142</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70,955</w:t>
            </w: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34,768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9,468</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556,333</w:t>
            </w: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revenues were not material for the three and nine months ended September 30, 2024 and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 Assets and Contract Liabilities</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Contract liabilities were $0.5 million and $0.6 million as of September 30, 2024 and December 31, 2023, respectively. Substantially all of these balances are recognized as revenue within 12 months.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contract assets were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2"/>
          <w:szCs w:val="12"/>
          <w:color w:val="auto"/>
        </w:rPr>
        <w:t>Impairment losses recognized on contract assets arising from the Company's contracts with customers were not material for the three and nine months ended September 30, 2024 and 2023.</w:t>
      </w:r>
    </w:p>
    <w:p>
      <w:pPr>
        <w:spacing w:after="0" w:line="150"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Impairment losses recognized on receivables arising from the Company's contracts with customers were $1.1 million and $1.5 million for the three and nine months ended September 30, 2024, respectively, and were immaterial for the three and nine months ended September 30, 2023.</w:t>
      </w:r>
    </w:p>
    <w:p>
      <w:pPr>
        <w:spacing w:after="0" w:line="200" w:lineRule="exact"/>
        <w:rPr>
          <w:sz w:val="20"/>
          <w:szCs w:val="20"/>
          <w:color w:val="auto"/>
        </w:rPr>
      </w:pPr>
    </w:p>
    <w:p>
      <w:pPr>
        <w:spacing w:after="0" w:line="213"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Customer/Subscriber Account Balances and Related Obligations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SMB Payments Segment</w:t>
      </w:r>
    </w:p>
    <w:p>
      <w:pPr>
        <w:spacing w:after="0" w:line="152"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are not liabilities of the Company. Therefore, neither is recognized in the Company's Unaudited Consolidated Balance Sheets. Member banks held merchant funds of $10.8 million and $98.0 million at September 30, 2024 and December 31, 2023, respectively.</w:t>
      </w:r>
    </w:p>
    <w:p>
      <w:pPr>
        <w:spacing w:after="0" w:line="122" w:lineRule="exact"/>
        <w:rPr>
          <w:sz w:val="20"/>
          <w:szCs w:val="20"/>
          <w:color w:val="auto"/>
        </w:rPr>
      </w:pPr>
    </w:p>
    <w:p>
      <w:pPr>
        <w:ind w:left="8" w:right="120"/>
        <w:spacing w:after="0" w:line="260" w:lineRule="auto"/>
        <w:rPr>
          <w:sz w:val="20"/>
          <w:szCs w:val="20"/>
          <w:color w:val="auto"/>
        </w:rPr>
      </w:pPr>
      <w:r>
        <w:rPr>
          <w:rFonts w:ascii="Times New Roman" w:cs="Times New Roman" w:eastAsia="Times New Roman" w:hAnsi="Times New Roman"/>
          <w:sz w:val="12"/>
          <w:szCs w:val="12"/>
          <w:color w:val="auto"/>
        </w:rPr>
        <w:t>Exception items that become the liability of the Company are recorded as merchant losses, a component of cost of revenue in the Company's Unaudited Consolidated Statements of Operations and Comprehensive Income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and nine months ended September 30, 2024 were $2.5 million and $8.9 million, respectively. Expenses for merchant losses for the three and nine months ended September 30, 2023 were $1.6 million and $3.7 million, respectively.</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B2B Payments Segment</w:t>
      </w:r>
    </w:p>
    <w:p>
      <w:pPr>
        <w:spacing w:after="0" w:line="152" w:lineRule="exact"/>
        <w:rPr>
          <w:sz w:val="20"/>
          <w:szCs w:val="20"/>
          <w:color w:val="auto"/>
        </w:rPr>
      </w:pPr>
    </w:p>
    <w:p>
      <w:pPr>
        <w:ind w:left="8" w:right="20"/>
        <w:spacing w:after="0" w:line="256" w:lineRule="auto"/>
        <w:rPr>
          <w:sz w:val="20"/>
          <w:szCs w:val="20"/>
          <w:color w:val="auto"/>
        </w:rPr>
      </w:pPr>
      <w:r>
        <w:rPr>
          <w:rFonts w:ascii="Times New Roman" w:cs="Times New Roman" w:eastAsia="Times New Roman" w:hAnsi="Times New Roman"/>
          <w:sz w:val="12"/>
          <w:szCs w:val="12"/>
          <w:color w:val="auto"/>
        </w:rPr>
        <w:t>In the Company's B2B Payments segment, the Company earns revenues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in the Company's Unaudited Consolidated Balance Sheets. Amounts due to customer payees that are held in bank-owned FBO accounts are not assets of the Company, and the associated obligations are not liabilities of the Company. Therefore, neither is recognized in the Company's Unaudited Consolidated Balance Sheets. Bank-owned FBO accounts held funds of $109.8 million and $69.0 million at September 30, 2024 and December 31, 2023, respectively. Company-owned bank accounts held $1.4 million and $1.2 million at September 30, 2024 and December 31, 2023, respectively, which are included in restricted cash and settlement and customer/subscriber account obligations in the Company's Unaudited Consolidated Balance Sheets.</w:t>
      </w:r>
    </w:p>
    <w:p>
      <w:pPr>
        <w:spacing w:after="0" w:line="125" w:lineRule="exact"/>
        <w:rPr>
          <w:sz w:val="20"/>
          <w:szCs w:val="20"/>
          <w:color w:val="auto"/>
        </w:rPr>
      </w:pPr>
    </w:p>
    <w:p>
      <w:pPr>
        <w:jc w:val="both"/>
        <w:ind w:left="8" w:right="380"/>
        <w:spacing w:after="0" w:line="265"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customers through the funds settlement process are recognized as settlement assets and customer/subscriber account balances in the Company's Unaudited Consolidated Balance Sheets, with an offsetting reserve for those amounts the Company estimates it will not be able to recover. Expenses for these merchant losses for the three and nine months ended September 30, 2024 were $0.0 million and $0.3 million, respectively. Expenses for merchant losses for the three and nine months ended September 30, 2023 were not material.</w:t>
      </w:r>
    </w:p>
    <w:p>
      <w:pPr>
        <w:spacing w:after="0" w:line="119"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The Company also accepts card payments from its B2B Payments segment customers and processes disbursements to their vendors within the Plastiq business. The time lag between authorization and settlement of card transactions creates certain receivables (from card networks) and payables (to the vendors of customers). These receivables and payables arise from the settlement activities that the Company performs on the behalf of its customers and therefore, are presented as settlement assets and related obligations.</w:t>
      </w:r>
    </w:p>
    <w:p>
      <w:pPr>
        <w:spacing w:after="0" w:line="200" w:lineRule="exact"/>
        <w:rPr>
          <w:sz w:val="20"/>
          <w:szCs w:val="20"/>
          <w:color w:val="auto"/>
        </w:rPr>
      </w:pPr>
    </w:p>
    <w:p>
      <w:pPr>
        <w:spacing w:after="0" w:line="387"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02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i w:val="1"/>
          <w:iCs w:val="1"/>
          <w:color w:val="auto"/>
        </w:rPr>
        <w:t>Enterprise Payments Segment</w:t>
      </w:r>
    </w:p>
    <w:p>
      <w:pPr>
        <w:spacing w:after="0" w:line="1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customer/subscriber account balances and the related obligations as settlement and customer/subscriber account obligations in the Company's Unaudited Consolidated Balance Sheets.</w:t>
      </w:r>
    </w:p>
    <w:p>
      <w:pPr>
        <w:spacing w:after="0" w:line="12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Exception items that become the liability of the Company are recorded as merchant losses, a component of cost of revenue in the Company's Unaudited Consolidated Statements of Operations and Comprehensive Income (Loss). Exception items that the Company is still attempting to collect from the merchants through the funds settlement process or merchant reserves are recognized as settlement assets and customer/subscriber account balances in the Company's Unaudited Consolidated Balance Sheets, with an offsetting reserve for those amounts the Company estimates it will not be able to recover. Expenses for merchant losses for the three and nine months ended September 30, 2024 were $0.0 million and $0.4 million, respectively. Expenses for merchant losses for the three and nine months ended September 30, 2023 were not material.</w:t>
      </w:r>
    </w:p>
    <w:p>
      <w:pPr>
        <w:spacing w:after="0" w:line="12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 certain states, the Company accepts deposits under agency arrangement with member banks wherein accepted deposits remain under the control of the member banks. Therefore, the Company does not record assets for the deposits accepted and liabilities for the associated obligation. Agency owned accounts held $36.8 million and $19.6 million at September 30, 2024 and December 31, 2023,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consolidated settlement assets and customer/subscriber account balances and settlement and customer/subscriber account obligations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Card settlements due from merchants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4,694</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00" w:type="dxa"/>
            <w:vAlign w:val="bottom"/>
            <w:shd w:val="clear" w:color="auto" w:fill="CCEEFF"/>
          </w:tcPr>
          <w:p>
            <w:pPr>
              <w:spacing w:after="0"/>
              <w:rPr>
                <w:sz w:val="13"/>
                <w:szCs w:val="1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8,185</w:t>
            </w: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settlement assets</w:t>
            </w:r>
          </w:p>
        </w:tc>
        <w:tc>
          <w:tcPr>
            <w:tcW w:w="40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w:t>
            </w: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Customer/subscriber account balances</w:t>
            </w:r>
          </w:p>
        </w:tc>
        <w:tc>
          <w:tcPr>
            <w:tcW w:w="4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863,587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744,696</w:t>
            </w:r>
          </w:p>
        </w:tc>
      </w:tr>
      <w:tr>
        <w:trPr>
          <w:trHeight w:val="15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 and customer/subscriber account balances</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879,361</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756,475</w:t>
            </w:r>
          </w:p>
        </w:tc>
      </w:tr>
      <w:tr>
        <w:trPr>
          <w:trHeight w:val="126"/>
        </w:trPr>
        <w:tc>
          <w:tcPr>
            <w:tcW w:w="6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Settlement and Customer/Subscriber Account Obligations:</w:t>
            </w:r>
          </w:p>
        </w:tc>
        <w:tc>
          <w:tcPr>
            <w:tcW w:w="4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account obligations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847,168</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710,775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16,419</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33,921</w:t>
            </w:r>
          </w:p>
        </w:tc>
      </w:tr>
      <w:tr>
        <w:trPr>
          <w:trHeight w:val="142"/>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0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863,587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744,696</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(2)</w:t>
            </w:r>
          </w:p>
        </w:tc>
        <w:tc>
          <w:tcPr>
            <w:tcW w:w="4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12,228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11,058</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settlement and customer/subscriber account obligations</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875,815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755,754</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was $8.2 million and $6.6 million as of September 30, 2024 and December 31, 2023, respectively.</w:t>
      </w:r>
    </w:p>
    <w:p>
      <w:pPr>
        <w:spacing w:after="0" w:line="1" w:lineRule="exact"/>
        <w:rPr>
          <w:rFonts w:ascii="Times New Roman" w:cs="Times New Roman" w:eastAsia="Times New Roman" w:hAnsi="Times New Roman"/>
          <w:sz w:val="16"/>
          <w:szCs w:val="16"/>
          <w:color w:val="auto"/>
          <w:vertAlign w:val="superscript"/>
        </w:rPr>
      </w:pPr>
    </w:p>
    <w:p>
      <w:pPr>
        <w:ind w:left="420" w:right="200" w:hanging="212"/>
        <w:spacing w:after="0" w:line="213" w:lineRule="auto"/>
        <w:tabs>
          <w:tab w:leader="none" w:pos="412"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$10.2 million and $8.2 million as of September 30, 2024 and December 31, 2023, respectively, of card settlements due from networks and the remainder is included in restricted cash on our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17" w:name="page18"/>
    <w:bookmarkEnd w:id="17"/>
    <w:p>
      <w:pPr>
        <w:ind w:left="248" w:hanging="248"/>
        <w:spacing w:after="0"/>
        <w:tabs>
          <w:tab w:leader="none" w:pos="248"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Receivable</w:t>
      </w:r>
    </w:p>
    <w:p>
      <w:pPr>
        <w:spacing w:after="0" w:line="154"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$6.3 million and $5.2 million as of September 30, 2024 and December 31, 2023, respectively, which are reported as current portion of notes receivable and notes receivable less current portion on the Company's Unaudited Consolidated Balance Sheets. The notes receivable carried weighted-average interest rates of 18.6% as of September 30, 2024 and December 31, 2023. The notes receivable are comprised of notes receivable from ISOs, and under the terms of the agreements the Company preserves the right to hold back residual payments due to the ISOs and to apply such residuals against future payments due to the Company. As of September 30, 2024 and December 31, 2023, the Company had no allowance for doubtful notes receivable.</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September 30, 2024, the principal payments for the Company's notes receivable are due as follows:</w:t>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Twelve months ending September 30,</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1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After 2028</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27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6,294</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6.  Property, Equipment and Software</w:t>
            </w: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7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1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100,399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78,492</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10,377</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w:t>
            </w: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2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1,367</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1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115,982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91,846</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(66,500)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(56,442)</w:t>
            </w: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2,121</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9,276</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51,603</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44,680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7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3,523</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During the nine months ended September 30, 2024 , certain fully depreciated assets were removed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5"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reporting units: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SMB Payments</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124,139</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Enterprise Payments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244,712</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Plastiq (B2B Payments)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w:t>
            </w: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376,103</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Plastiq adjustment</w:t>
            </w:r>
          </w:p>
        </w:tc>
        <w:tc>
          <w:tcPr>
            <w:tcW w:w="280" w:type="dxa"/>
            <w:vAlign w:val="bottom"/>
            <w:tcBorders>
              <w:bottom w:val="single" w:sz="8" w:color="CCEEFF"/>
            </w:tcBorders>
          </w:tcPr>
          <w:p>
            <w:pPr>
              <w:spacing w:after="0"/>
              <w:rPr>
                <w:sz w:val="13"/>
                <w:szCs w:val="13"/>
                <w:color w:val="auto"/>
              </w:rPr>
            </w:pPr>
          </w:p>
        </w:tc>
        <w:tc>
          <w:tcPr>
            <w:tcW w:w="17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2024</w:t>
            </w:r>
          </w:p>
        </w:tc>
        <w:tc>
          <w:tcPr>
            <w:tcW w:w="280" w:type="dxa"/>
            <w:vAlign w:val="bottom"/>
            <w:tcBorders>
              <w:bottom w:val="single" w:sz="8" w:color="CCEEFF"/>
            </w:tcBorders>
            <w:shd w:val="clear" w:color="auto" w:fill="CCEEFF"/>
          </w:tcPr>
          <w:p>
            <w:pPr>
              <w:spacing w:after="0"/>
              <w:rPr>
                <w:sz w:val="13"/>
                <w:szCs w:val="13"/>
                <w:color w:val="auto"/>
              </w:rPr>
            </w:pPr>
          </w:p>
        </w:tc>
        <w:tc>
          <w:tcPr>
            <w:tcW w:w="1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376,091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2024, the Company is not aware of any triggering events for impairment that have occurred since the last annual impairment test.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Intangible Assets</w:t>
            </w: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 consisted of the following:</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September 30, 2024</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100"/>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540" w:type="dxa"/>
            <w:vAlign w:val="bottom"/>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2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20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(46,280)</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136,059</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(101,536)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42,028</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6.2</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14,293</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(64,410)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18,940</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8.7</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4,072</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2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424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588,503</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(339,684)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248,819</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assets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3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40" w:type="dxa"/>
            <w:vAlign w:val="bottom"/>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3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intangible assets:</w:t>
            </w:r>
          </w:p>
        </w:tc>
        <w:tc>
          <w:tcPr>
            <w:tcW w:w="9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92"/>
              </w:rPr>
              <w:t>182,339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(36,506)</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145,833</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2"/>
              </w:rPr>
              <w:t>135,164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42,465</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6.3</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92"/>
              </w:rPr>
              <w:t>109,017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(92,781)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16,236</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8.4</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27,211</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57,639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(22,712)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34,927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9.0</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w:t>
            </w:r>
          </w:p>
        </w:tc>
        <w:tc>
          <w:tcPr>
            <w:tcW w:w="1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11.7</w:t>
            </w:r>
          </w:p>
        </w:tc>
        <w:tc>
          <w:tcPr>
            <w:tcW w:w="0" w:type="dxa"/>
            <w:vAlign w:val="bottom"/>
          </w:tcPr>
          <w:p>
            <w:pPr>
              <w:spacing w:after="0"/>
              <w:rPr>
                <w:sz w:val="1"/>
                <w:szCs w:val="1"/>
                <w:color w:val="auto"/>
              </w:rPr>
            </w:pPr>
          </w:p>
        </w:tc>
      </w:tr>
      <w:tr>
        <w:trPr>
          <w:trHeight w:val="153"/>
        </w:trPr>
        <w:tc>
          <w:tcPr>
            <w:tcW w:w="3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Non-compete agreements</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(3,390)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0.0</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40" w:type="dxa"/>
            <w:vAlign w:val="bottom"/>
          </w:tcPr>
          <w:p>
            <w:pPr>
              <w:spacing w:after="0"/>
              <w:rPr>
                <w:sz w:val="12"/>
                <w:szCs w:val="1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w w:val="92"/>
              </w:rPr>
              <w:t>580,103</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(306,753)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273,350</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9.7</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These assets have an indefinite useful life.</w:t>
            </w: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330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right="220" w:hanging="212"/>
        <w:spacing w:after="0" w:line="222" w:lineRule="auto"/>
        <w:tabs>
          <w:tab w:leader="none" w:pos="412"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$0.4 million and $1.2 million for the three and nine months ended September 30, 2024, respectively, and $0.1 million and $0.3 million for the three and nine months ended September 30, 2023, respectively, related to the amortization of certain contract acquisition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2024, there were no impairment indicators present.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Debt Obligations</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3"/>
        </w:trPr>
        <w:tc>
          <w:tcPr>
            <w:tcW w:w="7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1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May 16, 2031, interest rate of 9.81% at September 30, 2024</w:t>
            </w:r>
          </w:p>
        </w:tc>
        <w:tc>
          <w:tcPr>
            <w:tcW w:w="1520" w:type="dxa"/>
            <w:vAlign w:val="bottom"/>
          </w:tcPr>
          <w:p>
            <w:pPr>
              <w:jc w:val="right"/>
              <w:ind w:right="13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832,913</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Revolving credit facility - $70.0 million line matures May 16, 2029, interest rate of 9.31% at September 30, 2024</w:t>
            </w:r>
          </w:p>
        </w:tc>
        <w:tc>
          <w:tcPr>
            <w:tcW w:w="15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2021 Credit Agreement - </w:t>
            </w:r>
            <w:r>
              <w:rPr>
                <w:rFonts w:ascii="Times New Roman" w:cs="Times New Roman" w:eastAsia="Times New Roman" w:hAnsi="Times New Roman"/>
                <w:sz w:val="12"/>
                <w:szCs w:val="12"/>
                <w:i w:val="1"/>
                <w:iCs w:val="1"/>
                <w:color w:val="auto"/>
              </w:rPr>
              <w:t>refinanced on May 16, 2024</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 - original maturity April 27, 2027, interest rate of 11.21% at December 31, 2023</w:t>
            </w:r>
          </w:p>
        </w:tc>
        <w:tc>
          <w:tcPr>
            <w:tcW w:w="15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654,373</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Revolving credit facility - $65.0 million line, original Maturity April 27, 2026, interest rate of 10.20% at December 31, 2023</w:t>
            </w:r>
          </w:p>
        </w:tc>
        <w:tc>
          <w:tcPr>
            <w:tcW w:w="152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7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15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832,913</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654,373</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15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15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(15,696)</w:t>
            </w: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1520" w:type="dxa"/>
            <w:vAlign w:val="bottom"/>
            <w:tcBorders>
              <w:bottom w:val="single" w:sz="8" w:color="auto"/>
            </w:tcBorders>
          </w:tcPr>
          <w:p>
            <w:pPr>
              <w:jc w:val="right"/>
              <w:ind w:right="13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808,081</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631,965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5580"/>
              <w:spacing w:after="0"/>
              <w:rPr>
                <w:sz w:val="20"/>
                <w:szCs w:val="20"/>
                <w:color w:val="auto"/>
              </w:rPr>
            </w:pPr>
            <w:r>
              <w:rPr>
                <w:rFonts w:ascii="Times New Roman" w:cs="Times New Roman" w:eastAsia="Times New Roman" w:hAnsi="Times New Roman"/>
                <w:sz w:val="12"/>
                <w:szCs w:val="12"/>
                <w:color w:val="auto"/>
              </w:rPr>
              <w:t>17</w:t>
            </w: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72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color w:val="auto"/>
        </w:rPr>
        <w:t>2024 Credit Agreement</w:t>
      </w:r>
    </w:p>
    <w:p>
      <w:pPr>
        <w:spacing w:after="0" w:line="15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2"/>
          <w:szCs w:val="12"/>
          <w:color w:val="auto"/>
        </w:rPr>
        <w:t xml:space="preserve">On May 16, 2024, the Company entered into a Credit Agreement ("2024 Credit Agreement") which provides 1) a $835.0 million senior secured first lien term loan facility ; and 2) a $70.0 million senior secured revolving facility ("Credit facilities"). Proceeds from these Credit facilities were used to repay the outstanding balances under the 2021 Credit Agreement and redeem a portion of the Company's redeemable senior preferred stock (see </w:t>
      </w:r>
      <w:r>
        <w:rPr>
          <w:rFonts w:ascii="Times New Roman" w:cs="Times New Roman" w:eastAsia="Times New Roman" w:hAnsi="Times New Roman"/>
          <w:sz w:val="12"/>
          <w:szCs w:val="12"/>
          <w:u w:val="single" w:color="auto"/>
          <w:color w:val="0000FF"/>
        </w:rPr>
        <w:t>Note 9.</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Redeemable Securities</w:t>
      </w:r>
      <w:r>
        <w:rPr>
          <w:rFonts w:ascii="Times New Roman" w:cs="Times New Roman" w:eastAsia="Times New Roman" w:hAnsi="Times New Roman"/>
          <w:sz w:val="12"/>
          <w:szCs w:val="12"/>
          <w:color w:val="000000"/>
        </w:rPr>
        <w:t>). In accordance with ASC 470, the Company determined on a creditor-by-creditor basis that the 2024 Credit Agreement was both a debt modification and extinguishment of the 2021 Credit Agreement. The</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Company expensed $3.9 million of previously unamortized fees and $4.8 million of debt issuance costs related to the refinancing which is reported in debt extinguishment and modification in the Company's Unaudited Consolidated Statements of Operations and Comprehensive Income (Loss).</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Outstanding borrowings under the Credit agreement accrue interest using a base rate or a SOFR rate plus an applicable margin per year, subject to a SOFR rate floor of 0.50%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loan parties are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September 30, 2024, the Company was in compliance with the covenants in the 2024 Credit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2021 Credit Agreement</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On April 27, 2021, the Company entered into the 2021 Credit Agreement with Truist which provides for: 1) a $300.0 million Initial Term Loan; 2) a $290.0 million Delayed Draw Term Loan (together, the "Term Facility"); and 3) a $40.0 million senior secured revolving credit facility. The First Amendment to the Credit Agreement on May 20, 2021, clarified and provided further detail on the Credit Agreement's terms. The Second Amendment to the Credit Agreement on September 17, 2021, increased the amount of the Delayed Draw Term Loan facility by $30.0 million to $320.0 million. The additional Delayed Draw Term Loan is part of the same class of term loans made pursuant to the original commitments under the Credit Agreement. The third amendment amended the reference rate from LIBOR to SOFR and increased the revolving facility from $40.0 million to $65.0 million effecting June 30, 2023. The fourth amendment increased the principal balance by $50.0 million and increased the quarterly principal amortization payment from $1.6 million to $1.7 million. Outstanding borrowings from the 2021 Credit Agreement were repaid on May 16, 2024 as part of the refinancing and the Company was released from any related commitments, guarantees and security interests.</w:t>
      </w:r>
    </w:p>
    <w:p>
      <w:pPr>
        <w:spacing w:after="0" w:line="12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Outstanding borrowings under the Credit Agreement accrued interest using either a base rate or a SOFR rate plus an applicable margin per year, subject to a SOFR rate floor of 1.00% per year. Accrued interest is payable on each interest payment date (as defined in the Credit Agreement).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Proceeds from the Initial Term Loan were used to partially fund the refinancing of the Company's existing credit facilities as of April 27, 2021. Proceeds from the Delayed Draw Term Loan were used to fund the Company's acquisition of Finxera. Proceeds from the Fourth Amendment were used to repay the balance of the revolving credit facility (used to acquire the Plastiq business) and added additional cash for general corporate purposes.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5" w:right="33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w:t>
            </w:r>
          </w:p>
        </w:tc>
        <w:tc>
          <w:tcPr>
            <w:tcW w:w="1120" w:type="dxa"/>
            <w:vAlign w:val="bottom"/>
            <w:tcBorders>
              <w:bottom w:val="single" w:sz="8" w:color="auto"/>
            </w:tcBorders>
          </w:tcPr>
          <w:p>
            <w:pPr>
              <w:spacing w:after="0"/>
              <w:rPr>
                <w:sz w:val="13"/>
                <w:szCs w:val="13"/>
                <w:color w:val="auto"/>
              </w:rPr>
            </w:pPr>
          </w:p>
        </w:tc>
      </w:tr>
      <w:tr>
        <w:trPr>
          <w:trHeight w:val="14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1"/>
              </w:rPr>
              <w:t>2023</w:t>
            </w:r>
          </w:p>
        </w:tc>
      </w:tr>
      <w:tr>
        <w:trPr>
          <w:trHeight w:val="142"/>
        </w:trPr>
        <w:tc>
          <w:tcPr>
            <w:tcW w:w="36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19,997</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55,461</w:t>
            </w:r>
          </w:p>
        </w:tc>
      </w:tr>
    </w:tbl>
    <w:p>
      <w:pPr>
        <w:spacing w:after="0" w:line="196" w:lineRule="exact"/>
        <w:rPr>
          <w:sz w:val="20"/>
          <w:szCs w:val="20"/>
          <w:color w:val="auto"/>
        </w:rPr>
      </w:pPr>
    </w:p>
    <w:p>
      <w:pPr>
        <w:ind w:left="428" w:right="440" w:hanging="212"/>
        <w:spacing w:after="0" w:line="222" w:lineRule="auto"/>
        <w:tabs>
          <w:tab w:leader="none" w:pos="420" w:val="left"/>
        </w:tabs>
        <w:numPr>
          <w:ilvl w:val="1"/>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$1.1 million and $3.3 million related to the accretion of contingent consideration from acquisitions for the three and nine months ended September 30, 2024, respectively, $0.6 million and $0.8 million for the three and nine months ended September 30, 2023, respectively.</w:t>
      </w:r>
    </w:p>
    <w:p>
      <w:pPr>
        <w:spacing w:after="0" w:line="134" w:lineRule="exact"/>
        <w:rPr>
          <w:rFonts w:ascii="Times New Roman" w:cs="Times New Roman" w:eastAsia="Times New Roman" w:hAnsi="Times New Roman"/>
          <w:sz w:val="16"/>
          <w:szCs w:val="16"/>
          <w:color w:val="auto"/>
          <w:vertAlign w:val="superscript"/>
        </w:rPr>
      </w:pPr>
    </w:p>
    <w:p>
      <w:pPr>
        <w:ind w:left="428" w:right="180" w:hanging="212"/>
        <w:spacing w:after="0" w:line="222" w:lineRule="auto"/>
        <w:tabs>
          <w:tab w:leader="none" w:pos="420" w:val="left"/>
        </w:tabs>
        <w:numPr>
          <w:ilvl w:val="1"/>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$0.4 million and $2.3 million for the three and nine months ended September 30, 2024, respectively, and $1.0 million and $2.8 million for the three and nine months ended September 30, 2023, respectively.</w:t>
      </w:r>
    </w:p>
    <w:p>
      <w:pPr>
        <w:spacing w:after="0" w:line="200" w:lineRule="exact"/>
        <w:rPr>
          <w:rFonts w:ascii="Times New Roman" w:cs="Times New Roman" w:eastAsia="Times New Roman" w:hAnsi="Times New Roman"/>
          <w:sz w:val="16"/>
          <w:szCs w:val="16"/>
          <w:color w:val="auto"/>
          <w:vertAlign w:val="superscript"/>
        </w:rPr>
      </w:pPr>
    </w:p>
    <w:p>
      <w:pPr>
        <w:spacing w:after="0" w:line="236" w:lineRule="exact"/>
        <w:rPr>
          <w:rFonts w:ascii="Times New Roman" w:cs="Times New Roman" w:eastAsia="Times New Roman" w:hAnsi="Times New Roman"/>
          <w:sz w:val="16"/>
          <w:szCs w:val="16"/>
          <w:color w:val="auto"/>
          <w:vertAlign w:val="superscript"/>
        </w:rPr>
      </w:pPr>
    </w:p>
    <w:p>
      <w:pPr>
        <w:ind w:left="208" w:hanging="208"/>
        <w:spacing w:after="0"/>
        <w:tabs>
          <w:tab w:leader="none" w:pos="20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Redeemable Senior Preferred Stock and Warrants</w:t>
      </w:r>
    </w:p>
    <w:p>
      <w:pPr>
        <w:spacing w:after="0" w:line="154"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the redemption value of the redeemable senior preferred stock for the periods presented:</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280" w:type="dxa"/>
            <w:vAlign w:val="bottom"/>
          </w:tcPr>
          <w:p>
            <w:pPr>
              <w:spacing w:after="0"/>
              <w:rPr>
                <w:sz w:val="13"/>
                <w:szCs w:val="13"/>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2"/>
        </w:trPr>
        <w:tc>
          <w:tcPr>
            <w:tcW w:w="46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w:t>
            </w:r>
          </w:p>
        </w:tc>
        <w:tc>
          <w:tcPr>
            <w:tcW w:w="26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88,064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unpaid dividend</w:t>
            </w: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43,498</w:t>
            </w:r>
          </w:p>
        </w:tc>
        <w:tc>
          <w:tcPr>
            <w:tcW w:w="0" w:type="dxa"/>
            <w:vAlign w:val="bottom"/>
          </w:tcPr>
          <w:p>
            <w:pPr>
              <w:spacing w:after="0"/>
              <w:rPr>
                <w:sz w:val="1"/>
                <w:szCs w:val="1"/>
                <w:color w:val="auto"/>
              </w:rPr>
            </w:pPr>
          </w:p>
        </w:tc>
      </w:tr>
      <w:tr>
        <w:trPr>
          <w:trHeight w:val="1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 payable</w:t>
            </w:r>
          </w:p>
        </w:tc>
        <w:tc>
          <w:tcPr>
            <w:tcW w:w="2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7,027</w:t>
            </w:r>
          </w:p>
        </w:tc>
        <w:tc>
          <w:tcPr>
            <w:tcW w:w="0" w:type="dxa"/>
            <w:vAlign w:val="bottom"/>
          </w:tcPr>
          <w:p>
            <w:pPr>
              <w:spacing w:after="0"/>
              <w:rPr>
                <w:sz w:val="1"/>
                <w:szCs w:val="1"/>
                <w:color w:val="auto"/>
              </w:rPr>
            </w:pPr>
          </w:p>
        </w:tc>
      </w:tr>
      <w:tr>
        <w:trPr>
          <w:trHeight w:val="142"/>
        </w:trPr>
        <w:tc>
          <w:tcPr>
            <w:tcW w:w="4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Redemption value</w:t>
            </w:r>
          </w:p>
        </w:tc>
        <w:tc>
          <w:tcPr>
            <w:tcW w:w="26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110,703</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275,525</w:t>
            </w:r>
          </w:p>
        </w:tc>
        <w:tc>
          <w:tcPr>
            <w:tcW w:w="0" w:type="dxa"/>
            <w:vAlign w:val="bottom"/>
          </w:tcPr>
          <w:p>
            <w:pPr>
              <w:spacing w:after="0"/>
              <w:rPr>
                <w:sz w:val="1"/>
                <w:szCs w:val="1"/>
                <w:color w:val="auto"/>
              </w:rPr>
            </w:pPr>
          </w:p>
        </w:tc>
      </w:tr>
      <w:tr>
        <w:trPr>
          <w:trHeight w:val="1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unamortized discounts and issuance costs</w:t>
            </w:r>
          </w:p>
        </w:tc>
        <w:tc>
          <w:tcPr>
            <w:tcW w:w="26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(16,920)</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Redeemable senior preferred stock, net of discounts and issuance costs:</w:t>
            </w:r>
          </w:p>
        </w:tc>
        <w:tc>
          <w:tcPr>
            <w:tcW w:w="264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105,098</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258,605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40" w:type="dxa"/>
            <w:vAlign w:val="bottom"/>
            <w:vMerge w:val="restart"/>
          </w:tcPr>
          <w:p>
            <w:pPr>
              <w:jc w:val="right"/>
              <w:ind w:right="1500"/>
              <w:spacing w:after="0"/>
              <w:rPr>
                <w:sz w:val="20"/>
                <w:szCs w:val="20"/>
                <w:color w:val="auto"/>
              </w:rPr>
            </w:pPr>
            <w:r>
              <w:rPr>
                <w:rFonts w:ascii="Times New Roman" w:cs="Times New Roman" w:eastAsia="Times New Roman" w:hAnsi="Times New Roman"/>
                <w:sz w:val="12"/>
                <w:szCs w:val="12"/>
                <w:color w:val="auto"/>
              </w:rPr>
              <w:t>19</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46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027"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5"/>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carrying amounts of the redeemable senior preferred stock for the periods presented:</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15"/>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tcPr>
          <w:p>
            <w:pPr>
              <w:spacing w:after="0"/>
              <w:rPr>
                <w:sz w:val="24"/>
                <w:szCs w:val="24"/>
                <w:color w:val="auto"/>
              </w:rPr>
            </w:pPr>
          </w:p>
        </w:tc>
        <w:tc>
          <w:tcPr>
            <w:tcW w:w="1560" w:type="dxa"/>
            <w:vAlign w:val="bottom"/>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42"/>
        </w:trPr>
        <w:tc>
          <w:tcPr>
            <w:tcW w:w="726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December 31, 2023</w:t>
            </w:r>
          </w:p>
        </w:tc>
        <w:tc>
          <w:tcPr>
            <w:tcW w:w="58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258,605</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Unpaid dividend on redeemable senior preferred stock</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4,699</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discounts and issuance costs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portion of dividend outstanding at March 31, 2024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7,122</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cash portion of dividend outstanding at December 31, 2023</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(7,027)</w:t>
            </w:r>
          </w:p>
        </w:tc>
      </w:tr>
      <w:tr>
        <w:trPr>
          <w:trHeight w:val="142"/>
        </w:trPr>
        <w:tc>
          <w:tcPr>
            <w:tcW w:w="72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March 31, 2024</w:t>
            </w:r>
          </w:p>
        </w:tc>
        <w:tc>
          <w:tcPr>
            <w:tcW w:w="5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264,240</w:t>
            </w:r>
          </w:p>
        </w:tc>
      </w:tr>
      <w:tr>
        <w:trPr>
          <w:trHeight w:val="153"/>
        </w:trPr>
        <w:tc>
          <w:tcPr>
            <w:tcW w:w="7840" w:type="dxa"/>
            <w:vAlign w:val="bottom"/>
            <w:gridSpan w:val="2"/>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Redemption of senior preferred stock</w:t>
            </w:r>
            <w:r>
              <w:rPr>
                <w:rFonts w:ascii="Times New Roman" w:cs="Times New Roman" w:eastAsia="Times New Roman" w:hAnsi="Times New Roman"/>
                <w:sz w:val="15"/>
                <w:szCs w:val="15"/>
                <w:color w:val="auto"/>
                <w:vertAlign w:val="superscript"/>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(166,268)</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Unpaid dividend on redeemable senior preferred stock</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discounts and issuance costs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10,139</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portion of dividend outstanding at June 30, 2024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cash portion of dividend outstanding at March 31, 2024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(7,122)</w:t>
            </w:r>
          </w:p>
        </w:tc>
      </w:tr>
      <w:tr>
        <w:trPr>
          <w:trHeight w:val="142"/>
        </w:trPr>
        <w:tc>
          <w:tcPr>
            <w:tcW w:w="72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June 30, 2024</w:t>
            </w:r>
          </w:p>
        </w:tc>
        <w:tc>
          <w:tcPr>
            <w:tcW w:w="5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105,684</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Unpaid dividend on redeemable senior preferred stock</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1,903</w:t>
            </w:r>
          </w:p>
        </w:tc>
      </w:tr>
      <w:tr>
        <w:trPr>
          <w:trHeight w:val="153"/>
        </w:trPr>
        <w:tc>
          <w:tcPr>
            <w:tcW w:w="78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Accretion of discounts and issuance cost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r>
      <w:tr>
        <w:trPr>
          <w:trHeight w:val="153"/>
        </w:trPr>
        <w:tc>
          <w:tcPr>
            <w:tcW w:w="7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cash portion of dividend outstanding at June 30, 2024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(2,824)</w:t>
            </w:r>
          </w:p>
        </w:tc>
      </w:tr>
      <w:tr>
        <w:trPr>
          <w:trHeight w:val="142"/>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5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105,098</w:t>
            </w:r>
          </w:p>
        </w:tc>
      </w:tr>
      <w:tr>
        <w:trPr>
          <w:trHeight w:val="20"/>
        </w:trPr>
        <w:tc>
          <w:tcPr>
            <w:tcW w:w="7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right="260" w:hanging="212"/>
        <w:spacing w:after="0" w:line="261" w:lineRule="auto"/>
        <w:tabs>
          <w:tab w:leader="none" w:pos="412"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On May 16, 2024, the Company used proceeds totaling $170.0 million from the refinancing (see </w:t>
      </w:r>
      <w:r>
        <w:rPr>
          <w:rFonts w:ascii="Times New Roman" w:cs="Times New Roman" w:eastAsia="Times New Roman" w:hAnsi="Times New Roman"/>
          <w:sz w:val="11"/>
          <w:szCs w:val="11"/>
          <w:u w:val="single" w:color="auto"/>
          <w:color w:val="0000FF"/>
        </w:rPr>
        <w:t>Note 8. Debt Obligations</w:t>
      </w:r>
      <w:r>
        <w:rPr>
          <w:rFonts w:ascii="Times New Roman" w:cs="Times New Roman" w:eastAsia="Times New Roman" w:hAnsi="Times New Roman"/>
          <w:sz w:val="11"/>
          <w:szCs w:val="11"/>
          <w:color w:val="auto"/>
        </w:rPr>
        <w:t>) to redeem a portion of the redeemable senior preferred stock. The redemption consisted of $136.9 million of redeemable senior preferred stock, $29.4 million for accumulated unpaid dividend, and $2.2 million of cash dividend and $1.5 million of accumulated unpaid dividend for the quarter ending June 30,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The dividend rate as of September 30, 2024 and December 31, 2023, was 17.6% and 17.7% respectively.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a summary of the dividends for the periods presented: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40" w:type="dxa"/>
            <w:vAlign w:val="bottom"/>
          </w:tcPr>
          <w:p>
            <w:pPr>
              <w:spacing w:after="0"/>
              <w:rPr>
                <w:sz w:val="14"/>
                <w:szCs w:val="14"/>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20" w:type="dxa"/>
            <w:vAlign w:val="bottom"/>
          </w:tcPr>
          <w:p>
            <w:pPr>
              <w:spacing w:after="0"/>
              <w:rPr>
                <w:sz w:val="14"/>
                <w:szCs w:val="14"/>
                <w:color w:val="auto"/>
              </w:rPr>
            </w:pPr>
          </w:p>
        </w:tc>
        <w:tc>
          <w:tcPr>
            <w:tcW w:w="2640" w:type="dxa"/>
            <w:vAlign w:val="bottom"/>
            <w:gridSpan w:val="4"/>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Dividends paid in cash</w:t>
            </w:r>
            <w:r>
              <w:rPr>
                <w:rFonts w:ascii="Times New Roman" w:cs="Times New Roman" w:eastAsia="Times New Roman" w:hAnsi="Times New Roman"/>
                <w:sz w:val="15"/>
                <w:szCs w:val="15"/>
                <w:color w:val="auto"/>
                <w:vertAlign w:val="superscript"/>
              </w:rPr>
              <w:t>(1)</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15,073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19,377</w:t>
            </w:r>
          </w:p>
        </w:tc>
        <w:tc>
          <w:tcPr>
            <w:tcW w:w="0" w:type="dxa"/>
            <w:vAlign w:val="bottom"/>
          </w:tcPr>
          <w:p>
            <w:pPr>
              <w:spacing w:after="0"/>
              <w:rPr>
                <w:sz w:val="1"/>
                <w:szCs w:val="1"/>
                <w:color w:val="auto"/>
              </w:rPr>
            </w:pPr>
          </w:p>
        </w:tc>
      </w:tr>
      <w:tr>
        <w:trPr>
          <w:trHeight w:val="153"/>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dividends accrued as part of the carrying value of redeemable senior preferred stock</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4,538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9,960</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13,382</w:t>
            </w:r>
          </w:p>
        </w:tc>
        <w:tc>
          <w:tcPr>
            <w:tcW w:w="0" w:type="dxa"/>
            <w:vAlign w:val="bottom"/>
          </w:tcPr>
          <w:p>
            <w:pPr>
              <w:spacing w:after="0"/>
              <w:rPr>
                <w:sz w:val="1"/>
                <w:szCs w:val="1"/>
                <w:color w:val="auto"/>
              </w:rPr>
            </w:pPr>
          </w:p>
        </w:tc>
      </w:tr>
      <w:tr>
        <w:trPr>
          <w:trHeight w:val="158"/>
        </w:trPr>
        <w:tc>
          <w:tcPr>
            <w:tcW w:w="5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Dividends declared</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4,786</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25,033</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32,759</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6"/>
          <w:szCs w:val="16"/>
          <w:color w:val="212529"/>
          <w:vertAlign w:val="superscript"/>
        </w:rPr>
        <w:t>(1)</w:t>
      </w:r>
      <w:r>
        <w:rPr>
          <w:sz w:val="20"/>
          <w:szCs w:val="20"/>
          <w:color w:val="auto"/>
        </w:rPr>
        <w:tab/>
      </w:r>
      <w:r>
        <w:rPr>
          <w:rFonts w:ascii="Times New Roman" w:cs="Times New Roman" w:eastAsia="Times New Roman" w:hAnsi="Times New Roman"/>
          <w:sz w:val="12"/>
          <w:szCs w:val="12"/>
          <w:color w:val="212529"/>
        </w:rPr>
        <w:t xml:space="preserve">Dividend payable for the three months ended </w:t>
      </w:r>
      <w:r>
        <w:rPr>
          <w:rFonts w:ascii="Times New Roman" w:cs="Times New Roman" w:eastAsia="Times New Roman" w:hAnsi="Times New Roman"/>
          <w:sz w:val="12"/>
          <w:szCs w:val="12"/>
          <w:color w:val="000000"/>
        </w:rPr>
        <w:t>September 30, 2023 was paid on October 2, 2023</w:t>
      </w:r>
      <w:r>
        <w:rPr>
          <w:rFonts w:ascii="Times New Roman" w:cs="Times New Roman" w:eastAsia="Times New Roman" w:hAnsi="Times New Roman"/>
          <w:sz w:val="12"/>
          <w:szCs w:val="12"/>
          <w:color w:val="212529"/>
        </w:rPr>
        <w:t>.</w:t>
      </w:r>
    </w:p>
    <w:p>
      <w:pPr>
        <w:spacing w:after="0" w:line="13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 dividend rate (capped at 22.50%) is equal to the three-month term SOFR (minimum of 1.00%), plus the three-month term SOFR spread adjustment of 0.26% plus the applicable margin of 12.00%. The dividend rate is subject to future increases if the Company doesn't comply with the minimum cash payment requirements outlined in the agreement, which includes required payments of dividends, required payments related to redemption or required prepayments. The dividend rate may also increase if the Company fails to obtain the required stockholder approval for a forced sale transaction triggered by investors or if an event of default as outlined in the agreement occurs.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3" w:name="page24"/>
    <w:bookmarkEnd w:id="23"/>
    <w:p>
      <w:pPr>
        <w:ind w:left="8" w:right="140"/>
        <w:spacing w:after="0" w:line="327" w:lineRule="auto"/>
        <w:rPr>
          <w:sz w:val="20"/>
          <w:szCs w:val="20"/>
          <w:color w:val="auto"/>
        </w:rPr>
      </w:pPr>
      <w:r>
        <w:rPr>
          <w:rFonts w:ascii="Times New Roman" w:cs="Times New Roman" w:eastAsia="Times New Roman" w:hAnsi="Times New Roman"/>
          <w:sz w:val="11"/>
          <w:szCs w:val="11"/>
          <w:color w:val="auto"/>
        </w:rPr>
        <w:t>In 2021, the Company issued warrants to purchase up to 1,803,841 shares of the Common Stock, at an exercise price of $0.001. As of September 30, 2024,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389"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b w:val="1"/>
          <w:bCs w:val="1"/>
          <w:color w:val="auto"/>
        </w:rPr>
        <w:t>10.</w:t>
      </w:r>
      <w:r>
        <w:rPr>
          <w:sz w:val="20"/>
          <w:szCs w:val="20"/>
          <w:color w:val="auto"/>
        </w:rPr>
        <w:tab/>
      </w:r>
      <w:r>
        <w:rPr>
          <w:rFonts w:ascii="Times New Roman" w:cs="Times New Roman" w:eastAsia="Times New Roman" w:hAnsi="Times New Roman"/>
          <w:sz w:val="11"/>
          <w:szCs w:val="11"/>
          <w:b w:val="1"/>
          <w:bCs w:val="1"/>
          <w:color w:val="auto"/>
        </w:rPr>
        <w:t>Income Taxes</w:t>
      </w:r>
    </w:p>
    <w:p>
      <w:pPr>
        <w:spacing w:after="0" w:line="154" w:lineRule="exact"/>
        <w:rPr>
          <w:sz w:val="20"/>
          <w:szCs w:val="20"/>
          <w:color w:val="auto"/>
        </w:rPr>
      </w:pPr>
    </w:p>
    <w:p>
      <w:pPr>
        <w:jc w:val="both"/>
        <w:ind w:left="8" w:right="40"/>
        <w:spacing w:after="0" w:line="265"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and nine months ended September 30, 2024, was 31.6% and 37.3%, respectively, compared to a consolidated effective income tax rate of 102.1% and 122.5% for the three and nine months ended September 30, 2023, respectively. The effective rates differed from the statutory rate of 21.0% primarily due to an increase in the valuation allowance against certain business interest carryover deferred tax assets, and certain forecasted nondeductible expenses.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ind w:left="8"/>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87"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September 30, 2024,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13" w:lineRule="exact"/>
        <w:rPr>
          <w:sz w:val="20"/>
          <w:szCs w:val="20"/>
          <w:color w:val="auto"/>
        </w:rPr>
      </w:pPr>
    </w:p>
    <w:p>
      <w:pPr>
        <w:ind w:left="288" w:hanging="288"/>
        <w:spacing w:after="0"/>
        <w:tabs>
          <w:tab w:leader="none" w:pos="28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12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September 30, 2024 and December 31, 2023, the Company has not issued any shares of preferred stock.</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In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There have been no shares repurchased under this plan since December 2022. As of September 30, 2024, the Company has purchased 1,309,374 shares for $5.7 million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02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59"/>
        </w:trPr>
        <w:tc>
          <w:tcPr>
            <w:tcW w:w="5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12.  Stock-based Compensation</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8"/>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expense was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60" w:type="dxa"/>
            <w:vAlign w:val="bottom"/>
          </w:tcPr>
          <w:p>
            <w:pPr>
              <w:spacing w:after="0"/>
              <w:rPr>
                <w:sz w:val="14"/>
                <w:szCs w:val="14"/>
                <w:color w:val="auto"/>
              </w:rPr>
            </w:pPr>
          </w:p>
        </w:tc>
        <w:tc>
          <w:tcPr>
            <w:tcW w:w="244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56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w:t>
            </w:r>
          </w:p>
        </w:tc>
        <w:tc>
          <w:tcPr>
            <w:tcW w:w="8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4,603</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5,147</w:t>
            </w:r>
          </w:p>
        </w:tc>
      </w:tr>
      <w:tr>
        <w:trPr>
          <w:trHeight w:val="153"/>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r>
      <w:tr>
        <w:trPr>
          <w:trHeight w:val="158"/>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1,416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1,501</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4,878</w:t>
            </w: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5,183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benefit for stock-based compensation was immaterial for the three and nine months ended September 30, 2024 and 2023. No stock-based compensation has been capitalized.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2018 Plan</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2024, the Company had 3,121,189 shares available for issuance under the 2018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2021 Stock Purchase Plan</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2021 Stock Purchase Plan provides for up to 200,000 shares to be purchased under the plan.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1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at 95% of the lesser of the fair value on the first and last trading day of each offering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2024, the Company had 57,254 shares available for issuance under the 2021 Stock Purchase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Non-voting Incentive Units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Company issued non-voting incentive units to certain employees and partners in six subsidiaries. These non-voting incentive units were determined to be equity and are accounted for under ASC 718 Stock Compensation.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5" w:name="page26"/>
    <w:bookmarkEnd w:id="25"/>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Related Party Transactions</w:t>
      </w:r>
    </w:p>
    <w:p>
      <w:pPr>
        <w:spacing w:after="0" w:line="1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2"/>
          <w:szCs w:val="12"/>
          <w:color w:val="auto"/>
        </w:rPr>
        <w:t>In February 2019, PHOT, a subsidiary of the Company, received a contribution of substantially all of the operating assets of eTab and Cumulus under asset contribution agreements. PHOT is a part of the Company's SMB reportable segment. These contributed assets were primarily composed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2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w:t>
      </w:r>
    </w:p>
    <w:p>
      <w:pPr>
        <w:spacing w:after="0" w:line="11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Chief Operating Officer (“COO”) received 413,081 shares of common stock of the Company in exchange for her 24.1% interest.</w:t>
      </w:r>
    </w:p>
    <w:p>
      <w:pPr>
        <w:spacing w:after="0" w:line="11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2"/>
          <w:szCs w:val="12"/>
          <w:color w:val="auto"/>
        </w:rPr>
        <w:t>On October 31, 2023, a lawsuit was filed alleging that the Board breached its fiduciary duties by approving the above mentioned exchange transaction. The Company denied any wrongdoing. The lawsuit was settled on January 30, 2024, wherein the Company agreed to unwind the exchange transaction and received previously issued shares of common stock of the Company and promissory notes for the amount of cash paid from the CEO, COO and others in exchange of the reissuance of PHOT redeemable preferred units. The returned shares of common stock of the Company are recorded as treasury stock at their closing market price as of the settlement date of January 30, 2024. The reissued PHOT redeemable preferred units are recorded as redeemable NCI at their estimated fair value as of the settlement date on the Company’s Unaudited Consolidated Balance Sheets.</w:t>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As of May 30, 2024, the Company approved redemption of PHOT redeemable preferred units for cash, common stock of the Company or a combination of both, at the sole discretion of the Company. The redeemable preferred units were accreted to their redemption value of $5.9 million as of May 30, 2024, through net loss available to common stockholders in the Company’s Unaudited Statements of Operations and Comprehensive Income (Loss). The exchange value of the Company's common stock was established based on the 30-day volume weighted average close price adjusted for market illiquidity. During the quarter ended June 30, 2024, the PHOT redeemable preferred units held by the CEO were redeemed in cash for $2.1 million and the promissory notes were satisfied. During the quarter ending September 30, 2024, the PHOT redeemable preferred units held by the COO were redeemed for 408,013 shares of the Company's common stock and PHOT redeemable preferred units held by other holders were redeemed for 404,628 shares of the Company's common stock.</w:t>
      </w:r>
    </w:p>
    <w:p>
      <w:pPr>
        <w:spacing w:after="0" w:line="200" w:lineRule="exact"/>
        <w:rPr>
          <w:sz w:val="20"/>
          <w:szCs w:val="20"/>
          <w:color w:val="auto"/>
        </w:rPr>
      </w:pPr>
    </w:p>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Based on existing contracts in place, the Company is committed to pay minimum processing fees under these agreements of approximately $21.6 million in 2024 and $25.6 million in 2025.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i w:val="1"/>
          <w:iCs w:val="1"/>
          <w:color w:val="auto"/>
        </w:rPr>
        <w:t>Annual Commitment with Vendor</w:t>
      </w:r>
    </w:p>
    <w:p>
      <w:pPr>
        <w:spacing w:after="0" w:line="15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Effective January 1, 2022, the Company entered into a three year business cooperation agreement with a vendor to resell its services. Under the agreement, the Company purchased vendor services worth $1.5 million for the year ended December 31, 2023, and is committed to purchase vendor services worth $2.3 million in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Capital Commitments</w:t>
      </w:r>
    </w:p>
    <w:p>
      <w:pPr>
        <w:spacing w:after="0" w:line="15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The Company committed to capital contributions to fund the operations of certain subsidiaries totaling $26.0 million as of September 30, 2024 and December 31, 2023. The Company is obligated to make the contributions within 10 business days of receiving notice for such contribution from the subsidiary. As of September 30, 2024 and December 31, 2023, the Company has contributed $16.3 million and $11.8 million, respectively.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9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Contingent Consideration</w:t>
            </w: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288"/>
        </w:trPr>
        <w:tc>
          <w:tcPr>
            <w:tcW w:w="890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 of the Company's contingent consideration liabilities related to completed acquisitions:</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5"/>
        </w:trPr>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Contingent Consideration Liabilities</w:t>
            </w:r>
          </w:p>
        </w:tc>
      </w:tr>
      <w:tr>
        <w:trPr>
          <w:trHeight w:val="142"/>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13,438</w:t>
            </w:r>
          </w:p>
        </w:tc>
      </w:tr>
      <w:tr>
        <w:trPr>
          <w:trHeight w:val="153"/>
        </w:trPr>
        <w:tc>
          <w:tcPr>
            <w:tcW w:w="8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Accretion of contingent consideration</w:t>
            </w:r>
          </w:p>
        </w:tc>
        <w:tc>
          <w:tcPr>
            <w:tcW w:w="1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r>
      <w:tr>
        <w:trPr>
          <w:trHeight w:val="153"/>
        </w:trPr>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160" w:type="dxa"/>
            <w:vAlign w:val="bottom"/>
            <w:tcBorders>
              <w:bottom w:val="single" w:sz="8" w:color="auto"/>
            </w:tcBorders>
            <w:shd w:val="clear" w:color="auto" w:fill="CCEEFF"/>
          </w:tcPr>
          <w:p>
            <w:pPr>
              <w:spacing w:after="0"/>
              <w:rPr>
                <w:sz w:val="13"/>
                <w:szCs w:val="1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w:t>
            </w:r>
          </w:p>
        </w:tc>
      </w:tr>
      <w:tr>
        <w:trPr>
          <w:trHeight w:val="142"/>
        </w:trPr>
        <w:tc>
          <w:tcPr>
            <w:tcW w:w="8900" w:type="dxa"/>
            <w:vAlign w:val="bottom"/>
          </w:tcPr>
          <w:p>
            <w:pPr>
              <w:spacing w:after="0"/>
              <w:rPr>
                <w:sz w:val="20"/>
                <w:szCs w:val="20"/>
                <w:color w:val="auto"/>
              </w:rPr>
            </w:pPr>
            <w:r>
              <w:rPr>
                <w:rFonts w:ascii="Times New Roman" w:cs="Times New Roman" w:eastAsia="Times New Roman" w:hAnsi="Times New Roman"/>
                <w:sz w:val="12"/>
                <w:szCs w:val="12"/>
                <w:color w:val="auto"/>
              </w:rPr>
              <w:t>March 31, 2024</w:t>
            </w:r>
          </w:p>
        </w:tc>
        <w:tc>
          <w:tcPr>
            <w:tcW w:w="16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11,339</w:t>
            </w:r>
          </w:p>
        </w:tc>
      </w:tr>
      <w:tr>
        <w:trPr>
          <w:trHeight w:val="153"/>
        </w:trPr>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discount on contingent consideration</w:t>
            </w:r>
          </w:p>
        </w:tc>
        <w:tc>
          <w:tcPr>
            <w:tcW w:w="160" w:type="dxa"/>
            <w:vAlign w:val="bottom"/>
            <w:shd w:val="clear" w:color="auto" w:fill="CCEEFF"/>
          </w:tcPr>
          <w:p>
            <w:pPr>
              <w:spacing w:after="0"/>
              <w:rPr>
                <w:sz w:val="13"/>
                <w:szCs w:val="1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1,240</w:t>
            </w:r>
          </w:p>
        </w:tc>
      </w:tr>
      <w:tr>
        <w:trPr>
          <w:trHeight w:val="153"/>
        </w:trPr>
        <w:tc>
          <w:tcPr>
            <w:tcW w:w="8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(1,085)</w:t>
            </w:r>
          </w:p>
        </w:tc>
      </w:tr>
      <w:tr>
        <w:trPr>
          <w:trHeight w:val="142"/>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June 30, 2024</w:t>
            </w:r>
          </w:p>
        </w:tc>
        <w:tc>
          <w:tcPr>
            <w:tcW w:w="160" w:type="dxa"/>
            <w:vAlign w:val="bottom"/>
            <w:shd w:val="clear" w:color="auto" w:fill="CCEEFF"/>
          </w:tcPr>
          <w:p>
            <w:pPr>
              <w:spacing w:after="0"/>
              <w:rPr>
                <w:sz w:val="12"/>
                <w:szCs w:val="1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11,494</w:t>
            </w:r>
          </w:p>
        </w:tc>
      </w:tr>
      <w:tr>
        <w:trPr>
          <w:trHeight w:val="153"/>
        </w:trPr>
        <w:tc>
          <w:tcPr>
            <w:tcW w:w="8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Accretion of discount on contingent consideration</w:t>
            </w:r>
          </w:p>
        </w:tc>
        <w:tc>
          <w:tcPr>
            <w:tcW w:w="1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r>
      <w:tr>
        <w:trPr>
          <w:trHeight w:val="153"/>
        </w:trPr>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w:t>
            </w:r>
          </w:p>
        </w:tc>
        <w:tc>
          <w:tcPr>
            <w:tcW w:w="160" w:type="dxa"/>
            <w:vAlign w:val="bottom"/>
            <w:tcBorders>
              <w:bottom w:val="single" w:sz="8" w:color="auto"/>
            </w:tcBorders>
            <w:shd w:val="clear" w:color="auto" w:fill="CCEEFF"/>
          </w:tcPr>
          <w:p>
            <w:pPr>
              <w:spacing w:after="0"/>
              <w:rPr>
                <w:sz w:val="13"/>
                <w:szCs w:val="1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r>
      <w:tr>
        <w:trPr>
          <w:trHeight w:val="142"/>
        </w:trPr>
        <w:tc>
          <w:tcPr>
            <w:tcW w:w="8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11,720</w:t>
            </w: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49" w:lineRule="exact"/>
        <w:rPr>
          <w:sz w:val="20"/>
          <w:szCs w:val="20"/>
          <w:color w:val="auto"/>
        </w:rPr>
      </w:pPr>
    </w:p>
    <w:p>
      <w:pPr>
        <w:jc w:val="both"/>
        <w:ind w:right="60"/>
        <w:spacing w:after="0" w:line="309" w:lineRule="auto"/>
        <w:rPr>
          <w:sz w:val="20"/>
          <w:szCs w:val="20"/>
          <w:color w:val="auto"/>
        </w:rPr>
      </w:pPr>
      <w:r>
        <w:rPr>
          <w:rFonts w:ascii="Times New Roman" w:cs="Times New Roman" w:eastAsia="Times New Roman" w:hAnsi="Times New Roman"/>
          <w:sz w:val="11"/>
          <w:szCs w:val="11"/>
          <w:color w:val="auto"/>
        </w:rPr>
        <w:t>The Company is involved in a case that was filed on October 11, 2023 and is currently pending in the United States District Court for the Northern District of California (the “Complaint”). The Complaint is a putative class action against The Credit Wholesale Company, Inc. (“Wholesale”), Priority Technology Holdings, Inc., Priority Payment Systems (“PPS”), LLC and Wells Fargo Bank, N.A. (“Wells Fargo”). The Complaint alleges that Wholesale is an agent</w:t>
      </w:r>
    </w:p>
    <w:p>
      <w:pPr>
        <w:ind w:right="220"/>
        <w:spacing w:after="0" w:line="267" w:lineRule="auto"/>
        <w:rPr>
          <w:sz w:val="20"/>
          <w:szCs w:val="20"/>
          <w:color w:val="auto"/>
        </w:rPr>
      </w:pPr>
      <w:r>
        <w:rPr>
          <w:rFonts w:ascii="Times New Roman" w:cs="Times New Roman" w:eastAsia="Times New Roman" w:hAnsi="Times New Roman"/>
          <w:sz w:val="12"/>
          <w:szCs w:val="12"/>
          <w:color w:val="auto"/>
        </w:rPr>
        <w:t xml:space="preserve">of Priority, PPS and Wells Fargo and that it made non-consensual recordation of telephonic communications with California businesses in violation of California Invasion of Privacy Act (the “Act”). </w:t>
      </w:r>
      <w:r>
        <w:rPr>
          <w:rFonts w:ascii="Times New Roman" w:cs="Times New Roman" w:eastAsia="Times New Roman" w:hAnsi="Times New Roman"/>
          <w:sz w:val="14"/>
          <w:szCs w:val="14"/>
          <w:color w:val="auto"/>
        </w:rPr>
        <w:t>T</w:t>
      </w:r>
      <w:r>
        <w:rPr>
          <w:rFonts w:ascii="Times New Roman" w:cs="Times New Roman" w:eastAsia="Times New Roman" w:hAnsi="Times New Roman"/>
          <w:sz w:val="12"/>
          <w:szCs w:val="12"/>
          <w:color w:val="auto"/>
        </w:rPr>
        <w:t>he Complaint seeks to certify a class of affected businesses and an award of $5,000 per violation of the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While providing SMB Acquiring, B2B Payables, and Enterprise Payments processing services, Priority manages funds that are held on behalf of its customers. Because Priority is not a member bank, these customer funds are held in bank accounts maintained with member banks pursuant to sponsorship agreements which require, among other things, that the Company abide by the by-laws and regulations of the card associations and MTL regulators.</w:t>
      </w:r>
    </w:p>
    <w:p>
      <w:pPr>
        <w:spacing w:after="0" w:line="11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 xml:space="preserve">As of September 30, 2024, the Company's customer account balances of $847.2 million are maintained in accounts with certain FIs which are eligible to pass-through insurance subject to FDIC rules and regulations (refer to </w:t>
      </w:r>
      <w:r>
        <w:rPr>
          <w:rFonts w:ascii="Times New Roman" w:cs="Times New Roman" w:eastAsia="Times New Roman" w:hAnsi="Times New Roman"/>
          <w:sz w:val="12"/>
          <w:szCs w:val="12"/>
          <w:u w:val="single" w:color="auto"/>
          <w:color w:val="0000FF"/>
        </w:rPr>
        <w:t>Note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Settlement Assets and Customer/Subscriber Account Balances and Related Obligations</w:t>
      </w:r>
      <w:r>
        <w:rPr>
          <w:rFonts w:ascii="Times New Roman" w:cs="Times New Roman" w:eastAsia="Times New Roman" w:hAnsi="Times New Roman"/>
          <w:sz w:val="12"/>
          <w:szCs w:val="12"/>
          <w:color w:val="000000"/>
        </w:rPr>
        <w:t>) A majority of the Company's cash, restricted cash and off-balance sheet settlement funds are held in certain FIs, substantially all of which is in</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excess of FDIC limits. The Company does not believe it is exposed to any significant credit risk from these transactions.</w:t>
      </w: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15.</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The Company's contingent consideration liabilities derived from business combinations and are classified within Level 3 of the fair value hierarchy due to the uncertainty of the fair value measurement created by the absence of quoted market prices, the inherent lack of liquidity and unobservable inputs used to measure fair value which require judgement. The Company uses valuation techniques including discounted cash flow analysis based on cash flow projections and Monte Carlo simulations to estimate fair value based on projection period and assumed growth rates. A change in inputs in the valuation techniques used might result in a significantly higher or lower fair value measurement than what is reported.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Liabilities measured at fair value on a recurring basis consisted of the following:</w:t>
            </w:r>
          </w:p>
        </w:tc>
        <w:tc>
          <w:tcPr>
            <w:tcW w:w="2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315"/>
        </w:trPr>
        <w:tc>
          <w:tcPr>
            <w:tcW w:w="50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Fair Value Hierarchy</w:t>
            </w:r>
          </w:p>
        </w:tc>
        <w:tc>
          <w:tcPr>
            <w:tcW w:w="28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42"/>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current portion</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Level 3</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5,951</w:t>
            </w:r>
          </w:p>
        </w:tc>
      </w:tr>
      <w:tr>
        <w:trPr>
          <w:trHeight w:val="153"/>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Contingent consideration, noncurrent portion</w:t>
            </w:r>
          </w:p>
        </w:tc>
        <w:tc>
          <w:tcPr>
            <w:tcW w:w="222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Level 3</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7,487</w:t>
            </w:r>
          </w:p>
        </w:tc>
      </w:tr>
      <w:tr>
        <w:trPr>
          <w:trHeight w:val="158"/>
        </w:trPr>
        <w:tc>
          <w:tcPr>
            <w:tcW w:w="5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 contingent consideration</w:t>
            </w:r>
          </w:p>
        </w:tc>
        <w:tc>
          <w:tcPr>
            <w:tcW w:w="2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11,720</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13,438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and nine months ended September 30, 2024, there were no transfers into, out of, or between levels of the fair value hierarchy.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$6.3 million and $5.2 million at September 30, 2024 and December 31, 2023, respectively. On the fair value hierarchy, Level 3 inputs are used to estimate the fair value of these notes receivable.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28" w:name="page29"/>
    <w:bookmarkEnd w:id="28"/>
    <w:p>
      <w:pPr>
        <w:ind w:right="440"/>
        <w:spacing w:after="0" w:line="279" w:lineRule="auto"/>
        <w:rPr>
          <w:sz w:val="20"/>
          <w:szCs w:val="20"/>
          <w:color w:val="auto"/>
        </w:rPr>
      </w:pPr>
      <w:r>
        <w:rPr>
          <w:rFonts w:ascii="Times New Roman" w:cs="Times New Roman" w:eastAsia="Times New Roman" w:hAnsi="Times New Roman"/>
          <w:sz w:val="12"/>
          <w:szCs w:val="12"/>
          <w:color w:val="auto"/>
        </w:rPr>
        <w:t>The fair value of the term facility was estimated to be $832.9 million and $651.9 million at September 30, 2024 and December 31, 2023, respectively, and was estimated using binding and non-binding quoted prices in an active secondary market, which considers the credit risk and market related conditions, and is within Level 2 of the fair value hierarchy.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5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16.</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three reportable segments:</w:t>
      </w:r>
    </w:p>
    <w:p>
      <w:pPr>
        <w:spacing w:after="0" w:line="148" w:lineRule="exact"/>
        <w:rPr>
          <w:sz w:val="20"/>
          <w:szCs w:val="20"/>
          <w:color w:val="auto"/>
        </w:rPr>
      </w:pPr>
    </w:p>
    <w:p>
      <w:pPr>
        <w:ind w:left="420" w:right="420" w:hanging="212"/>
        <w:spacing w:after="0" w:line="283" w:lineRule="auto"/>
        <w:tabs>
          <w:tab w:leader="none" w:pos="417" w:val="left"/>
        </w:tabs>
        <w:numPr>
          <w:ilvl w:val="0"/>
          <w:numId w:val="1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SMB Payments – </w:t>
      </w:r>
      <w:r>
        <w:rPr>
          <w:rFonts w:ascii="Times New Roman" w:cs="Times New Roman" w:eastAsia="Times New Roman" w:hAnsi="Times New Roman"/>
          <w:sz w:val="12"/>
          <w:szCs w:val="12"/>
          <w:color w:val="auto"/>
        </w:rPr>
        <w:t>Provides full-service acquiring and payment-enabled solutions for B2C transactions, leveraging Priority's proprietary software platform, distributed through ISO, direct sales and vertically focused ISV</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channels.</w:t>
      </w:r>
    </w:p>
    <w:p>
      <w:pPr>
        <w:spacing w:after="0" w:line="106" w:lineRule="exact"/>
        <w:rPr>
          <w:rFonts w:ascii="Times New Roman" w:cs="Times New Roman" w:eastAsia="Times New Roman" w:hAnsi="Times New Roman"/>
          <w:sz w:val="12"/>
          <w:szCs w:val="12"/>
          <w:i w:val="1"/>
          <w:iCs w:val="1"/>
          <w:color w:val="auto"/>
        </w:rPr>
      </w:pPr>
    </w:p>
    <w:p>
      <w:pPr>
        <w:ind w:left="420" w:right="40" w:hanging="212"/>
        <w:spacing w:after="0" w:line="283" w:lineRule="auto"/>
        <w:tabs>
          <w:tab w:leader="none" w:pos="417" w:val="left"/>
        </w:tabs>
        <w:numPr>
          <w:ilvl w:val="0"/>
          <w:numId w:val="1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B2B Payments – </w:t>
      </w:r>
      <w:r>
        <w:rPr>
          <w:rFonts w:ascii="Times New Roman" w:cs="Times New Roman" w:eastAsia="Times New Roman" w:hAnsi="Times New Roman"/>
          <w:sz w:val="12"/>
          <w:szCs w:val="12"/>
          <w:color w:val="auto"/>
        </w:rPr>
        <w:t>provides market-leading AP automation solutions to corporations, software partners and industry leading FIs (including Citibank and Mastercard) in addition to improving cash flow by providing instant access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working capital.</w:t>
      </w:r>
    </w:p>
    <w:p>
      <w:pPr>
        <w:spacing w:after="0" w:line="106"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Enterprise Payments – </w:t>
      </w:r>
      <w:r>
        <w:rPr>
          <w:rFonts w:ascii="Times New Roman" w:cs="Times New Roman" w:eastAsia="Times New Roman" w:hAnsi="Times New Roman"/>
          <w:sz w:val="12"/>
          <w:szCs w:val="12"/>
          <w:color w:val="auto"/>
        </w:rPr>
        <w:t>Provides embedded finance and treasury solutions to enterprise customers to modernize legacy platforms and accelerate software partners' strategies to monetize payments.</w:t>
      </w:r>
    </w:p>
    <w:p>
      <w:pPr>
        <w:spacing w:after="0" w:line="15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Company does not have dedicated assets assigned to any particular reportable segment and such information is not available and continues to be aggregated. Corporate includes costs of corporate functions and shared services not allocated to our reportable segments.</w:t>
      </w:r>
    </w:p>
    <w:p>
      <w:pPr>
        <w:spacing w:after="0" w:line="111" w:lineRule="exact"/>
        <w:rPr>
          <w:sz w:val="20"/>
          <w:szCs w:val="20"/>
          <w:color w:val="auto"/>
        </w:rPr>
      </w:pPr>
    </w:p>
    <w:p>
      <w:pPr>
        <w:jc w:val="both"/>
        <w:ind w:right="80"/>
        <w:spacing w:after="0" w:line="291" w:lineRule="auto"/>
        <w:rPr>
          <w:sz w:val="20"/>
          <w:szCs w:val="20"/>
          <w:color w:val="auto"/>
        </w:rPr>
      </w:pPr>
      <w:r>
        <w:rPr>
          <w:rFonts w:ascii="Times New Roman" w:cs="Times New Roman" w:eastAsia="Times New Roman" w:hAnsi="Times New Roman"/>
          <w:sz w:val="11"/>
          <w:szCs w:val="11"/>
          <w:color w:val="auto"/>
        </w:rPr>
        <w:t>Due to the recent acquisitions, growth, implementation of a shared services model and management of a single unified commerce engine across our payments infrastructure, the costs of operating overhead and shared services becomes less identifiable at the segment level. Therefore, the process of review of the CODM was updated during the quarter ended June 30, 2024. The CODM's review of segment performance and allocation of resources are based on adjusted earnings before interest, income tax and depreciation and amortization expenses ("EBITDA"). Adjusted EBITDA at each segment level includes revenues of the segment, less costs of revenue (excluding depreciation and amortization) and operating expenses that are directly related to those revenues. Operating overhead and shared costs are managed centrally and included in the corporate segment. All comparative periods have been adjusted to reflect this update.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(loss) before income taxes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158,770</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22,143</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47,099</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227,049</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(16,876)</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54,641</w:t>
            </w:r>
          </w:p>
        </w:tc>
        <w:tc>
          <w:tcPr>
            <w:tcW w:w="0" w:type="dxa"/>
            <w:vAlign w:val="bottom"/>
          </w:tcPr>
          <w:p>
            <w:pPr>
              <w:spacing w:after="0"/>
              <w:rPr>
                <w:sz w:val="1"/>
                <w:szCs w:val="1"/>
                <w:color w:val="auto"/>
              </w:rPr>
            </w:pPr>
          </w:p>
        </w:tc>
      </w:tr>
      <w:tr>
        <w:trPr>
          <w:trHeight w:val="376"/>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140,241</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35,174</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189,015</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27,613</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29,757</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(13,767)</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44,962</w:t>
            </w:r>
          </w:p>
        </w:tc>
        <w:tc>
          <w:tcPr>
            <w:tcW w:w="0" w:type="dxa"/>
            <w:vAlign w:val="bottom"/>
          </w:tcPr>
          <w:p>
            <w:pPr>
              <w:spacing w:after="0"/>
              <w:rPr>
                <w:sz w:val="1"/>
                <w:szCs w:val="1"/>
                <w:color w:val="auto"/>
              </w:rPr>
            </w:pPr>
          </w:p>
        </w:tc>
      </w:tr>
      <w:tr>
        <w:trPr>
          <w:trHeight w:val="808"/>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59"/>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457,875</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65,368</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131,758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652,635</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(47,853)</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152,532</w:t>
            </w:r>
          </w:p>
        </w:tc>
        <w:tc>
          <w:tcPr>
            <w:tcW w:w="0" w:type="dxa"/>
            <w:vAlign w:val="bottom"/>
          </w:tcPr>
          <w:p>
            <w:pPr>
              <w:spacing w:after="0"/>
              <w:rPr>
                <w:sz w:val="1"/>
                <w:szCs w:val="1"/>
                <w:color w:val="auto"/>
              </w:rPr>
            </w:pPr>
          </w:p>
        </w:tc>
      </w:tr>
      <w:tr>
        <w:trPr>
          <w:trHeight w:val="520"/>
        </w:trPr>
        <w:tc>
          <w:tcPr>
            <w:tcW w:w="3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Nine Months Ended September 30, 2023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0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Eliminations</w:t>
            </w:r>
          </w:p>
        </w:tc>
        <w:tc>
          <w:tcPr>
            <w:tcW w:w="140" w:type="dxa"/>
            <w:vAlign w:val="bottom"/>
          </w:tcPr>
          <w:p>
            <w:pPr>
              <w:spacing w:after="0"/>
              <w:rPr>
                <w:sz w:val="9"/>
                <w:szCs w:val="9"/>
                <w:color w:val="auto"/>
              </w:rPr>
            </w:pP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443,122</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19,744</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93,919</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556,333</w:t>
            </w:r>
          </w:p>
        </w:tc>
        <w:tc>
          <w:tcPr>
            <w:tcW w:w="0" w:type="dxa"/>
            <w:vAlign w:val="bottom"/>
          </w:tcPr>
          <w:p>
            <w:pPr>
              <w:spacing w:after="0"/>
              <w:rPr>
                <w:sz w:val="1"/>
                <w:szCs w:val="1"/>
                <w:color w:val="auto"/>
              </w:rPr>
            </w:pPr>
          </w:p>
        </w:tc>
      </w:tr>
      <w:tr>
        <w:trPr>
          <w:trHeight w:val="155"/>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84,449</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77,853</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(40,484)</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123,695</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040" w:type="dxa"/>
            <w:vAlign w:val="bottom"/>
          </w:tcPr>
          <w:p>
            <w:pPr>
              <w:spacing w:after="0"/>
              <w:rPr>
                <w:sz w:val="12"/>
                <w:szCs w:val="12"/>
                <w:color w:val="auto"/>
              </w:rPr>
            </w:pPr>
          </w:p>
        </w:tc>
      </w:tr>
      <w:tr>
        <w:trPr>
          <w:trHeight w:val="159"/>
        </w:trPr>
        <w:tc>
          <w:tcPr>
            <w:tcW w:w="46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40" w:type="dxa"/>
            <w:vAlign w:val="bottom"/>
            <w:tcBorders>
              <w:bottom w:val="single" w:sz="8" w:color="auto"/>
            </w:tcBorders>
          </w:tcPr>
          <w:p>
            <w:pPr>
              <w:spacing w:after="0"/>
              <w:rPr>
                <w:sz w:val="13"/>
                <w:szCs w:val="13"/>
                <w:color w:val="auto"/>
              </w:rPr>
            </w:pPr>
          </w:p>
        </w:tc>
      </w:tr>
      <w:tr>
        <w:trPr>
          <w:trHeight w:val="142"/>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3"/>
        </w:trPr>
        <w:tc>
          <w:tcPr>
            <w:tcW w:w="4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Segment measure of profit or loss to income (loss) before income taxes</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Total consolidated Adjusted EBITDA</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54,641</w:t>
            </w:r>
          </w:p>
        </w:tc>
        <w:tc>
          <w:tcPr>
            <w:tcW w:w="80" w:type="dxa"/>
            <w:vAlign w:val="bottom"/>
          </w:tcPr>
          <w:p>
            <w:pPr>
              <w:spacing w:after="0"/>
              <w:rPr>
                <w:sz w:val="13"/>
                <w:szCs w:val="13"/>
                <w:color w:val="auto"/>
              </w:rPr>
            </w:pP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44,962</w:t>
            </w:r>
          </w:p>
        </w:tc>
        <w:tc>
          <w:tcPr>
            <w:tcW w:w="6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152,532</w:t>
            </w:r>
          </w:p>
        </w:tc>
        <w:tc>
          <w:tcPr>
            <w:tcW w:w="80" w:type="dxa"/>
            <w:vAlign w:val="bottom"/>
          </w:tcPr>
          <w:p>
            <w:pPr>
              <w:spacing w:after="0"/>
              <w:rPr>
                <w:sz w:val="13"/>
                <w:szCs w:val="13"/>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123,695</w:t>
            </w: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(19,997)</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(55,461)</w:t>
            </w: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(17,275)</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(53,303)</w:t>
            </w: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(4,410)</w:t>
            </w: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(5,183)</w:t>
            </w: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gain, net</w:t>
            </w:r>
          </w:p>
        </w:tc>
        <w:tc>
          <w:tcPr>
            <w:tcW w:w="38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8"/>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26,791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9"/>
        </w:trPr>
        <w:tc>
          <w:tcPr>
            <w:tcW w:w="5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17.  Earnings (Loss) per Common Share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88"/>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tables set forth the computation of the Company's basic and diluted earnings (loss) per common share:</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5"/>
        </w:trPr>
        <w:tc>
          <w:tcPr>
            <w:tcW w:w="5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440" w:type="dxa"/>
            <w:vAlign w:val="bottom"/>
            <w:tcBorders>
              <w:bottom w:val="single" w:sz="8" w:color="auto"/>
            </w:tcBorders>
          </w:tcPr>
          <w:p>
            <w:pPr>
              <w:spacing w:after="0"/>
              <w:rPr>
                <w:sz w:val="24"/>
                <w:szCs w:val="24"/>
                <w:color w:val="auto"/>
              </w:rPr>
            </w:pPr>
          </w:p>
        </w:tc>
      </w:tr>
      <w:tr>
        <w:trPr>
          <w:trHeight w:val="142"/>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2"/>
                <w:szCs w:val="12"/>
                <w:color w:val="auto"/>
              </w:rPr>
            </w:pPr>
          </w:p>
        </w:tc>
      </w:tr>
      <w:tr>
        <w:trPr>
          <w:trHeight w:val="133"/>
        </w:trPr>
        <w:tc>
          <w:tcPr>
            <w:tcW w:w="5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53"/>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10,608</w:t>
            </w:r>
          </w:p>
        </w:tc>
        <w:tc>
          <w:tcPr>
            <w:tcW w:w="80" w:type="dxa"/>
            <w:vAlign w:val="bottom"/>
          </w:tcPr>
          <w:p>
            <w:pPr>
              <w:spacing w:after="0"/>
              <w:rPr>
                <w:sz w:val="13"/>
                <w:szCs w:val="13"/>
                <w:color w:val="auto"/>
              </w:rPr>
            </w:pP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16,795</w:t>
            </w:r>
          </w:p>
        </w:tc>
        <w:tc>
          <w:tcPr>
            <w:tcW w:w="80" w:type="dxa"/>
            <w:vAlign w:val="bottom"/>
          </w:tcPr>
          <w:p>
            <w:pPr>
              <w:spacing w:after="0"/>
              <w:rPr>
                <w:sz w:val="13"/>
                <w:szCs w:val="13"/>
                <w:color w:val="auto"/>
              </w:rPr>
            </w:pPr>
          </w:p>
        </w:tc>
        <w:tc>
          <w:tcPr>
            <w:tcW w:w="880" w:type="dxa"/>
            <w:vAlign w:val="bottom"/>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w:t>
            </w:r>
          </w:p>
        </w:tc>
      </w:tr>
      <w:tr>
        <w:trPr>
          <w:trHeight w:val="15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(5,121)</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(12,192)</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(36,348)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(35,252)</w:t>
            </w:r>
          </w:p>
        </w:tc>
      </w:tr>
      <w:tr>
        <w:trPr>
          <w:trHeight w:val="153"/>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5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(12,279)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(20,192)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(36,457)</w:t>
            </w:r>
          </w:p>
        </w:tc>
      </w:tr>
      <w:tr>
        <w:trPr>
          <w:trHeight w:val="162"/>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5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77,973</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78,381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78,270</w:t>
            </w:r>
          </w:p>
        </w:tc>
      </w:tr>
      <w:tr>
        <w:trPr>
          <w:trHeight w:val="153"/>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Effect of dilutive potential common shares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Adjusted Weighted average shares outstanding</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78,381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78,270</w:t>
            </w:r>
          </w:p>
        </w:tc>
      </w:tr>
      <w:tr>
        <w:trPr>
          <w:trHeight w:val="180"/>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53"/>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 Earnings (loss) per common share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(0.47)</w:t>
            </w:r>
          </w:p>
        </w:tc>
      </w:tr>
      <w:tr>
        <w:trPr>
          <w:trHeight w:val="155"/>
        </w:trPr>
        <w:tc>
          <w:tcPr>
            <w:tcW w:w="5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 Earnings (loss) per share</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Pr>
          <w:p>
            <w:pPr>
              <w:spacing w:after="0"/>
              <w:rPr>
                <w:sz w:val="13"/>
                <w:szCs w:val="13"/>
                <w:color w:val="auto"/>
              </w:rPr>
            </w:pP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tcPr>
          <w:p>
            <w:pPr>
              <w:spacing w:after="0"/>
              <w:rPr>
                <w:sz w:val="13"/>
                <w:szCs w:val="13"/>
                <w:color w:val="auto"/>
              </w:rPr>
            </w:pPr>
          </w:p>
        </w:tc>
        <w:tc>
          <w:tcPr>
            <w:tcW w:w="880" w:type="dxa"/>
            <w:vAlign w:val="bottom"/>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(0.47)</w:t>
            </w:r>
          </w:p>
        </w:tc>
      </w:tr>
    </w:tbl>
    <w:p>
      <w:pPr>
        <w:spacing w:after="0" w:line="165"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The weighted-average common shares outstanding includes 1,803,841 warrants (refer to </w:t>
      </w:r>
      <w:r>
        <w:rPr>
          <w:rFonts w:ascii="Times New Roman" w:cs="Times New Roman" w:eastAsia="Times New Roman" w:hAnsi="Times New Roman"/>
          <w:sz w:val="12"/>
          <w:szCs w:val="12"/>
          <w:u w:val="single" w:color="auto"/>
          <w:color w:val="0000FF"/>
        </w:rPr>
        <w:t>Note 9. Redeemable Senior Preferred Stock and Warrants</w:t>
      </w:r>
      <w:r>
        <w:rPr>
          <w:rFonts w:ascii="Times New Roman" w:cs="Times New Roman" w:eastAsia="Times New Roman" w:hAnsi="Times New Roman"/>
          <w:sz w:val="12"/>
          <w:szCs w:val="12"/>
          <w:color w:val="auto"/>
        </w:rPr>
        <w:t>).</w:t>
      </w:r>
    </w:p>
    <w:p>
      <w:pPr>
        <w:spacing w:after="0" w:line="13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For the three months ended September 30, 2024, the Company had 2.1 million dilutive securities that were included in the Company's diluted earnings per share. For the nine months ended September 30, 2024 and three and nine months ended September 30, 2023, all potentially dilutive securities were anti-dilutive, so diluted net loss per share was equivalent to basic net loss per share. Potentially anti-dilutive securities that were excluded from the Company's earnings (loss) per common share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80" w:type="dxa"/>
            <w:vAlign w:val="bottom"/>
          </w:tcPr>
          <w:p>
            <w:pPr>
              <w:spacing w:after="0"/>
              <w:rPr>
                <w:sz w:val="13"/>
                <w:szCs w:val="13"/>
                <w:color w:val="auto"/>
              </w:rPr>
            </w:pPr>
          </w:p>
        </w:tc>
        <w:tc>
          <w:tcPr>
            <w:tcW w:w="3040" w:type="dxa"/>
            <w:vAlign w:val="bottom"/>
            <w:gridSpan w:val="4"/>
          </w:tcPr>
          <w:p>
            <w:pPr>
              <w:ind w:lef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98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5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Outstanding warrants on Common Stock</w:t>
            </w:r>
            <w:r>
              <w:rPr>
                <w:rFonts w:ascii="Times New Roman" w:cs="Times New Roman" w:eastAsia="Times New Roman" w:hAnsi="Times New Roman"/>
                <w:sz w:val="15"/>
                <w:szCs w:val="15"/>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28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Outstanding options and warrants issued to adviser</w:t>
            </w:r>
            <w:r>
              <w:rPr>
                <w:rFonts w:ascii="Times New Roman" w:cs="Times New Roman" w:eastAsia="Times New Roman" w:hAnsi="Times New Roman"/>
                <w:sz w:val="15"/>
                <w:szCs w:val="15"/>
                <w:color w:val="auto"/>
                <w:vertAlign w:val="superscript"/>
              </w:rPr>
              <w:t>(2)</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2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w:t>
            </w:r>
          </w:p>
        </w:tc>
      </w:tr>
      <w:tr>
        <w:trPr>
          <w:trHeight w:val="153"/>
        </w:trPr>
        <w:tc>
          <w:tcPr>
            <w:tcW w:w="528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909</w:t>
            </w:r>
          </w:p>
        </w:tc>
      </w:tr>
      <w:tr>
        <w:trPr>
          <w:trHeight w:val="158"/>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897</w:t>
            </w:r>
          </w:p>
        </w:tc>
        <w:tc>
          <w:tcPr>
            <w:tcW w:w="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2,027</w:t>
            </w:r>
          </w:p>
        </w:tc>
        <w:tc>
          <w:tcPr>
            <w:tcW w:w="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1,653</w:t>
            </w:r>
          </w:p>
        </w:tc>
        <w:tc>
          <w:tcPr>
            <w:tcW w:w="10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2,206</w:t>
            </w:r>
          </w:p>
        </w:tc>
      </w:tr>
    </w:tbl>
    <w:p>
      <w:pPr>
        <w:spacing w:after="0" w:line="158"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warrants were issued in 2018 and were exercisable at $11.50 per share. These warrants expired on August 24, 2023.</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warrants were issued in 2018 and were exercisable at $12.00 per share. These warrants expired on August 24, 2023.</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1"/>
          <w:szCs w:val="11"/>
          <w:i w:val="1"/>
          <w:iCs w:val="1"/>
          <w:color w:val="auto"/>
        </w:rPr>
        <w:t>Analysis of Financial Condition and Results of Operations," included in the Company's Annual Report on Form 10-K for the year ended December 31, 2023. Certain amounts in this section may not add mathematically due to rounding.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25" w:lineRule="exact"/>
        <w:rPr>
          <w:sz w:val="20"/>
          <w:szCs w:val="20"/>
          <w:color w:val="auto"/>
        </w:rPr>
      </w:pPr>
    </w:p>
    <w:p>
      <w:pPr>
        <w:ind w:left="420" w:right="300" w:hanging="212"/>
        <w:spacing w:after="0" w:line="279" w:lineRule="auto"/>
        <w:tabs>
          <w:tab w:leader="none" w:pos="417" w:val="left"/>
        </w:tabs>
        <w:numPr>
          <w:ilvl w:val="0"/>
          <w:numId w:val="19"/>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111"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1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7" w:right="299" w:bottom="1440" w:gutter="0" w:footer="0" w:header="0"/>
        </w:sectPr>
      </w:pPr>
    </w:p>
    <w:bookmarkStart w:id="32" w:name="page33"/>
    <w:bookmarkEnd w:id="32"/>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9"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and nine months ended September 30, 2024, compared to the three and nine months ended September 30, 2023.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For the three months ended September 30, 2024, our consolidated revenue of $227.0 million increased by $38.0 million, or 20.1%, from $189.0 million for the three months ended September 30, 2023. This overall increase was mainly driven by increase in merchant bankcard volume in our SMB Payments segment, an increase in new enrollments and higher interest income in our Enterprise Payments segment and, an increase in issuing volume and acquisition of the Plastiq business on July 31, 2023, in our B2B Payments Segment.</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For the nine months ended September 30, 2024, our consolidated revenue of $652.6 million increased by $96.3 million, or 17.3%, from $556.3 million for the nine months ended September 30, 2023. This overall increase was mainly driven by increase in merchant bankcard volume in our SMB Payments segment, an increase in new enrollments and higher interest income in our Enterprise Payments segment and, an increase in issuing volume and acquisition of the Plastiq business on July 31, 2023 in our B2B Payments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15"/>
        </w:trPr>
        <w:tc>
          <w:tcPr>
            <w:tcW w:w="41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40" w:type="dxa"/>
            <w:vAlign w:val="bottom"/>
            <w:tcBorders>
              <w:bottom w:val="single" w:sz="8" w:color="auto"/>
            </w:tcBorders>
          </w:tcPr>
          <w:p>
            <w:pPr>
              <w:spacing w:after="0"/>
              <w:rPr>
                <w:sz w:val="24"/>
                <w:szCs w:val="2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171,814</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146,974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24,840</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499,007</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441,142</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57,865</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33,868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25,831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8,037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94,352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70,955</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23,397</w:t>
            </w:r>
          </w:p>
        </w:tc>
      </w:tr>
      <w:tr>
        <w:trPr>
          <w:trHeight w:val="153"/>
        </w:trPr>
        <w:tc>
          <w:tcPr>
            <w:tcW w:w="41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services and other services</w:t>
            </w: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18,063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13,181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4,882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49,984</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34,768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15,216</w:t>
            </w:r>
          </w:p>
        </w:tc>
      </w:tr>
      <w:tr>
        <w:trPr>
          <w:trHeight w:val="15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3,304</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9,292</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9,468</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r>
      <w:tr>
        <w:trPr>
          <w:trHeight w:val="14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227,049</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189,015</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38,034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652,635</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556,333</w:t>
            </w: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96,302</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95"/>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September 30, 2024 was $171.8 million, an increase of $24.8 million, or 16.9%, from $147.0 million for the three months ended September 30, 2023. This increase was primarily driven by an increase in merchant bankcard volume and the transaction count processed by the Company, rate increases, and the acquisition of the Plastiq business on July 31, 2023.</w:t>
      </w:r>
    </w:p>
    <w:p>
      <w:pPr>
        <w:spacing w:after="0" w:line="11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nine months ended September 30, 2024 was $499.0 million an increase of $57.9 million or 13.1%, from $441.1 million for the nine months ended September 30, 2023. The increase was primarily driven by an increase in merchant bankcard volume and the transaction count processed by the Company, rate increases, and the acquisition of the Plastiq business on July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September 30, 2024 was $33.9 million, an increase of $8.0 million, or 31.1%, from $25.8 million for the three months ended September 30, 2023. This increase was primarily driven by an increase in new customer enrollments and average billed clients.</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nine months ended September 30, 2024 was $94.4 million, an increase of $23.4 million, or 33.0%, from $71.0 million for the nine months ended September 30, 2023. This increase was primarily driven by an increase in new customer enrollments and average billed clients.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services and other services revenue</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$18.1 million for the three months ended September 30, 2024 increased by $4.9 million, or 37.0%, from $13.2 million for the three months ended September 30, 2023, primarily due to growth in interest income due to higher balances of permissible investments.</w:t>
      </w:r>
    </w:p>
    <w:p>
      <w:pPr>
        <w:spacing w:after="0" w:line="11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Outsourced services and other services revenue of $50.0 million for the nine months ended September 30, 2024 increased by $15.2 million, or 43.8%, from $34.8 million for the nine months ended September 30, 2023, primarily due to growth in interest income due to higher balances of permissible investments.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Equipment revenue of $3.3 million for the three months ended September 30, 2024 increased by $0.3 million, or 9.1%, from $3.0 million for the three months ended September 30, 2023. The increase was primarily due to increased sales of point-of-sale equipment.</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Equipment revenue of $9.3 million for the nine months ended September 30, 2024 decreased by $0.2 million, or 1.9% from $9.5 million for the nine months ended September 30, 2023. The decrease was primarily due to decreased sales of point-of-sale equipment during the first half of the year.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5"/>
        </w:trPr>
        <w:tc>
          <w:tcPr>
            <w:tcW w:w="40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15"/>
        </w:trPr>
        <w:tc>
          <w:tcPr>
            <w:tcW w:w="4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141,070</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116,682</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24,388</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408,486</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353,929</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54,557</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21,748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20,129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66,017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58,286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7,731</w:t>
            </w:r>
          </w:p>
        </w:tc>
      </w:tr>
      <w:tr>
        <w:trPr>
          <w:trHeight w:val="153"/>
        </w:trPr>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17,275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(3,542)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44,230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53,303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(9,073)</w:t>
            </w:r>
          </w:p>
        </w:tc>
      </w:tr>
      <w:tr>
        <w:trPr>
          <w:trHeight w:val="1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12,413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11,423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34,620</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31,328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3,292</w:t>
            </w:r>
          </w:p>
        </w:tc>
      </w:t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188,964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165,509</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23,455</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553,353</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496,846</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56,507</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$141.1 million for the three months ended September 30, 2024 increased by $24.4 million, or 20.9%, from $116.7 million for the three months ended September 30, 2023, primarily due to corresponding increase in revenues.</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$408.5 million for the nine months ended September 30, 2024 increased by $54.6 million, or 15.4%, from $353.9 million for the nine months ended September 30, 2023, primarily due to the corresponding increase in revenues.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$21.7 million for the three months ended September 30, 2024 increased by $1.6 million, or 8.0%, from $20.1 million for the three months ended September 30, 2023, primarily due to merit increases and increased headcount from the acquisition of the Plastiq business on July 31, 2023.</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$66.0 million for the nine months ended September 30, 2024 increased by $7.7 million, or 13.3%, from $58.3 million for the nine months ended September 30, 2023, primarily due to merit increases, certain performance based non-recurring bonuses and increased headcount from the acquisition of the Plastiq business on July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jc w:val="both"/>
        <w:ind w:right="24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$13.7 million for the three months ended September 30, 2024 decreased by $3.5 million, or 20.5%, from $17.3 million for the three months ended September 30, 2023, primarily due to full amortization of certain intangible assets.</w:t>
      </w:r>
    </w:p>
    <w:p>
      <w:pPr>
        <w:spacing w:after="0" w:line="11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$44.2 million for the nine months ended September 30, 2024 decreased by $9.1 million, or 17.0%, from $53.3 million for the nine months ended September 30, 2023, primarily due to full amortization of certain intangible assets.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$12.4 million for the three months ended September 30, 2024 increased by $1.0 million, or 8.7%, from $11.4 million for the three months ended September 30, 2023, primarily due to increase in professional charges related to SOX compliance, increased marketing and software expenses to support overall growth of the Company, offset by decrease in certain non-recurring professional charges related to business combination.</w:t>
      </w:r>
    </w:p>
    <w:p>
      <w:pPr>
        <w:spacing w:after="0" w:line="119"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$34.6 million for the nine months ended September 30, 2024 increased by $3.3 million, or 10.5%, from $31.3 million for the nine months ended September 30, 2023, primarily due to increase in professional charges related to SOX compliance, increased marketing and software expenses to support overall growth of the Company, offset by decrease in certain non-recurring professional charges related to business combination and legal expenses.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88"/>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4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00" w:type="dxa"/>
            <w:vAlign w:val="bottom"/>
            <w:tcBorders>
              <w:bottom w:val="single" w:sz="8" w:color="auto"/>
            </w:tcBorders>
          </w:tcPr>
          <w:p>
            <w:pPr>
              <w:spacing w:after="0"/>
              <w:rPr>
                <w:sz w:val="24"/>
                <w:szCs w:val="2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 Change</w:t>
            </w: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(23,246)</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(19,997)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(3,249)</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(65,836)</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(55,461)</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(10,375)</w:t>
            </w:r>
          </w:p>
        </w:tc>
      </w:tr>
      <w:tr>
        <w:trPr>
          <w:trHeight w:val="153"/>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(8,666)</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(8,666)</w:t>
            </w:r>
          </w:p>
        </w:tc>
      </w:tr>
      <w:tr>
        <w:trPr>
          <w:trHeight w:val="153"/>
        </w:trPr>
        <w:tc>
          <w:tcPr>
            <w:tcW w:w="4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732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2,011</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1,319</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692</w:t>
            </w:r>
          </w:p>
        </w:tc>
      </w:tr>
      <w:tr>
        <w:trPr>
          <w:trHeight w:val="158"/>
        </w:trPr>
        <w:tc>
          <w:tcPr>
            <w:tcW w:w="4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(22,578)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(19,265)</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(3,313)</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(72,491)</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(54,142)</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(18,349)</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Interest expense of $23.2 million for the three months ended September 30, 2024 increased by $3.2 million, or 16.2%, from $20.0 million for the three months ended September 30, 2023, due to increased outstanding balance of the term loan facility used for the acquisition of the Plastiq business and redemption of redeemable senior preferred stock, offset by a decrease in the revolving credit facility.</w:t>
      </w:r>
    </w:p>
    <w:p>
      <w:pPr>
        <w:spacing w:after="0" w:line="11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Interest expense of $65.8 million for the nine months ended September 30, 2024 increased by $10.4 million, or 18.7%, from $55.5 million for the nine months ended September 30, 2023, due to increased interest rates and increased outstanding balance of the term loan facility used for the acquisition of the Plastiq business and redemption of redeemable senior preferred stock, offset by a decrease in the revolving credit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Debt extinguishment and modification costs</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Debt extinguishment and modification costs of $0.04 million for the three months ended September 30, 2024 and $8.7 million for the nine months ended September 30, 2024, relates to the refinancing of the Company's credit facilities on May 16,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 expense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5"/>
        </w:trPr>
        <w:tc>
          <w:tcPr>
            <w:tcW w:w="39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720" w:type="dxa"/>
            <w:vAlign w:val="bottom"/>
            <w:tcBorders>
              <w:bottom w:val="single" w:sz="8" w:color="auto"/>
            </w:tcBorders>
          </w:tcPr>
          <w:p>
            <w:pPr>
              <w:spacing w:after="0"/>
              <w:rPr>
                <w:sz w:val="24"/>
                <w:szCs w:val="24"/>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9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15,507</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4,241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11,266</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0"/>
              </w:rPr>
              <w:t>26,791</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5,345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21,446</w:t>
            </w:r>
          </w:p>
        </w:tc>
      </w:tr>
      <w:tr>
        <w:trPr>
          <w:trHeight w:val="153"/>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7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4,899</w:t>
            </w:r>
          </w:p>
        </w:tc>
        <w:tc>
          <w:tcPr>
            <w:tcW w:w="80" w:type="dxa"/>
            <w:vAlign w:val="bottom"/>
          </w:tcPr>
          <w:p>
            <w:pPr>
              <w:spacing w:after="0"/>
              <w:rPr>
                <w:sz w:val="13"/>
                <w:szCs w:val="13"/>
                <w:color w:val="auto"/>
              </w:rPr>
            </w:pP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4,328</w:t>
            </w:r>
          </w:p>
        </w:tc>
        <w:tc>
          <w:tcPr>
            <w:tcW w:w="100" w:type="dxa"/>
            <w:vAlign w:val="bottom"/>
          </w:tcPr>
          <w:p>
            <w:pPr>
              <w:spacing w:after="0"/>
              <w:rPr>
                <w:sz w:val="13"/>
                <w:szCs w:val="13"/>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6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9,996</w:t>
            </w:r>
          </w:p>
        </w:tc>
        <w:tc>
          <w:tcPr>
            <w:tcW w:w="60" w:type="dxa"/>
            <w:vAlign w:val="bottom"/>
          </w:tcPr>
          <w:p>
            <w:pPr>
              <w:spacing w:after="0"/>
              <w:rPr>
                <w:sz w:val="13"/>
                <w:szCs w:val="13"/>
                <w:color w:val="auto"/>
              </w:rPr>
            </w:pP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6,550</w:t>
            </w:r>
          </w:p>
        </w:tc>
        <w:tc>
          <w:tcPr>
            <w:tcW w:w="80" w:type="dxa"/>
            <w:vAlign w:val="bottom"/>
          </w:tcPr>
          <w:p>
            <w:pPr>
              <w:spacing w:after="0"/>
              <w:rPr>
                <w:sz w:val="13"/>
                <w:szCs w:val="13"/>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3,446</w:t>
            </w:r>
          </w:p>
        </w:tc>
      </w:tr>
      <w:tr>
        <w:trPr>
          <w:trHeight w:val="15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31.6 %</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4"/>
              </w:rPr>
              <w:t>102.1 %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37.3 %</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122.5 %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bl>
    <w:p>
      <w:pPr>
        <w:spacing w:after="0" w:line="18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or benefit by using a forecasted EAETR and adjust for any discrete items arising during the interim period and any changes in our projected full-year business interest expense and taxable income. The EAETR for 2024 is 36.0% and includes the income tax provision on pre-tax income and a tax provision related to establishment of a valuation allowance for deferred income tax on the future portion of the Section 163(j) limitation created by additional 2024 interest expense. The effective tax rate for 2024 changed primarily due to an increase in the valuation allowance against certain business interest carryover deferred tax assets.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2024 may not be indicative of our effective tax rate for future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the Adjusted EBITDA (a non-GAAP financial measure). Adjusted EBITDA at each segment level includes revenues of the segment, less costs of revenue (excluding depreciation and amortization) and operating expenses that are directly related those revenues. Operating overhead and shared costs are managed centrally and included in corporate segment.</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SMB Payments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29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29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158,770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140,241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18,529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457,875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443,122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14,753</w:t>
            </w:r>
          </w:p>
        </w:tc>
      </w:tr>
      <w:tr>
        <w:trPr>
          <w:trHeight w:val="153"/>
        </w:trPr>
        <w:tc>
          <w:tcPr>
            <w:tcW w:w="2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27,613</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1,031</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84,449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(2,184)</w:t>
            </w:r>
          </w:p>
        </w:tc>
      </w:tr>
      <w:tr>
        <w:trPr>
          <w:trHeight w:val="15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2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15,517,131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14,150,995</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1,366,136</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46,096,861</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44,483,491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1,613,370</w:t>
            </w:r>
          </w:p>
        </w:tc>
      </w:tr>
      <w:tr>
        <w:trPr>
          <w:trHeight w:val="153"/>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195,786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178,721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17,065</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564,855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522,470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42,385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Revenue from our SMB Payments segment was $158.8 million for the three months ended September 30, 2024, compared to $140.2 million for the three months ended September 30, 2023. The increase of $18.5 million, or 13.2%, was primarily driven by increased transaction count and processed merchant bankcard dollar value. The Company's merchant card fee revenue from the SMB Payments segment ($153.1 million for 2024 and $136.3 million for 2023) as a percentage of merchant bankcard processing dollar value during 2024 increased to 0.99% from 0.96% during 2023.</w:t>
      </w:r>
    </w:p>
    <w:p>
      <w:pPr>
        <w:spacing w:after="0" w:line="11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Revenue from our SMB Payments segment was $457.9 million for the nine months ended September 30, 2024, compared to $443.1 million for the nine months ended September 30, 2023. The increase of $14.8 million, or 3.3%, was primarily driven by a decrease in certain incentives, decrease in rates as the Company's merchant card fee revenue from the SMB Payments segment ($443.6 million for 2024 and $428.5 million for 2023) as a percentage of merchant bankcard processing dollar value during 2024 remained consistent at 0.96% as compared to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2"/>
          <w:szCs w:val="12"/>
          <w:color w:val="auto"/>
        </w:rPr>
        <w:t>Adjusted EBITDA from our SMB Payments segment was $28.6 million for the three months ended September 30, 2024, compared to $27.6 million for the three months ended September 30, 2023. The increase of $1 million or 3.7% was primarily driven by the contribution margin from increased revenue offset by increased selling, general and administrative expenses and mix related margin compression.</w:t>
      </w:r>
    </w:p>
    <w:p>
      <w:pPr>
        <w:spacing w:after="0" w:line="111"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Adjusted EBITDA from our SMB Payments segment was $82.3 million for the nine months ended September 30, 2024, compared to $84.4 million for the nine months ended September 30, 2023. The decrease of $2.2 million or 2.6% was primarily driven by a decrease in certain incentive revenues, mix related margin compression and higher level of chargeback losses and other operating expenses.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59"/>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B2B Payments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2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8,158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65,368</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45,624</w:t>
            </w:r>
          </w:p>
        </w:tc>
      </w:tr>
      <w:tr>
        <w:trPr>
          <w:trHeight w:val="153"/>
        </w:trPr>
        <w:tc>
          <w:tcPr>
            <w:tcW w:w="2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574</w:t>
            </w:r>
          </w:p>
        </w:tc>
        <w:tc>
          <w:tcPr>
            <w:tcW w:w="6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3,332</w:t>
            </w:r>
          </w:p>
        </w:tc>
      </w:tr>
      <w:tr>
        <w:trPr>
          <w:trHeight w:val="171"/>
        </w:trPr>
        <w:tc>
          <w:tcPr>
            <w:tcW w:w="29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53"/>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255,323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221,456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33,867</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732,589</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636,361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96,228</w:t>
            </w:r>
          </w:p>
        </w:tc>
      </w:tr>
      <w:tr>
        <w:trPr>
          <w:trHeight w:val="155"/>
        </w:trPr>
        <w:tc>
          <w:tcPr>
            <w:tcW w:w="2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$22.1 million for the three months ended September 30, 2024, compared to $14.0 million for the three months ended September 30, 2023. The increase of $8.2 million was primarily driven by revenue from the Plastiq business and growth in CPX business.</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Revenue from our B2B Payments segment was $65.4 million for the nine months ended September 30, 2024, compared to $19.7 million for the nine months ended September 30, 2023. The increase of $45.6 million was primarily driven by revenue from the Plastiq business and growth in CPX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$1.9 million for the three months ended September 30, 2024, compared to $1.4 million for the three months ended September 30, 2023. The increase in Adjusted EBITDA of $0.6 million was primarily driven by $1.3 million in the Plastiq business, offset by decrease of $0.7 million in the CPX business due to certain bad debt write-offs. The Plastiq business was acquired on July 31, 2023.</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Adjusted EBITDA from our B2B Payments segment of $5.2 million for the nine months ended September 30, 2024, compared to $1.9 million for the nine months ended September 30, 2023.The increase in Adjusted EBITDA of $3.3 million was contributed by $0.9 million in the CPX business and $2.4 million in the Plastiq business. The Plastiq business was acquired on July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Enterprise Payments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29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29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2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47,099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11,925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131,758</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93,919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37,839</w:t>
            </w:r>
          </w:p>
        </w:tc>
      </w:tr>
      <w:tr>
        <w:trPr>
          <w:trHeight w:val="153"/>
        </w:trPr>
        <w:tc>
          <w:tcPr>
            <w:tcW w:w="2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800" w:type="dxa"/>
            <w:vAlign w:val="bottom"/>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29,757</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11,183</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77,853</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35,058</w:t>
            </w:r>
          </w:p>
        </w:tc>
      </w:tr>
      <w:tr>
        <w:trPr>
          <w:trHeight w:val="180"/>
        </w:trPr>
        <w:tc>
          <w:tcPr>
            <w:tcW w:w="2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3"/>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billed clients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832,351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590,578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241,773</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766,370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525,274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241,096</w:t>
            </w:r>
          </w:p>
        </w:tc>
      </w:tr>
      <w:tr>
        <w:trPr>
          <w:trHeight w:val="155"/>
        </w:trPr>
        <w:tc>
          <w:tcPr>
            <w:tcW w:w="2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new enrollments</w:t>
            </w:r>
          </w:p>
        </w:tc>
        <w:tc>
          <w:tcPr>
            <w:tcW w:w="80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62,875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56,269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6,606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57,281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51,864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5,417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2"/>
          <w:szCs w:val="12"/>
          <w:color w:val="auto"/>
        </w:rPr>
        <w:t>Revenue from our Enterprise Payments segment was $47.1 million for the three months ended September 30, 2024, compared to $35.2 million for the three months ended September 30, 2023. The increase of $11.9 million or 33.9%, was primarily driven by an increase in billed clients and new customer enrollments, and growth in interest income due to higher balances of permissible investments.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16" w:right="339" w:bottom="1440" w:gutter="0" w:footer="0" w:header="0"/>
        </w:sectPr>
      </w:pPr>
    </w:p>
    <w:bookmarkStart w:id="38" w:name="page39"/>
    <w:bookmarkEnd w:id="38"/>
    <w:p>
      <w:pPr>
        <w:ind w:right="180"/>
        <w:spacing w:after="0" w:line="279" w:lineRule="auto"/>
        <w:rPr>
          <w:sz w:val="20"/>
          <w:szCs w:val="20"/>
          <w:color w:val="auto"/>
        </w:rPr>
      </w:pPr>
      <w:r>
        <w:rPr>
          <w:rFonts w:ascii="Times New Roman" w:cs="Times New Roman" w:eastAsia="Times New Roman" w:hAnsi="Times New Roman"/>
          <w:sz w:val="12"/>
          <w:szCs w:val="12"/>
          <w:color w:val="auto"/>
        </w:rPr>
        <w:t>Revenue from our Enterprise Payments segment was $131.8 million for the nine months ended September 30, 2024, compared to $93.9 million for the nine months ended September 30, 2023. The increase of $37.8 million or 40.3%, was primarily driven by an increase in billed clients and new customer enrollments, and growth in interest income due to higher balances of permissible investments.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$40.9 million for the three months ended September 30, 2024, compared to $29.8 million for the three months ended September 30, 2023. The increase of $11.2 million or 37.6%, was primarily driven by increases in revenues.</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Adjusted EBITDA from our Enterprise Payments segment was $112.9 million for the nine months ended September 30, 2024, compared to $77.9 million for the nine months ended September 30, 2023. The increase of $35.1 million or 45.0%, was primarily driven by increases in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(16,876)</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54,641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(22,180)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(23,246)</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21,701</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36,603</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(42,330)</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15,507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2023</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27,613</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80" w:type="dxa"/>
            <w:vAlign w:val="bottom"/>
          </w:tcPr>
          <w:p>
            <w:pPr>
              <w:spacing w:after="0"/>
              <w:rPr>
                <w:sz w:val="13"/>
                <w:szCs w:val="13"/>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29,757</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(13,767)</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44,962</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(19,997)</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(17,275)</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non-recurring gain, net</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18,363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(37,910)</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80" w:type="dxa"/>
            <w:vAlign w:val="bottom"/>
          </w:tcPr>
          <w:p>
            <w:pPr>
              <w:spacing w:after="0"/>
              <w:rPr>
                <w:sz w:val="13"/>
                <w:szCs w:val="13"/>
                <w:color w:val="auto"/>
              </w:rPr>
            </w:pP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(47,853)</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152,532</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(24,065)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(4,469)</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58,187</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(2,362)</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100,382</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(129,416)</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26,791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2023</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220" w:type="dxa"/>
            <w:vAlign w:val="bottom"/>
          </w:tcPr>
          <w:p>
            <w:pPr>
              <w:spacing w:after="0"/>
              <w:rPr>
                <w:sz w:val="9"/>
                <w:szCs w:val="9"/>
                <w:color w:val="auto"/>
              </w:rPr>
            </w:pPr>
          </w:p>
        </w:tc>
        <w:tc>
          <w:tcPr>
            <w:tcW w:w="106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B2B</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80" w:type="dxa"/>
            <w:vAlign w:val="bottom"/>
          </w:tcPr>
          <w:p>
            <w:pPr>
              <w:spacing w:after="0"/>
              <w:rPr>
                <w:sz w:val="9"/>
                <w:szCs w:val="9"/>
                <w:color w:val="auto"/>
              </w:rPr>
            </w:pPr>
          </w:p>
        </w:tc>
        <w:tc>
          <w:tcPr>
            <w:tcW w:w="14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Payments</w:t>
            </w: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84,449</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w:t>
            </w:r>
          </w:p>
        </w:tc>
        <w:tc>
          <w:tcPr>
            <w:tcW w:w="80" w:type="dxa"/>
            <w:vAlign w:val="bottom"/>
          </w:tcPr>
          <w:p>
            <w:pPr>
              <w:spacing w:after="0"/>
              <w:rPr>
                <w:sz w:val="13"/>
                <w:szCs w:val="13"/>
                <w:color w:val="auto"/>
              </w:rPr>
            </w:pP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77,853</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(40,484)</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123,695</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(55,461)</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(18,571)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(4,410)</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(5,183)</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non-recurring gain, net</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Times New Roman" w:cs="Times New Roman" w:eastAsia="Times New Roman" w:hAnsi="Times New Roman"/>
                <w:sz w:val="12"/>
                <w:szCs w:val="12"/>
                <w:color w:val="auto"/>
              </w:rPr>
              <w:t>Income (loss) before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56,488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58,794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(110,323)</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2023. There have been no material changes to these critical accounting policies and estimates as of September 30,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40" w:name="page41"/>
    <w:bookmarkEnd w:id="40"/>
    <w:p>
      <w:pPr>
        <w:ind w:right="80"/>
        <w:spacing w:after="0" w:line="273" w:lineRule="auto"/>
        <w:rPr>
          <w:sz w:val="20"/>
          <w:szCs w:val="20"/>
          <w:color w:val="auto"/>
        </w:rPr>
      </w:pPr>
      <w:r>
        <w:rPr>
          <w:rFonts w:ascii="Times New Roman" w:cs="Times New Roman" w:eastAsia="Times New Roman" w:hAnsi="Times New Roman"/>
          <w:sz w:val="12"/>
          <w:szCs w:val="12"/>
          <w:color w:val="auto"/>
        </w:rPr>
        <w:t>Our working capital, defined as current assets less current liabilities, was $37.7 million at September 30, 2024 and $16.6 million at September 30, 2023. As of September 30, 2024, we had cash totaling $41.1 million compared to $24.6 million at September 30, 2023. These cash balances do not include restricted cash of $13.4 million and $13.9 million at September 30, 2024 and September 30, 2023, respectively, which reflects cash accounts holding customer</w:t>
      </w:r>
    </w:p>
    <w:p>
      <w:pPr>
        <w:spacing w:after="0" w:line="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settlement funds and cash reserves for potential losses. The current portion of long-term debt included in current liabilities was $8.4 million and $6.2 million at September 30, 2024 and September 30, 2023, respectively. At September 30, 2024, we had availability of approximately $70.0 million under our revolving credit facility.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nine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15"/>
        </w:trPr>
        <w:tc>
          <w:tcPr>
            <w:tcW w:w="7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61,852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72,680</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(24,734)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(51,224)</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84,716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157,029</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121,834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178,485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$61.9 million for the nine months ended September 30, 2024 compared to $72.7 million for the nine months ended September 30, 2023. The $10.8 million decrease in 2024 was primarily driven by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Net cash used in investing activities was $24.7 million and $51.2 million for the nine months ended September 30, 2024 and 2023, respectively. For the nine months ended September 30, 2024, investing activities included additions to property, equipment and software of $17.0 million, $0.2 million related to net payments received on loans to ISOs and $7.5 million related to the acquisition of intangible assets and an investment in an unconsolidated entity. For the nine months ended September 30, 2023, net cash used in investing activities included the acquisition of business of $28.2 million, $7.9 million of cash used to fund acquisitions of intangible assets, $15.3 million of cash used to acquire property, equipment and software and offset by $0.2 million related to net payments received on loans to ISOs.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Financing Activities</w:t>
      </w:r>
    </w:p>
    <w:p>
      <w:pPr>
        <w:spacing w:after="0" w:line="1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Net cash used in financing activities was $84.7 million for the nine months ended September 30, 2024, compared to $157.0 million of cash provided by financing activities for the nine months ended September 30, 2023. The net cash used in financing activities for the nine months ended September 30, 2024 included changes in the net obligations for funds held on the behalf of customers of $116.1 million and borrowings under the 2024 Credit Agreement net of issue discounts of $830.2 million, offset by $661.9 million of cash used for the repayment of the principal of the 2021 Credit Agreement and debt issuance and modification costs related to the refinancing, $167.8 million related to the redemption of senior preferred stock and accumulated unpaid dividend, $2.1 million for the redemption of redeemable NCI in subsidiary, $22.1 million of cash dividends paid to redeemable senior preferred stockholders, $1.2 million of cash used for shares withheld for taxes and $5.0 million of payments of contingent consideration. The net cash provided by financing activities for the nine months ended September 30, 2023 included $28.2 million of cash used for the repayment of debt, $17.9 million of cash dividends paid to redeemable senior preferred stockholders, $1.0 million of cash used for shares withheld for taxes and share repurchases, $4.7 million of payments of contingent consideration for business combinations and $0.9 million of debt modification costs, which was offset by changes in the net obligations for funds held on the behalf of customers of $165.6 million and $44.0 million in borrowings under the revolving credit facility.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2024, we had outstanding debt obligations, including the current portion and net of unamortized debt discount of $816.4 million, compared to $638.7 million at December 31, 2023, resulting in an increase of</w:t>
      </w:r>
    </w:p>
    <w:p>
      <w:pPr>
        <w:spacing w:after="0" w:line="1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2"/>
          <w:szCs w:val="12"/>
          <w:color w:val="auto"/>
        </w:rPr>
        <w:t>$177.8 million. The increase is due to the refinancing of the 2021 Credit Agreement on May 16, 2024. The debt balance at September 30, 2024 consisted of $832.9 million outstanding under the term facility offset by $16.5 million of unamortized debt discounts and issuance costs. Minimum amortization of the term facility are equal quarterly installments in aggregate annual amounts equal to 1.0% of the original principal, with the balance paid upon maturity. The term facility matures on May 16, 2031 and the revolving credit facility matures on May 16, 2029.</w:t>
      </w:r>
    </w:p>
    <w:p>
      <w:pPr>
        <w:spacing w:after="0" w:line="12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loan parties are required to comply with certain restrictions on its Total Net Leverage Ratio. If applicable, the maximum permitted Total Net Leverage Ratio is: 1) 6.90:1.00 at each fiscal quarter ended September 30, 2024 through December 31, 2025; 2) 6.40:1.00 at each fiscal quarter ended March 31, 2026 and each fiscal quarter thereafter. As of September 30, 2024, the Company was in compliance with the covenants in the 2024 Credit Agreement.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2"/>
          <w:szCs w:val="12"/>
          <w:u w:val="single" w:color="auto"/>
          <w:color w:val="0000FF"/>
        </w:rPr>
        <w:t>Note 1, Basis of Presentation and Significant Accounting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For quantitative and qualitative disclosures about market risk, see Item 7A, "Quantitative and Qualitative Disclosures About Market Risk," of our Annual Report on Form 10-K for the year ended December 31, 2023. Our exposures to market risk have not changed materially since December 31, 2023.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September 30, 2024. Based on that evaluation, the Company's CEO and CFO concluded that the Company's disclosure controls and procedures were effective as of September 30, 2024.</w:t>
      </w: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027"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There have been no changes in the Company's internal control over financial reporting during the three and nine months ended September 30, 2024 that have materially affected, or are reasonably likely to materially affect, the Company's internal control over financial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2024, the public float of the Company exceeded $75.0 million resulting in a change in the filing status of the Company to an 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00"/>
          </w:cols>
          <w:pgMar w:left="300" w:top="1027" w:right="7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September 30,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July 1-31, 2024</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August 1-31,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57,048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September 1-30,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36,439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shd w:val="clear" w:color="auto" w:fill="CCEEFF"/>
          </w:tcPr>
          <w:p>
            <w:pPr>
              <w:spacing w:after="0"/>
              <w:rPr>
                <w:sz w:val="13"/>
                <w:szCs w:val="13"/>
                <w:color w:val="auto"/>
              </w:rPr>
            </w:pP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690,296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107,111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vesting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Director and Officer Trading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16, 2023, Sean Kiewiet, an officer of the Company as defined in Section 16 of the Exchange Act, adopted a Rule 10b5-1 trading arrangement as defined in Item 408(a) of the SEC's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Officer or Director Name and Title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Action</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Plan Type</w:t>
            </w:r>
          </w:p>
        </w:tc>
        <w:tc>
          <w:tcPr>
            <w:tcW w:w="2020" w:type="dxa"/>
            <w:vAlign w:val="bottom"/>
            <w:gridSpan w:val="2"/>
          </w:tcPr>
          <w:p>
            <w:pPr>
              <w:ind w:left="86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Number of Shares to be sold</w:t>
            </w:r>
          </w:p>
        </w:tc>
        <w:tc>
          <w:tcPr>
            <w:tcW w:w="204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rPr>
              <w:t>Expiration</w:t>
            </w:r>
          </w:p>
        </w:tc>
      </w:tr>
      <w:tr>
        <w:trPr>
          <w:trHeight w:val="106"/>
        </w:trPr>
        <w:tc>
          <w:tcPr>
            <w:tcW w:w="1180" w:type="dxa"/>
            <w:vAlign w:val="bottom"/>
            <w:tcBorders>
              <w:top w:val="single" w:sz="8" w:color="auto"/>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Sean Kiewiet,</w:t>
            </w:r>
          </w:p>
        </w:tc>
        <w:tc>
          <w:tcPr>
            <w:tcW w:w="1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40" w:type="dxa"/>
            <w:vAlign w:val="bottom"/>
            <w:tcBorders>
              <w:top w:val="single" w:sz="8" w:color="auto"/>
            </w:tcBorders>
            <w:shd w:val="clear" w:color="auto" w:fill="CCEEFF"/>
          </w:tcPr>
          <w:p>
            <w:pPr>
              <w:spacing w:after="0"/>
              <w:rPr>
                <w:sz w:val="9"/>
                <w:szCs w:val="9"/>
                <w:color w:val="auto"/>
              </w:rPr>
            </w:pPr>
          </w:p>
        </w:tc>
      </w:tr>
      <w:tr>
        <w:trPr>
          <w:trHeight w:val="16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w:t>
            </w:r>
          </w:p>
        </w:tc>
        <w:tc>
          <w:tcPr>
            <w:tcW w:w="1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Adopted</w:t>
            </w: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Rule 10b5-1</w:t>
            </w:r>
          </w:p>
        </w:tc>
        <w:tc>
          <w:tcPr>
            <w:tcW w:w="2020" w:type="dxa"/>
            <w:vAlign w:val="bottom"/>
            <w:gridSpan w:val="2"/>
            <w:shd w:val="clear" w:color="auto" w:fill="CCEEFF"/>
          </w:tcPr>
          <w:p>
            <w:pPr>
              <w:jc w:val="center"/>
              <w:ind w:right="1340"/>
              <w:spacing w:after="0"/>
              <w:rPr>
                <w:sz w:val="20"/>
                <w:szCs w:val="20"/>
                <w:color w:val="auto"/>
              </w:rPr>
            </w:pPr>
            <w:r>
              <w:rPr>
                <w:rFonts w:ascii="Times New Roman" w:cs="Times New Roman" w:eastAsia="Times New Roman" w:hAnsi="Times New Roman"/>
                <w:sz w:val="12"/>
                <w:szCs w:val="12"/>
                <w:color w:val="auto"/>
              </w:rPr>
              <w:t>June 16, 2023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620,000</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r>
      <w:tr>
        <w:trPr>
          <w:trHeight w:val="657"/>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69">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gridSpan w:val="11"/>
          </w:tcPr>
          <w:p>
            <w:pPr>
              <w:spacing w:after="0" w:line="106" w:lineRule="exact"/>
              <w:rPr>
                <w:rFonts w:ascii="Times New Roman" w:cs="Times New Roman" w:eastAsia="Times New Roman" w:hAnsi="Times New Roman"/>
                <w:sz w:val="12"/>
                <w:szCs w:val="12"/>
                <w:color w:val="0000FF"/>
              </w:rPr>
            </w:pPr>
            <w:hyperlink r:id="rId69">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69">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0">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70">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1">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71">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2">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3"/>
                <w:szCs w:val="13"/>
                <w:color w:val="auto"/>
              </w:rPr>
            </w:pPr>
          </w:p>
        </w:tc>
        <w:tc>
          <w:tcPr>
            <w:tcW w:w="8080" w:type="dxa"/>
            <w:vAlign w:val="bottom"/>
            <w:gridSpan w:val="10"/>
            <w:shd w:val="clear" w:color="auto" w:fill="CCEEFF"/>
          </w:tcPr>
          <w:p>
            <w:pPr>
              <w:spacing w:after="0"/>
              <w:rPr>
                <w:rFonts w:ascii="Times New Roman" w:cs="Times New Roman" w:eastAsia="Times New Roman" w:hAnsi="Times New Roman"/>
                <w:sz w:val="12"/>
                <w:szCs w:val="12"/>
                <w:color w:val="0000FF"/>
              </w:rPr>
            </w:pPr>
            <w:hyperlink r:id="rId72">
              <w:r>
                <w:rPr>
                  <w:rFonts w:ascii="Times New Roman" w:cs="Times New Roman" w:eastAsia="Times New Roman" w:hAnsi="Times New Roman"/>
                  <w:sz w:val="12"/>
                  <w:szCs w:val="12"/>
                  <w:color w:val="0000FF"/>
                </w:rPr>
                <w:t>Agreement and Plan of Merger by and among the Company, Finxera Holdings, Inc., Prime Warrior Acquisition Corp., and Stone Point Capital LLC.</w:t>
              </w:r>
            </w:hyperlink>
          </w:p>
        </w:tc>
        <w:tc>
          <w:tcPr>
            <w:tcW w:w="2040" w:type="dxa"/>
            <w:vAlign w:val="bottom"/>
            <w:shd w:val="clear" w:color="auto" w:fill="CCEEFF"/>
          </w:tcPr>
          <w:p>
            <w:pPr>
              <w:spacing w:after="0"/>
              <w:rPr>
                <w:sz w:val="13"/>
                <w:szCs w:val="13"/>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3">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gridSpan w:val="11"/>
          </w:tcPr>
          <w:p>
            <w:pPr>
              <w:spacing w:after="0"/>
              <w:rPr>
                <w:rFonts w:ascii="Times New Roman" w:cs="Times New Roman" w:eastAsia="Times New Roman" w:hAnsi="Times New Roman"/>
                <w:sz w:val="12"/>
                <w:szCs w:val="12"/>
                <w:color w:val="0000FF"/>
              </w:rPr>
            </w:pPr>
            <w:hyperlink r:id="rId73">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4.1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Warrant Agreement, dated September 13, 2016, by and between American Stock Transfer &amp; Trust Company, LLC and the Registrant (incorporated by reference to Exhibit 4.1 to the Current Report on Form 8-</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K, filed September 16, 2016).</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4.2</w:t>
              </w:r>
            </w:hyperlink>
          </w:p>
        </w:tc>
        <w:tc>
          <w:tcPr>
            <w:tcW w:w="8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Certificate of Designations of Senior Preferred Stock</w:t>
              </w:r>
            </w:hyperlink>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spacing w:after="0"/>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8-K, filed July 31, 2018).</w:t>
              </w:r>
            </w:hyperlink>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10.3</w:t>
              </w:r>
            </w:hyperlink>
          </w:p>
        </w:tc>
        <w:tc>
          <w:tcPr>
            <w:tcW w:w="80" w:type="dxa"/>
            <w:vAlign w:val="bottom"/>
          </w:tcPr>
          <w:p>
            <w:pPr>
              <w:spacing w:after="0"/>
              <w:rPr>
                <w:sz w:val="13"/>
                <w:szCs w:val="13"/>
                <w:color w:val="auto"/>
              </w:rPr>
            </w:pPr>
          </w:p>
        </w:tc>
        <w:tc>
          <w:tcPr>
            <w:tcW w:w="4140" w:type="dxa"/>
            <w:vAlign w:val="bottom"/>
            <w:gridSpan w:val="6"/>
          </w:tcPr>
          <w:p>
            <w:pPr>
              <w:spacing w:after="0"/>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Priority Technology Holdings, Inc. 2021 Employee Stock Purchase Plan</w:t>
              </w:r>
            </w:hyperlink>
          </w:p>
        </w:tc>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10.3.1</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Amendment No. 1 to Priority Technology Holdings, Inc. 2021 Employee Stock Purchase Plan</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17"/>
        </w:trPr>
        <w:tc>
          <w:tcPr>
            <w:tcW w:w="1180" w:type="dxa"/>
            <w:vAlign w:val="bottom"/>
            <w:gridSpan w:val="2"/>
          </w:tcPr>
          <w:p>
            <w:pPr>
              <w:spacing w:after="0" w:line="117" w:lineRule="exact"/>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 xml:space="preserve">10.4 </w:t>
              </w:r>
            </w:hyperlink>
            <w:r>
              <w:rPr>
                <w:rFonts w:ascii="Arial" w:cs="Arial" w:eastAsia="Arial" w:hAnsi="Arial"/>
                <w:sz w:val="12"/>
                <w:szCs w:val="12"/>
                <w:color w:val="000000"/>
              </w:rPr>
              <w:t>†</w:t>
            </w:r>
          </w:p>
        </w:tc>
        <w:tc>
          <w:tcPr>
            <w:tcW w:w="10120" w:type="dxa"/>
            <w:vAlign w:val="bottom"/>
            <w:gridSpan w:val="11"/>
          </w:tcPr>
          <w:p>
            <w:pPr>
              <w:spacing w:after="0" w:line="117" w:lineRule="exact"/>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21"/>
        </w:trPr>
        <w:tc>
          <w:tcPr>
            <w:tcW w:w="1180" w:type="dxa"/>
            <w:vAlign w:val="bottom"/>
            <w:gridSpan w:val="2"/>
            <w:shd w:val="clear" w:color="auto" w:fill="CCEEFF"/>
          </w:tcPr>
          <w:p>
            <w:pPr>
              <w:spacing w:after="0" w:line="121"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 xml:space="preserve">10.5 </w:t>
              </w:r>
            </w:hyperlink>
            <w:r>
              <w:rPr>
                <w:rFonts w:ascii="Arial" w:cs="Arial" w:eastAsia="Arial" w:hAnsi="Arial"/>
                <w:sz w:val="12"/>
                <w:szCs w:val="12"/>
                <w:color w:val="000000"/>
              </w:rPr>
              <w:t>†</w:t>
            </w:r>
          </w:p>
        </w:tc>
        <w:tc>
          <w:tcPr>
            <w:tcW w:w="10120" w:type="dxa"/>
            <w:vAlign w:val="bottom"/>
            <w:gridSpan w:val="11"/>
            <w:shd w:val="clear" w:color="auto" w:fill="CCEEFF"/>
          </w:tcPr>
          <w:p>
            <w:pPr>
              <w:spacing w:after="0" w:line="121"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10.6</w:t>
              </w:r>
            </w:hyperlink>
          </w:p>
        </w:tc>
        <w:tc>
          <w:tcPr>
            <w:tcW w:w="80" w:type="dxa"/>
            <w:vAlign w:val="bottom"/>
          </w:tcPr>
          <w:p>
            <w:pPr>
              <w:spacing w:after="0"/>
              <w:rPr>
                <w:sz w:val="13"/>
                <w:szCs w:val="13"/>
                <w:color w:val="auto"/>
              </w:rPr>
            </w:pPr>
          </w:p>
        </w:tc>
        <w:tc>
          <w:tcPr>
            <w:tcW w:w="8080" w:type="dxa"/>
            <w:vAlign w:val="bottom"/>
            <w:gridSpan w:val="10"/>
          </w:tcPr>
          <w:p>
            <w:pPr>
              <w:spacing w:after="0"/>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2040" w:type="dxa"/>
            <w:vAlign w:val="bottom"/>
          </w:tcPr>
          <w:p>
            <w:pPr>
              <w:spacing w:after="0"/>
              <w:rPr>
                <w:sz w:val="13"/>
                <w:szCs w:val="13"/>
                <w:color w:val="auto"/>
              </w:rPr>
            </w:pPr>
          </w:p>
        </w:tc>
      </w:tr>
      <w:tr>
        <w:trPr>
          <w:trHeight w:val="117"/>
        </w:trPr>
        <w:tc>
          <w:tcPr>
            <w:tcW w:w="110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10.7</w:t>
              </w:r>
            </w:hyperlink>
          </w:p>
        </w:tc>
        <w:tc>
          <w:tcPr>
            <w:tcW w:w="80" w:type="dxa"/>
            <w:vAlign w:val="bottom"/>
            <w:shd w:val="clear" w:color="auto" w:fill="CCEEFF"/>
          </w:tcPr>
          <w:p>
            <w:pPr>
              <w:spacing w:after="0"/>
              <w:rPr>
                <w:sz w:val="10"/>
                <w:szCs w:val="10"/>
                <w:color w:val="auto"/>
              </w:rPr>
            </w:pPr>
          </w:p>
        </w:tc>
        <w:tc>
          <w:tcPr>
            <w:tcW w:w="10120" w:type="dxa"/>
            <w:vAlign w:val="bottom"/>
            <w:gridSpan w:val="11"/>
            <w:shd w:val="clear" w:color="auto" w:fill="CCEEFF"/>
          </w:tcPr>
          <w:p>
            <w:pPr>
              <w:spacing w:after="0" w:line="117" w:lineRule="exact"/>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140" w:type="dxa"/>
            <w:vAlign w:val="bottom"/>
            <w:gridSpan w:val="6"/>
            <w:shd w:val="clear" w:color="auto" w:fill="CCEEFF"/>
          </w:tcPr>
          <w:p>
            <w:pPr>
              <w:spacing w:after="0"/>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Company's Current Report on Form 8-K filed September 1, 2020).</w:t>
              </w:r>
            </w:hyperlink>
          </w:p>
        </w:tc>
        <w:tc>
          <w:tcPr>
            <w:tcW w:w="1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10.8</w:t>
              </w:r>
            </w:hyperlink>
          </w:p>
        </w:tc>
        <w:tc>
          <w:tcPr>
            <w:tcW w:w="80" w:type="dxa"/>
            <w:vAlign w:val="bottom"/>
          </w:tcPr>
          <w:p>
            <w:pPr>
              <w:spacing w:after="0"/>
              <w:rPr>
                <w:sz w:val="13"/>
                <w:szCs w:val="13"/>
                <w:color w:val="auto"/>
              </w:rPr>
            </w:pPr>
          </w:p>
        </w:tc>
        <w:tc>
          <w:tcPr>
            <w:tcW w:w="6160" w:type="dxa"/>
            <w:vAlign w:val="bottom"/>
            <w:gridSpan w:val="8"/>
          </w:tcPr>
          <w:p>
            <w:pPr>
              <w:spacing w:after="0"/>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Support Agreement, dated as of March 5, 2021, by and among the Stockholders and Finxera</w:t>
              </w:r>
            </w:hyperlink>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10.9</w:t>
              </w:r>
            </w:hyperlink>
          </w:p>
        </w:tc>
        <w:tc>
          <w:tcPr>
            <w:tcW w:w="80" w:type="dxa"/>
            <w:vAlign w:val="bottom"/>
            <w:shd w:val="clear" w:color="auto" w:fill="CCEEFF"/>
          </w:tcPr>
          <w:p>
            <w:pPr>
              <w:spacing w:after="0"/>
              <w:rPr>
                <w:sz w:val="13"/>
                <w:szCs w:val="13"/>
                <w:color w:val="auto"/>
              </w:rPr>
            </w:pPr>
          </w:p>
        </w:tc>
        <w:tc>
          <w:tcPr>
            <w:tcW w:w="6160" w:type="dxa"/>
            <w:vAlign w:val="bottom"/>
            <w:gridSpan w:val="8"/>
            <w:shd w:val="clear" w:color="auto" w:fill="CCEEFF"/>
          </w:tcPr>
          <w:p>
            <w:pPr>
              <w:spacing w:after="0"/>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Debt Commitment Letter, dated as of March 5, 2021, between Priority Holdings, LLC and Truist Securities, Inc.</w:t>
              </w:r>
            </w:hyperlink>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8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jc w:val="right"/>
              <w:ind w:right="1520"/>
              <w:spacing w:after="0"/>
              <w:rPr>
                <w:sz w:val="20"/>
                <w:szCs w:val="20"/>
                <w:color w:val="auto"/>
              </w:rPr>
            </w:pPr>
            <w:r>
              <w:rPr>
                <w:rFonts w:ascii="Times New Roman" w:cs="Times New Roman" w:eastAsia="Times New Roman" w:hAnsi="Times New Roman"/>
                <w:sz w:val="12"/>
                <w:szCs w:val="12"/>
                <w:color w:val="auto"/>
              </w:rPr>
              <w:t>42</w:t>
            </w: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5" w:name="page46"/>
    <w:bookmarkEnd w:id="45"/>
    <w:tbl>
      <w:tblPr>
        <w:tblLayout w:type="fixed"/>
        <w:tblInd w:w="8" w:type="dxa"/>
        <w:tblCellMar>
          <w:top w:w="0" w:type="dxa"/>
          <w:left w:w="0" w:type="dxa"/>
          <w:bottom w:w="0" w:type="dxa"/>
          <w:right w:w="0" w:type="dxa"/>
        </w:tblCellMar>
      </w:tblPr>
      <w:tr>
        <w:trPr>
          <w:trHeight w:val="155"/>
        </w:trPr>
        <w:tc>
          <w:tcPr>
            <w:tcW w:w="860" w:type="dxa"/>
            <w:vAlign w:val="bottom"/>
          </w:tcPr>
          <w:p>
            <w:pPr>
              <w:spacing w:after="0"/>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10.10</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89">
              <w:r>
                <w:rPr>
                  <w:rFonts w:ascii="Times New Roman" w:cs="Times New Roman" w:eastAsia="Times New Roman" w:hAnsi="Times New Roman"/>
                  <w:sz w:val="12"/>
                  <w:szCs w:val="12"/>
                  <w:color w:val="0000FF"/>
                </w:rPr>
                <w:t>Preferred Stock Commitment Letter, dated as of March 5, 2021, among the Company and certain affiliates of Ares Capital Management LLC</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10.11</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0">
              <w:r>
                <w:rPr>
                  <w:rFonts w:ascii="Times New Roman" w:cs="Times New Roman" w:eastAsia="Times New Roman" w:hAnsi="Times New Roman"/>
                  <w:sz w:val="12"/>
                  <w:szCs w:val="12"/>
                  <w:color w:val="0000FF"/>
                </w:rPr>
                <w:t>Securities Purchase Agreement, dated as of April 27, 2021, among the Company and the Investors named therein</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10.12</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Registration Rights Agreement, dated as of April 27, 2021, among the Company and the Investors name therein</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10.17</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2">
              <w:r>
                <w:rPr>
                  <w:rFonts w:ascii="Times New Roman" w:cs="Times New Roman" w:eastAsia="Times New Roman" w:hAnsi="Times New Roman"/>
                  <w:sz w:val="12"/>
                  <w:szCs w:val="12"/>
                  <w:color w:val="0000FF"/>
                </w:rPr>
                <w:t>Form Restricted Stock Unit Award Agreement.</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10440" w:type="dxa"/>
            <w:vAlign w:val="bottom"/>
          </w:tcPr>
          <w:p>
            <w:pPr>
              <w:ind w:left="320"/>
              <w:spacing w:after="0"/>
              <w:rPr>
                <w:rFonts w:ascii="Times New Roman" w:cs="Times New Roman" w:eastAsia="Times New Roman" w:hAnsi="Times New Roman"/>
                <w:sz w:val="12"/>
                <w:szCs w:val="12"/>
                <w:color w:val="0000FF"/>
              </w:rPr>
            </w:pPr>
            <w:hyperlink r:id="rId93">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10.19</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4">
              <w:r>
                <w:rPr>
                  <w:rFonts w:ascii="Times New Roman" w:cs="Times New Roman" w:eastAsia="Times New Roman" w:hAnsi="Times New Roman"/>
                  <w:sz w:val="12"/>
                  <w:szCs w:val="12"/>
                  <w:color w:val="0000FF"/>
                </w:rPr>
                <w:t>Priority Technology Holdings, Inc. Recoupment Policy adopted March 1, 2023</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10.20</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95">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r>
      <w:tr>
        <w:trPr>
          <w:trHeight w:val="153"/>
        </w:trPr>
        <w:tc>
          <w:tcPr>
            <w:tcW w:w="860" w:type="dxa"/>
            <w:vAlign w:val="bottom"/>
            <w:shd w:val="clear" w:color="auto" w:fill="CCEEFF"/>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10.21</w:t>
              </w:r>
            </w:hyperlink>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Side Letter Agreement, dated July 28, 2023, by and between Plastiq, Powered by Priority, LLC and Colonnade Acquisition Corp. II.</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10.22</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Earnout Agreement, dated July 31, 2023, by and among Plastiq, Powered by Priority, LLC, Plastiq Inc., PLV Inc., Nearside Business Corp., Blue Torch Finance, LLC and Priority Holdings, LLC.</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10.23</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Priority Technology Holdings, Inc. Amended and Restated Certificate of Designations of the Powers, Preferences and Relative, Participating, Optional and Other Special Rights, and Qualifications, Limitations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and Restrictions thereof, of Senior Preferred Stock.</w:t>
              </w:r>
            </w:hyperlink>
          </w:p>
        </w:tc>
      </w:tr>
      <w:tr>
        <w:trPr>
          <w:trHeight w:val="153"/>
        </w:trPr>
        <w:tc>
          <w:tcPr>
            <w:tcW w:w="860" w:type="dxa"/>
            <w:vAlign w:val="bottom"/>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10.24</w:t>
              </w:r>
            </w:hyperlink>
          </w:p>
        </w:tc>
        <w:tc>
          <w:tcPr>
            <w:tcW w:w="10440" w:type="dxa"/>
            <w:vAlign w:val="bottom"/>
          </w:tcPr>
          <w:p>
            <w:pPr>
              <w:ind w:left="320"/>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Rule 10b5-1 Sales Plan, dated June 16, 2023, by and between Sean Kiewiet and J.P. Morgan Securities LLC.</w:t>
              </w:r>
            </w:hyperlink>
          </w:p>
        </w:tc>
      </w:tr>
      <w:tr>
        <w:trPr>
          <w:trHeight w:val="117"/>
        </w:trPr>
        <w:tc>
          <w:tcPr>
            <w:tcW w:w="86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10.25</w:t>
              </w:r>
            </w:hyperlink>
          </w:p>
        </w:tc>
        <w:tc>
          <w:tcPr>
            <w:tcW w:w="10440" w:type="dxa"/>
            <w:vAlign w:val="bottom"/>
            <w:shd w:val="clear" w:color="auto" w:fill="CCEEFF"/>
          </w:tcPr>
          <w:p>
            <w:pPr>
              <w:ind w:left="320"/>
              <w:spacing w:after="0" w:line="117" w:lineRule="exact"/>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r>
      <w:tr>
        <w:trPr>
          <w:trHeight w:val="162"/>
        </w:trPr>
        <w:tc>
          <w:tcPr>
            <w:tcW w:w="860" w:type="dxa"/>
            <w:vAlign w:val="bottom"/>
            <w:shd w:val="clear" w:color="auto" w:fill="CCEEFF"/>
          </w:tcPr>
          <w:p>
            <w:pPr>
              <w:spacing w:after="0"/>
              <w:rPr>
                <w:sz w:val="14"/>
                <w:szCs w:val="14"/>
                <w:color w:val="auto"/>
              </w:rPr>
            </w:pPr>
          </w:p>
        </w:tc>
        <w:tc>
          <w:tcPr>
            <w:tcW w:w="10440" w:type="dxa"/>
            <w:vAlign w:val="bottom"/>
            <w:shd w:val="clear" w:color="auto" w:fill="CCEEFF"/>
          </w:tcPr>
          <w:p>
            <w:pPr>
              <w:ind w:left="320"/>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Administrative Agent and Collateral Agent.</w:t>
              </w:r>
            </w:hyperlink>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21.1</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Subsidiaries</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31.1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0000FF"/>
              </w:rPr>
              <w:t xml:space="preserve">31.2 </w:t>
            </w:r>
            <w:r>
              <w:rPr>
                <w:rFonts w:ascii="Times New Roman" w:cs="Times New Roman" w:eastAsia="Times New Roman" w:hAnsi="Times New Roman"/>
                <w:sz w:val="12"/>
                <w:szCs w:val="12"/>
                <w:color w:val="000000"/>
              </w:rPr>
              <w:t>*</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 xml:space="preserve">32 </w:t>
            </w:r>
            <w:r>
              <w:rPr>
                <w:rFonts w:ascii="Times New Roman" w:cs="Times New Roman" w:eastAsia="Times New Roman" w:hAnsi="Times New Roman"/>
                <w:sz w:val="12"/>
                <w:szCs w:val="12"/>
                <w:color w:val="000000"/>
              </w:rPr>
              <w:t>**</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21"/>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6" w:right="299" w:bottom="1440" w:gutter="0" w:footer="0" w:header="0"/>
        </w:sectPr>
      </w:pPr>
    </w:p>
    <w:bookmarkStart w:id="46" w:name="page47"/>
    <w:bookmarkEnd w:id="46"/>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5380" w:type="dxa"/>
            <w:vAlign w:val="bottom"/>
            <w:gridSpan w:val="4"/>
          </w:tcPr>
          <w:p>
            <w:pPr>
              <w:ind w:left="198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November 7, 2024</w:t>
            </w:r>
          </w:p>
        </w:tc>
        <w:tc>
          <w:tcPr>
            <w:tcW w:w="302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November 7, 2024</w:t>
            </w:r>
          </w:p>
        </w:tc>
        <w:tc>
          <w:tcPr>
            <w:tcW w:w="302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93"/>
        </w:trPr>
        <w:tc>
          <w:tcPr>
            <w:tcW w:w="2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20" w:type="dxa"/>
            <w:vAlign w:val="bottom"/>
            <w:tcBorders>
              <w:top w:val="single" w:sz="8" w:color="auto"/>
            </w:tcBorders>
            <w:gridSpan w:val="2"/>
          </w:tcPr>
          <w:p>
            <w:pPr>
              <w:spacing w:after="0" w:line="93" w:lineRule="exact"/>
              <w:rPr>
                <w:sz w:val="20"/>
                <w:szCs w:val="20"/>
                <w:color w:val="auto"/>
              </w:rPr>
            </w:pPr>
            <w:r>
              <w:rPr>
                <w:rFonts w:ascii="Times New Roman" w:cs="Times New Roman" w:eastAsia="Times New Roman" w:hAnsi="Times New Roman"/>
                <w:sz w:val="10"/>
                <w:szCs w:val="10"/>
                <w:color w:val="auto"/>
              </w:rPr>
              <w:t>Tim O'Leary</w:t>
            </w:r>
          </w:p>
        </w:tc>
        <w:tc>
          <w:tcPr>
            <w:tcW w:w="1240" w:type="dxa"/>
            <w:vAlign w:val="bottom"/>
          </w:tcPr>
          <w:p>
            <w:pPr>
              <w:spacing w:after="0"/>
              <w:rPr>
                <w:sz w:val="8"/>
                <w:szCs w:val="8"/>
                <w:color w:val="auto"/>
              </w:rPr>
            </w:pPr>
          </w:p>
        </w:tc>
      </w:tr>
      <w:tr>
        <w:trPr>
          <w:trHeight w:val="121"/>
        </w:trPr>
        <w:tc>
          <w:tcPr>
            <w:tcW w:w="2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2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10159"/>
          </w:cols>
          <w:pgMar w:left="300" w:top="1331"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Subsidiaries of Priority Technology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Technology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Holdings,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Payment Systems,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Hospitality Technology,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Ovvi,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Payright Health Solutions,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Commerce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Real Estate Technology,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Finance,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Commercial Payments,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Powered by Priority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Plastiq Canada, Inc.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Holdings,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Intermediate,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Finxera,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IDC Private Limited (India)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Enhanced Capital RETC Fund XII,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Account Administration Services,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Tech Ventures,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Ambient TPA Solutions,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Property Rev, LLC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Wave,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Build, LLC</w:t>
      </w:r>
    </w:p>
    <w:p>
      <w:pPr>
        <w:sectPr>
          <w:pgSz w:w="11900" w:h="16838" w:orient="portrait"/>
          <w:cols w:equalWidth="0" w:num="1">
            <w:col w:w="11300"/>
          </w:cols>
          <w:pgMar w:left="300" w:top="126" w:right="2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 IR, LLC</w:t>
      </w:r>
    </w:p>
    <w:p>
      <w:pPr>
        <w:sectPr>
          <w:pgSz w:w="11900" w:h="16838" w:orient="portrait"/>
          <w:cols w:equalWidth="0" w:num="1">
            <w:col w:w="11300"/>
          </w:cols>
          <w:pgMar w:left="300" w:top="126" w:right="2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168" w:lineRule="exact"/>
        <w:rPr>
          <w:sz w:val="20"/>
          <w:szCs w:val="20"/>
          <w:color w:val="auto"/>
        </w:rPr>
      </w:pPr>
    </w:p>
    <w:p>
      <w:pPr>
        <w:ind w:left="208" w:hanging="208"/>
        <w:spacing w:after="0"/>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168" w:lineRule="exact"/>
        <w:rPr>
          <w:rFonts w:ascii="Times New Roman" w:cs="Times New Roman" w:eastAsia="Times New Roman" w:hAnsi="Times New Roman"/>
          <w:sz w:val="12"/>
          <w:szCs w:val="12"/>
          <w:color w:val="auto"/>
        </w:rPr>
      </w:pPr>
    </w:p>
    <w:p>
      <w:pPr>
        <w:ind w:left="208" w:right="200" w:hanging="208"/>
        <w:spacing w:after="0" w:line="279" w:lineRule="auto"/>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208" w:right="100" w:hanging="208"/>
        <w:spacing w:after="0" w:line="279" w:lineRule="auto"/>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279" w:lineRule="auto"/>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259" w:lineRule="auto"/>
        <w:tabs>
          <w:tab w:leader="none" w:pos="646"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2"/>
          <w:szCs w:val="12"/>
          <w:color w:val="auto"/>
        </w:rPr>
      </w:pPr>
    </w:p>
    <w:p>
      <w:pPr>
        <w:ind w:left="648" w:right="200" w:hanging="216"/>
        <w:spacing w:after="0" w:line="250" w:lineRule="auto"/>
        <w:tabs>
          <w:tab w:leader="none" w:pos="644"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250" w:lineRule="auto"/>
        <w:tabs>
          <w:tab w:leader="none" w:pos="646"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260" w:lineRule="auto"/>
        <w:tabs>
          <w:tab w:leader="none" w:pos="644"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2"/>
          <w:szCs w:val="12"/>
          <w:color w:val="auto"/>
        </w:rPr>
      </w:pPr>
    </w:p>
    <w:p>
      <w:pPr>
        <w:ind w:left="208" w:right="40" w:hanging="208"/>
        <w:spacing w:after="0" w:line="279" w:lineRule="auto"/>
        <w:tabs>
          <w:tab w:leader="none" w:pos="2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259" w:lineRule="auto"/>
        <w:tabs>
          <w:tab w:leader="none" w:pos="646"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948"/>
        <w:spacing w:after="0"/>
        <w:tabs>
          <w:tab w:leader="none" w:pos="6788" w:val="left"/>
        </w:tabs>
        <w:rPr>
          <w:sz w:val="20"/>
          <w:szCs w:val="20"/>
          <w:color w:val="auto"/>
        </w:rPr>
      </w:pPr>
      <w:r>
        <w:rPr>
          <w:rFonts w:ascii="Times New Roman" w:cs="Times New Roman" w:eastAsia="Times New Roman" w:hAnsi="Times New Roman"/>
          <w:sz w:val="12"/>
          <w:szCs w:val="12"/>
          <w:color w:val="auto"/>
        </w:rPr>
        <w:t>November 7, 2024</w:t>
      </w:r>
      <w:r>
        <w:rPr>
          <w:sz w:val="20"/>
          <w:szCs w:val="20"/>
          <w:color w:val="auto"/>
        </w:rPr>
        <w:tab/>
      </w:r>
      <w:r>
        <w:rPr>
          <w:rFonts w:ascii="Times New Roman" w:cs="Times New Roman" w:eastAsia="Times New Roman" w:hAnsi="Times New Roman"/>
          <w:sz w:val="11"/>
          <w:szCs w:val="11"/>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3754755"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3754755" cy="11430"/>
                    </a:xfrm>
                    <a:prstGeom prst="rect">
                      <a:avLst/>
                    </a:prstGeom>
                    <a:noFill/>
                  </pic:spPr>
                </pic:pic>
              </a:graphicData>
            </a:graphic>
          </wp:anchor>
        </w:drawing>
      </w:r>
    </w:p>
    <w:p>
      <w:pPr>
        <w:spacing w:after="0" w:line="13"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11308"/>
          </w:cols>
          <w:pgMar w:left="292" w:top="129"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l</w:t>
      </w:r>
    </w:p>
    <w:p>
      <w:pPr>
        <w:spacing w:after="0" w:line="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168" w:lineRule="exact"/>
        <w:rPr>
          <w:sz w:val="20"/>
          <w:szCs w:val="20"/>
          <w:color w:val="auto"/>
        </w:rPr>
      </w:pPr>
    </w:p>
    <w:p>
      <w:pPr>
        <w:ind w:left="208" w:hanging="208"/>
        <w:spacing w:after="0"/>
        <w:tabs>
          <w:tab w:leader="none" w:pos="2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168" w:lineRule="exact"/>
        <w:rPr>
          <w:rFonts w:ascii="Times New Roman" w:cs="Times New Roman" w:eastAsia="Times New Roman" w:hAnsi="Times New Roman"/>
          <w:sz w:val="12"/>
          <w:szCs w:val="12"/>
          <w:color w:val="auto"/>
        </w:rPr>
      </w:pPr>
    </w:p>
    <w:p>
      <w:pPr>
        <w:ind w:left="208" w:right="200" w:hanging="208"/>
        <w:spacing w:after="0" w:line="279" w:lineRule="auto"/>
        <w:tabs>
          <w:tab w:leader="none" w:pos="2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208" w:right="100" w:hanging="208"/>
        <w:spacing w:after="0" w:line="279" w:lineRule="auto"/>
        <w:tabs>
          <w:tab w:leader="none" w:pos="2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279" w:lineRule="auto"/>
        <w:tabs>
          <w:tab w:leader="none" w:pos="2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259" w:lineRule="auto"/>
        <w:tabs>
          <w:tab w:leader="none" w:pos="646"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2"/>
          <w:szCs w:val="12"/>
          <w:color w:val="auto"/>
        </w:rPr>
      </w:pPr>
    </w:p>
    <w:p>
      <w:pPr>
        <w:ind w:left="648" w:right="200" w:hanging="216"/>
        <w:spacing w:after="0" w:line="250" w:lineRule="auto"/>
        <w:tabs>
          <w:tab w:leader="none" w:pos="644"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250" w:lineRule="auto"/>
        <w:tabs>
          <w:tab w:leader="none" w:pos="646"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260" w:lineRule="auto"/>
        <w:tabs>
          <w:tab w:leader="none" w:pos="644"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2"/>
          <w:szCs w:val="12"/>
          <w:color w:val="auto"/>
        </w:rPr>
      </w:pPr>
    </w:p>
    <w:p>
      <w:pPr>
        <w:ind w:left="208" w:right="40" w:hanging="208"/>
        <w:spacing w:after="0" w:line="279" w:lineRule="auto"/>
        <w:tabs>
          <w:tab w:leader="none" w:pos="2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259" w:lineRule="auto"/>
        <w:tabs>
          <w:tab w:leader="none" w:pos="646"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88"/>
        <w:spacing w:after="0"/>
        <w:tabs>
          <w:tab w:leader="none" w:pos="8068" w:val="left"/>
        </w:tabs>
        <w:rPr>
          <w:sz w:val="20"/>
          <w:szCs w:val="20"/>
          <w:color w:val="auto"/>
        </w:rPr>
      </w:pPr>
      <w:r>
        <w:rPr>
          <w:rFonts w:ascii="Times New Roman" w:cs="Times New Roman" w:eastAsia="Times New Roman" w:hAnsi="Times New Roman"/>
          <w:sz w:val="12"/>
          <w:szCs w:val="12"/>
          <w:color w:val="auto"/>
        </w:rPr>
        <w:t>November 7, 2024</w:t>
      </w:r>
      <w:r>
        <w:rPr>
          <w:sz w:val="20"/>
          <w:szCs w:val="20"/>
          <w:color w:val="auto"/>
        </w:rPr>
        <w:tab/>
      </w:r>
      <w:r>
        <w:rPr>
          <w:rFonts w:ascii="Times New Roman" w:cs="Times New Roman" w:eastAsia="Times New Roman" w:hAnsi="Times New Roman"/>
          <w:sz w:val="11"/>
          <w:szCs w:val="11"/>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10795</wp:posOffset>
            </wp:positionV>
            <wp:extent cx="3080385"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3080385" cy="1143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11308"/>
          </w:cols>
          <w:pgMar w:left="292" w:top="129" w:right="2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3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September 30, 2024 as filed with the Securities and Exchange Commission (the "Report"), each of the undersigned, on the dates indicated below, hereby certifies pursuant to 18 U.S.C. Section 1350, as adopted pursuant to Section 906 of the Sarbanes-Oxley Act of 2002, that:</w:t>
      </w:r>
    </w:p>
    <w:p>
      <w:pPr>
        <w:spacing w:after="0" w:line="129"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pacing w:after="0" w:line="35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12"/>
          <w:szCs w:val="12"/>
          <w:color w:val="auto"/>
        </w:rPr>
        <w:t>November 7, 2024</w:t>
      </w:r>
      <w:r>
        <w:rPr>
          <w:sz w:val="20"/>
          <w:szCs w:val="20"/>
          <w:color w:val="auto"/>
        </w:rPr>
        <w:tab/>
      </w:r>
      <w:r>
        <w:rPr>
          <w:rFonts w:ascii="Times New Roman" w:cs="Times New Roman" w:eastAsia="Times New Roman" w:hAnsi="Times New Roman"/>
          <w:sz w:val="11"/>
          <w:szCs w:val="11"/>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10795</wp:posOffset>
            </wp:positionV>
            <wp:extent cx="422338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12"/>
          <w:szCs w:val="12"/>
          <w:color w:val="auto"/>
        </w:rPr>
        <w:t>November 7, 2024</w:t>
      </w:r>
      <w:r>
        <w:rPr>
          <w:sz w:val="20"/>
          <w:szCs w:val="20"/>
          <w:color w:val="auto"/>
        </w:rPr>
        <w:tab/>
      </w:r>
      <w:r>
        <w:rPr>
          <w:rFonts w:ascii="Times New Roman" w:cs="Times New Roman" w:eastAsia="Times New Roman" w:hAnsi="Times New Roman"/>
          <w:sz w:val="11"/>
          <w:szCs w:val="11"/>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2949575</wp:posOffset>
            </wp:positionH>
            <wp:positionV relativeFrom="paragraph">
              <wp:posOffset>10795</wp:posOffset>
            </wp:positionV>
            <wp:extent cx="4223385"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1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lvl w:ilvl="1">
      <w:lvlJc w:val="left"/>
      <w:lvlText w:val="(%2)"/>
      <w:numFmt w:val="decimal"/>
      <w:start w:val="1"/>
    </w:lvl>
  </w:abstractNum>
  <w:abstractNum w:abstractNumId="12">
    <w:nsid w:val="3F2DBA31"/>
    <w:multiLevelType w:val="hybridMultilevel"/>
    <w:lvl w:ilvl="0">
      <w:lvlJc w:val="left"/>
      <w:lvlText w:val="%1."/>
      <w:numFmt w:val="decimal"/>
      <w:start w:val="9"/>
    </w:lvl>
    <w:lvl w:ilvl="1">
      <w:lvlJc w:val="left"/>
      <w:lvlText w:val="%2"/>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69" Type="http://schemas.openxmlformats.org/officeDocument/2006/relationships/hyperlink" Target="https://www.sec.gov/Archives/edgar/data/1653558/000161577418006226/s111183_defm14a.htm" TargetMode="External"/><Relationship Id="rId70" Type="http://schemas.openxmlformats.org/officeDocument/2006/relationships/hyperlink" Target="https://www.sec.gov/Archives/edgar/data/1653558/000165355821000031/projectwarriorfinxera-merg.htm" TargetMode="External"/><Relationship Id="rId71" Type="http://schemas.openxmlformats.org/officeDocument/2006/relationships/hyperlink" Target="https://www.sec.gov/Archives/edgar/data/1653558/000165355821000060/annex1certificateofamendme.htm" TargetMode="External"/><Relationship Id="rId72" Type="http://schemas.openxmlformats.org/officeDocument/2006/relationships/hyperlink" Target="https://www.sec.gov/Archives/edgar/data/0001653558/000165355821000031/projectwarriorfinxera-merg.htm" TargetMode="External"/><Relationship Id="rId73" Type="http://schemas.openxmlformats.org/officeDocument/2006/relationships/hyperlink" Target="https://www.sec.gov/Archives/edgar/data/1653558/000161577418007231/s111606_ex3-1.htm" TargetMode="External"/><Relationship Id="rId74" Type="http://schemas.openxmlformats.org/officeDocument/2006/relationships/hyperlink" Target="https://www.sec.gov/Archives/edgar/data/1653558/000161577418007231/s111606_ex3-2.htm" TargetMode="External"/><Relationship Id="rId75" Type="http://schemas.openxmlformats.org/officeDocument/2006/relationships/hyperlink" Target="https://www.sec.gov/Archives/edgar/data/1653558/000161577416007233/s104127_ex4-1.htm" TargetMode="External"/><Relationship Id="rId76" Type="http://schemas.openxmlformats.org/officeDocument/2006/relationships/hyperlink" Target="https://www.sec.gov/Archives/edgar/data/1653558/000165355821000065/exhibit31-priorityxcertifi.htm" TargetMode="External"/><Relationship Id="rId77" Type="http://schemas.openxmlformats.org/officeDocument/2006/relationships/hyperlink" Target="https://www.sec.gov/Archives/edgar/data/1653558/000161577418007231/s111606_ex10-1.htm" TargetMode="External"/><Relationship Id="rId78" Type="http://schemas.openxmlformats.org/officeDocument/2006/relationships/hyperlink" Target="https://www.sec.gov/Archives/edgar/data/1653558/000161577418007231/s111606_ex10-2.htm" TargetMode="External"/><Relationship Id="rId79" Type="http://schemas.openxmlformats.org/officeDocument/2006/relationships/hyperlink" Target="https://www.sec.gov/Archives/edgar/data/0001653558/000165355821000101/ex1021prioritytechnologyq2.htm" TargetMode="External"/><Relationship Id="rId80" Type="http://schemas.openxmlformats.org/officeDocument/2006/relationships/hyperlink" Target="https://www.sec.gov/Archives/edgar/data/1653558/000165355822000028/prioritytechnology-ex1031x.htm" TargetMode="External"/><Relationship Id="rId81" Type="http://schemas.openxmlformats.org/officeDocument/2006/relationships/hyperlink" Target="https://www.sec.gov/Archives/edgar/data/1653558/000161577418014981/s114881_ex10-6.htm" TargetMode="External"/><Relationship Id="rId82" Type="http://schemas.openxmlformats.org/officeDocument/2006/relationships/hyperlink" Target="https://www.sec.gov/Archives/edgar/data/1653558/000161577418014981/s114881_ex10-7.htm" TargetMode="External"/><Relationship Id="rId83" Type="http://schemas.openxmlformats.org/officeDocument/2006/relationships/hyperlink" Target="http://www.sec.gov/Archives/edgar/data/1653558/000162828019003666/prioritytechnology-ex1019.htm" TargetMode="External"/><Relationship Id="rId84" Type="http://schemas.openxmlformats.org/officeDocument/2006/relationships/hyperlink" Target="https://www.sec.gov/Archives/edgar/data/1653558/000165355820000148/assetpurchaseagreement.htm" TargetMode="External"/><Relationship Id="rId85" Type="http://schemas.openxmlformats.org/officeDocument/2006/relationships/hyperlink" Target="https://www.sec.gov/Archives/edgar/data/0001653558/000165355821000031/exhibith-supportagreemente.htm" TargetMode="External"/><Relationship Id="rId86" Type="http://schemas.openxmlformats.org/officeDocument/2006/relationships/hyperlink" Target="https://www.sec.gov/Archives/edgar/data/0001653558/000165355821000031/priorityprojectwarrior-tru.htm" TargetMode="External"/><Relationship Id="rId89" Type="http://schemas.openxmlformats.org/officeDocument/2006/relationships/hyperlink" Target="https://www.sec.gov/Archives/edgar/data/0001653558/000165355821000031/priority-arespreferredcomm.htm" TargetMode="External"/><Relationship Id="rId90" Type="http://schemas.openxmlformats.org/officeDocument/2006/relationships/hyperlink" Target="https://www.sec.gov/Archives/edgar/data/0001653558/000165355821000065/exhibit101-priorityxpurcha.htm" TargetMode="External"/><Relationship Id="rId91" Type="http://schemas.openxmlformats.org/officeDocument/2006/relationships/hyperlink" Target="https://www.sec.gov/Archives/edgar/data/0001653558/000165355821000065/exhibit102-priorityxregist.htm" TargetMode="External"/><Relationship Id="rId92" Type="http://schemas.openxmlformats.org/officeDocument/2006/relationships/hyperlink" Target="https://www.sec.gov/Archives/edgar/data/1653558/000165355822000094/ex1023formrestrictedstocku.htm" TargetMode="External"/><Relationship Id="rId93" Type="http://schemas.openxmlformats.org/officeDocument/2006/relationships/hyperlink" Target="https://www.sec.gov/Archives/edgar/data/1653558/000165355823000030/prioritytechnology-ex108.htm" TargetMode="External"/><Relationship Id="rId94" Type="http://schemas.openxmlformats.org/officeDocument/2006/relationships/hyperlink" Target="https://www.sec.gov/Archives/edgar/data/1653558/000165355823000056/ex1025priorityrecoupmentcl.htm" TargetMode="External"/><Relationship Id="rId95" Type="http://schemas.openxmlformats.org/officeDocument/2006/relationships/hyperlink" Target="https://www.sec.gov/Archives/edgar/data/1653558/000165355823000087/ex101projectbellamy-amen.htm" TargetMode="External"/><Relationship Id="rId96" Type="http://schemas.openxmlformats.org/officeDocument/2006/relationships/hyperlink" Target="https://www.sec.gov/Archives/edgar/data/1653558/000165355823000087/ex102priority-sideletter.htm" TargetMode="External"/><Relationship Id="rId97" Type="http://schemas.openxmlformats.org/officeDocument/2006/relationships/hyperlink" Target="https://www.sec.gov/Archives/edgar/data/1653558/000165355823000087/ex103projectbellamy-earnou.htm" TargetMode="External"/><Relationship Id="rId98" Type="http://schemas.openxmlformats.org/officeDocument/2006/relationships/hyperlink" Target="https://www.sec.gov/Archives/edgar/data/1653558/000165355823000100/ex1023priority-amendedandr.htm" TargetMode="External"/><Relationship Id="rId99" Type="http://schemas.openxmlformats.org/officeDocument/2006/relationships/hyperlink" Target="https://www.sec.gov/ix?doc=/Archives/edgar/data/0001653558/000165355824000039/prth-20231231.htm" TargetMode="External"/><Relationship Id="rId100" Type="http://schemas.openxmlformats.org/officeDocument/2006/relationships/hyperlink" Target="https://www.sec.gov/ix?doc=/Archives/edgar/data/1653558/000165355824000073/prth-202405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2024-11-07T07:17:05Z</dcterms:created>
  <dcterms:modified xsi:type="dcterms:W3CDTF">2024-11-07T07:17:05Z</dcterms:modified>
</cp:coreProperties>
</file>