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1" w:lineRule="exact"/>
        <w:rPr>
          <w:sz w:val="24"/>
          <w:szCs w:val="24"/>
          <w:color w:val="auto"/>
        </w:rPr>
      </w:pPr>
    </w:p>
    <w:p>
      <w:pPr>
        <w:ind w:left="3920" w:right="1020" w:hanging="2883"/>
        <w:spacing w:after="0" w:line="479" w:lineRule="auto"/>
        <w:tabs>
          <w:tab w:leader="none" w:pos="141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7" w:lineRule="exact"/>
        <w:rPr>
          <w:rFonts w:ascii="MS PGothic" w:cs="MS PGothic" w:eastAsia="MS PGothic" w:hAnsi="MS PGothic"/>
          <w:sz w:val="18"/>
          <w:szCs w:val="18"/>
          <w:color w:val="auto"/>
        </w:rPr>
      </w:pPr>
    </w:p>
    <w:p>
      <w:pPr>
        <w:ind w:left="1180" w:hanging="261"/>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1" w:lineRule="exact"/>
        <w:rPr>
          <w:rFonts w:ascii="MS PGothic" w:cs="MS PGothic" w:eastAsia="MS PGothic" w:hAnsi="MS PGothic"/>
          <w:sz w:val="18"/>
          <w:szCs w:val="18"/>
          <w:color w:val="auto"/>
        </w:rPr>
      </w:pPr>
    </w:p>
    <w:p>
      <w:pPr>
        <w:ind w:left="35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____________ to __________</w:t>
      </w:r>
    </w:p>
    <w:p>
      <w:pPr>
        <w:spacing w:after="0" w:line="282"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53975</wp:posOffset>
            </wp:positionV>
            <wp:extent cx="2545715" cy="805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342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196"/>
        </w:trPr>
        <w:tc>
          <w:tcPr>
            <w:tcW w:w="3420" w:type="dxa"/>
            <w:vAlign w:val="bottom"/>
          </w:tcPr>
          <w:p>
            <w:pPr>
              <w:jc w:val="center"/>
              <w:ind w:left="1134"/>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420" w:type="dxa"/>
            <w:vAlign w:val="bottom"/>
          </w:tcPr>
          <w:p>
            <w:pPr>
              <w:jc w:val="center"/>
              <w:ind w:left="1134"/>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65"/>
        </w:trPr>
        <w:tc>
          <w:tcPr>
            <w:tcW w:w="3420" w:type="dxa"/>
            <w:vAlign w:val="bottom"/>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57"/>
        </w:trPr>
        <w:tc>
          <w:tcPr>
            <w:tcW w:w="3420" w:type="dxa"/>
            <w:vAlign w:val="bottom"/>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56"/>
        </w:trPr>
        <w:tc>
          <w:tcPr>
            <w:tcW w:w="3420" w:type="dxa"/>
            <w:vAlign w:val="bottom"/>
          </w:tcPr>
          <w:p>
            <w:pPr>
              <w:jc w:val="center"/>
              <w:ind w:right="254"/>
              <w:spacing w:after="0"/>
              <w:rPr>
                <w:sz w:val="20"/>
                <w:szCs w:val="20"/>
                <w:color w:val="auto"/>
              </w:rPr>
            </w:pPr>
            <w:r>
              <w:rPr>
                <w:rFonts w:ascii="Times New Roman" w:cs="Times New Roman" w:eastAsia="Times New Roman" w:hAnsi="Times New Roman"/>
                <w:sz w:val="18"/>
                <w:szCs w:val="18"/>
                <w:b w:val="1"/>
                <w:bCs w:val="1"/>
                <w:color w:val="auto"/>
                <w:w w:val="99"/>
              </w:rPr>
              <w:t>Alpharetta,</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160" w:type="dxa"/>
            <w:vAlign w:val="bottom"/>
          </w:tcPr>
          <w:p>
            <w:pPr>
              <w:jc w:val="right"/>
              <w:ind w:right="1275"/>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44"/>
        </w:trPr>
        <w:tc>
          <w:tcPr>
            <w:tcW w:w="3420" w:type="dxa"/>
            <w:vAlign w:val="bottom"/>
            <w:tcBorders>
              <w:top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(404) 952-2107</w:t>
      </w:r>
    </w:p>
    <w:p>
      <w:pPr>
        <w:spacing w:after="0" w:line="256" w:lineRule="exact"/>
        <w:rPr>
          <w:sz w:val="24"/>
          <w:szCs w:val="24"/>
          <w:color w:val="auto"/>
        </w:rPr>
      </w:pPr>
    </w:p>
    <w:tbl>
      <w:tblPr>
        <w:tblLayout w:type="fixed"/>
        <w:tblInd w:w="2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6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37"/>
        </w:trPr>
        <w:tc>
          <w:tcPr>
            <w:tcW w:w="31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2"/>
        </w:trPr>
        <w:tc>
          <w:tcPr>
            <w:tcW w:w="3180" w:type="dxa"/>
            <w:vAlign w:val="bottom"/>
            <w:tcBorders>
              <w:top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PRTH</w:t>
            </w:r>
          </w:p>
        </w:tc>
        <w:tc>
          <w:tcPr>
            <w:tcW w:w="12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0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2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0" w:firstLine="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0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3"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838" w:orient="portrait"/>
          <w:cols w:equalWidth="0" w:num="1">
            <w:col w:w="11240"/>
          </w:cols>
          <w:pgMar w:left="320" w:top="1096" w:right="339" w:bottom="0" w:gutter="0" w:footer="0" w:header="0"/>
        </w:sectPr>
      </w:pPr>
    </w:p>
    <w:bookmarkStart w:id="1" w:name="page2"/>
    <w:bookmarkEnd w:id="1"/>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Securities Exchange Act of 1934, indicate by check mark whether the financial statements of the registrant included in the filing reflect the correction of an error to previously issued financials statements. </w:t>
      </w:r>
      <w:r>
        <w:rPr>
          <w:rFonts w:ascii="MS PGothic" w:cs="MS PGothic" w:eastAsia="MS PGothic" w:hAnsi="MS PGothic"/>
          <w:sz w:val="16"/>
          <w:szCs w:val="16"/>
          <w:color w:val="auto"/>
        </w:rPr>
        <w:t>☐</w:t>
      </w:r>
    </w:p>
    <w:p>
      <w:pPr>
        <w:spacing w:after="0" w:line="183" w:lineRule="exact"/>
        <w:rPr>
          <w:sz w:val="20"/>
          <w:szCs w:val="20"/>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74" w:lineRule="exact"/>
        <w:rPr>
          <w:sz w:val="20"/>
          <w:szCs w:val="20"/>
          <w:color w:val="auto"/>
        </w:rPr>
      </w:pPr>
    </w:p>
    <w:p>
      <w:pPr>
        <w:spacing w:after="0" w:line="184" w:lineRule="exact"/>
        <w:tabs>
          <w:tab w:leader="none" w:pos="80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of the registrant was approximately $241.2 million (based upon the closing sale price of the Common Stock on that date on The Nasdaq Capital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4, 2026, the number of the registrant's Common Stock outstanding was 82,285,361.</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Portions of the definitive proxy statement to be filed with the Securities and Exchange Commission pursuant to Regulation 14A relating to the Annual Meeting of stockholders of Priority Technology Holdings, Inc., scheduled to be held on June 11, 2026, will be incorporated by reference in Part III of this Form 10-K. Priority Technology Holdings, Inc. intends to file such proxy statement with the Securities and Exchange Commission no later than 120 days after its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5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r>
      <w:tr>
        <w:trPr>
          <w:trHeight w:val="562"/>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051F2"/>
              </w:rPr>
              <w:t>Cautionary Note Regarding Forward-Looking Statements and Terms Used in the Annual Report on Form 10-K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w:t>
            </w:r>
          </w:p>
        </w:tc>
      </w:tr>
      <w:tr>
        <w:trPr>
          <w:trHeight w:val="229"/>
        </w:trPr>
        <w:tc>
          <w:tcPr>
            <w:tcW w:w="10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3051F2"/>
              </w:rPr>
              <w:t>Commonly Defined Terms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16</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1B.</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Item 1C.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29</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3.</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30</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4.</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30</w:t>
            </w: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5.</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31</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6.</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31</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7.</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32</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7A.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Qualitative and Quantitative Disclosure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41</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8.</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42</w:t>
            </w:r>
          </w:p>
        </w:tc>
      </w:tr>
      <w:tr>
        <w:trPr>
          <w:trHeight w:val="230"/>
        </w:trPr>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53</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Changes In and Disagreements with Accountants on Accounting and Financial Disclosure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101</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9A.</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101</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9B.</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102</w:t>
            </w:r>
          </w:p>
        </w:tc>
      </w:tr>
      <w:tr>
        <w:trPr>
          <w:trHeight w:val="234"/>
        </w:trPr>
        <w:tc>
          <w:tcPr>
            <w:tcW w:w="84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9C.</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Disclosures Regarding Foreign Jurisdictions that Prevent Inspections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102</w:t>
            </w:r>
          </w:p>
        </w:tc>
      </w:tr>
      <w:tr>
        <w:trPr>
          <w:trHeight w:val="441"/>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10.</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103</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11.</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Executive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103</w:t>
            </w:r>
          </w:p>
        </w:tc>
      </w:tr>
      <w:tr>
        <w:trPr>
          <w:trHeight w:val="229"/>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12.</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103</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13.</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Certain Relationships and Related Transactions, and Director Independence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103</w:t>
            </w:r>
          </w:p>
        </w:tc>
      </w:tr>
      <w:tr>
        <w:trPr>
          <w:trHeight w:val="230"/>
        </w:trPr>
        <w:tc>
          <w:tcPr>
            <w:tcW w:w="84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14.</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Principal Accounting Fees and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103</w:t>
            </w:r>
          </w:p>
        </w:tc>
      </w:tr>
      <w:tr>
        <w:trPr>
          <w:trHeight w:val="23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Part IV.</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15.</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Exhibits,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104</w:t>
            </w:r>
          </w:p>
        </w:tc>
      </w:tr>
      <w:tr>
        <w:trPr>
          <w:trHeight w:val="234"/>
        </w:trPr>
        <w:tc>
          <w:tcPr>
            <w:tcW w:w="840" w:type="dxa"/>
            <w:vAlign w:val="bottom"/>
          </w:tcPr>
          <w:p>
            <w:pPr>
              <w:spacing w:after="0"/>
              <w:rPr>
                <w:sz w:val="20"/>
                <w:szCs w:val="20"/>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3051F2"/>
              </w:rPr>
              <w:t>Item 16.</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3051F2"/>
              </w:rPr>
              <w:t>Form 10-K Summary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106</w:t>
            </w:r>
          </w:p>
        </w:tc>
      </w:tr>
      <w:tr>
        <w:trPr>
          <w:trHeight w:val="44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3051F2"/>
              </w:rPr>
              <w:t>Signatures</w:t>
            </w:r>
          </w:p>
        </w:tc>
        <w:tc>
          <w:tcPr>
            <w:tcW w:w="86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051F2"/>
              </w:rPr>
              <w:t>107</w:t>
            </w:r>
          </w:p>
        </w:tc>
      </w:tr>
      <w:tr>
        <w:trPr>
          <w:trHeight w:val="2302"/>
        </w:trPr>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Some of the statements made in this Annual Report on Form 10-K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w:t>
      </w:r>
      <w:r>
        <w:rPr>
          <w:rFonts w:ascii="Arial" w:cs="Arial" w:eastAsia="Arial" w:hAnsi="Arial"/>
          <w:sz w:val="18"/>
          <w:szCs w:val="18"/>
          <w:color w:val="auto"/>
        </w:rPr>
        <w:t>"</w:t>
      </w:r>
      <w:r>
        <w:rPr>
          <w:rFonts w:ascii="Times New Roman" w:cs="Times New Roman" w:eastAsia="Times New Roman" w:hAnsi="Times New Roman"/>
          <w:sz w:val="18"/>
          <w:szCs w:val="18"/>
          <w:color w:val="auto"/>
        </w:rPr>
        <w:t>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91" w:lineRule="exact"/>
        <w:rPr>
          <w:sz w:val="20"/>
          <w:szCs w:val="20"/>
          <w:color w:val="auto"/>
        </w:rPr>
      </w:pPr>
    </w:p>
    <w:p>
      <w:pPr>
        <w:ind w:left="660" w:right="600" w:hanging="328"/>
        <w:spacing w:after="0" w:line="276"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and consumer finance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consumer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interest rates by the Federal Reserve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dispositions or any risks associated with completed acquisitions or dispositions;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regarding our consideration or the success of the proposal to acquire the outstanding shares of Common Stock by Thomas Priore or any alternative proposals;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section of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8"/>
          <w:szCs w:val="18"/>
          <w:u w:val="single" w:color="auto"/>
          <w:color w:val="0000FF"/>
        </w:rPr>
        <w:t>Item 1A -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00"/>
        </w:rPr>
        <w:t>" section of this Annual Report on Form 10-K, that may cause our actual results or performance to be materially different from those expressed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Terms Used in this Annual Report on Form 10-K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references to the terms "Company," "Priority,"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tc>
      </w:tr>
      <w:tr>
        <w:trPr>
          <w:trHeight w:val="35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Definition</w:t>
            </w:r>
          </w:p>
        </w:tc>
      </w:tr>
      <w:tr>
        <w:trPr>
          <w:trHeight w:val="223"/>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Plan</w:t>
            </w:r>
          </w:p>
        </w:tc>
        <w:tc>
          <w:tcPr>
            <w:tcW w:w="100" w:type="dxa"/>
            <w:vAlign w:val="bottom"/>
            <w:tcBorders>
              <w:top w:val="single" w:sz="8" w:color="CCEEFF"/>
            </w:tcBorders>
            <w:shd w:val="clear" w:color="auto" w:fill="CCEEFF"/>
          </w:tcPr>
          <w:p>
            <w:pPr>
              <w:spacing w:after="0"/>
              <w:rPr>
                <w:sz w:val="19"/>
                <w:szCs w:val="19"/>
                <w:color w:val="auto"/>
              </w:rPr>
            </w:pPr>
          </w:p>
        </w:tc>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2018 Equity Incentive Plan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Stock Purchase Plan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Employee Stock Purchase Plan</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Share Repurchase Program</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2021 Share Repurchase Program</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ACH</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Automated clearing house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AML</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Anti-money laundering</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API</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program interface</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APIC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B2C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Business-to-consumer</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BaaS</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as a service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Secrecy Act of 1970, as amended by the USA Patriot Act of 2001</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Consumer Protection Act</w:t>
            </w: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Company's Chairman and Chief Executive Officer</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Chief Financial Officer</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CFPB</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 Financial Protection Bureau</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Common Stock, par value $.001 per share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Technology Holdings, Inc., a Delaware corporation, and its direct and indirect subsidiaries</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Credit Agreement</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and Guaranty Agreement with Truist Bank dated as of May 16, 2024 (as amended)</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CRM</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 management</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Delayed Draw Term Loan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Delayed draw term loan facility under the 2024 Credit Agreement</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Dodd-Frank Act</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Dodd Frank Wall Street Reform and Consumer Protection Act of 2010</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DMS</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Merchant Services acquisition</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Electronic Payments</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with credit, debit, prepaid cards, ACH and wire</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FBO</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benefit of</w:t>
            </w:r>
          </w:p>
        </w:tc>
      </w:tr>
      <w:tr>
        <w:trPr>
          <w:trHeight w:val="22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FCRA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Credit Reporting Act</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Board</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Governors of the Federal Reserve System</w:t>
            </w: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30"/>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institution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FIFO</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in, first out</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SPV</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Priority Finance SPV, LLC</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FinCEN</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Crimes Enforcement Network</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Finxera</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Finxera Holdings, Inc.</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FSOC</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Stability Oversight Council</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Independent sales organization</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ISV</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Independent software vendors</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Information technology</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LIFO</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Last in, first out</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Limited Liability Company</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National Association of Securities Dealers Automated Quotations</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Non-controlling interest</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OFAC</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Office of Foreign Assets Control</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Passport</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Priority Passport</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PHOT</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Priority Hospitality Technology, LLC a Delaware limited liability company</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Plastiq</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Acquisition of Plastiq, Inc. and certain affiliates</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Finance credit facility</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Credit Agreement with VP Capital, L.P.</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Revolving Facility</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$100.0 million line issued and amended under 2024 Credit Agreement</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Point-of-sale</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PRTH</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Company's Nasdaq Capital Market trading symbol</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Restricted stock unit (performance-based)</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NCI's</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Redeemable non-controlling preferred equity interests</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Right of use asset</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 unit (service-based)</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Software as a Service</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 appreciation rights</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SMS</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 message service</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SOX</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Sarbanes-Oxley Act of 2022</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Act</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The Housing Assistance Tax Act of 2008</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TCPA</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 Telephone Consumer Protection Act of 1991</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Term loan facility issued under the 2024 Credit Agreement</w:t>
            </w:r>
          </w:p>
        </w:tc>
      </w:tr>
      <w:tr>
        <w:trPr>
          <w:trHeight w:val="175"/>
        </w:trPr>
        <w:tc>
          <w:tcPr>
            <w:tcW w:w="2700" w:type="dxa"/>
            <w:vAlign w:val="bottom"/>
          </w:tcPr>
          <w:p>
            <w:pPr>
              <w:spacing w:after="0"/>
              <w:rPr>
                <w:sz w:val="15"/>
                <w:szCs w:val="15"/>
                <w:color w:val="auto"/>
              </w:rPr>
            </w:pPr>
          </w:p>
        </w:tc>
        <w:tc>
          <w:tcPr>
            <w:tcW w:w="848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The ratio of consolidated total unrestricted debt (net of cash) to the Consolidated Adjusted EBITDA (as</w:t>
            </w: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defined in the Credit Agreement).</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Truist</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Truist Bank</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TSP</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Technology service provider</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VARs</w:t>
            </w:r>
          </w:p>
        </w:tc>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Value-added resellers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Priority a payments and banking fintech purpose-built to collect, store, lend and send money with a connected commerce engine that combines full-service merchant acquiring for accounts receivable, complete automated payables tools for bill payment, and sophisticated treasury management solutions to accelerate cash flow and optimize working capital for its customers. Priority operates at scale across three primary business segments: Merchant Solutions, Payables and Treasury Solutions and is presently serving approximately 1.8 million customer accounts processing approximately $150.0 billion in annual transaction activity while administering approximately $1.7 billion dollars in account balances. The Priority Commerce Engine serves enterprise grade independent software vendors (ISV's), as well as discrete institutional and Merchant Solutions customers across all major sectors of the U.S. economy including Retail, Hospitality, Healthcare, Real Estate, Government, Utility, Education, Non-Profit, Business-to-Business, Professional Services and Financial Institutions. Priority builds with intention, utilizing market research and stakeholder feedback to drive growth activity. The result is an end-to-end solution that customers leverage across their financial lifecycle, engineered to accelerate cash flow and optimize working capital. Trust is paramount in partnerships with customers, which is why Priority works with multiple, proven partners, to ensure our customers experience the security and peace of mind that comes with diversification, while enjoying the cost and time-saving benefits of consolidation. Priority centralizes all money movement activity within a single, integrated platform, empowering users to seamlessly collect, store, lend, and send money. Highly configurable and easy to use, the Priority Commerce Engine enables financial agility and operational stability for today’s fastest-growing enterprises.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Priority was established in 2005 and has grown from a founder-financed technology startup with a mission to build an institutional caliber commerce engine to advance the convergence of software and payments to become the 5th largest non-bank merchant acquirer (after considering the merger of Global Payments and Worldpay) in the U.S. by volume, according to the Nilson Report issued in March 2025. Since inception, we have built a native technology platform that provides all forms of payments (card acquiring and issuing, ACH, check and wire) and embedded finance solutions that serve customers of any size. Priority maintains a global business platform with 1,200 employees operating from its headquarters in Alpharetta, GA and regional offices in other locations, including New York, NY; Hicksville, NY; Chattanooga, TN; Raleigh, NC; Dallas, TX; Houston, TX; San Francisco, CA; and Chandigarh, India.</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Priority delivers value to its partners by leveraging its payments and embedded finance technology to deliver solutions that power modern commerce for SMB and enterprise software and business partners. We handle the complexities of payments and embedded finance to allow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growth has been underpinned by three key strengths: 1) market leading proprietary product platforms in Merchant Solutions, Payables and Treasury Solutions verticals; 2) focused distribution engines dedicated to helping partners monetize their merchant payment networks; and 3) a cost-efficient, agile payment and business processing infrastructure, purpose-built to support our partners’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Priority's solutions are delivered via internally developed payment applications and services to customers in the following business segments:</w:t>
      </w:r>
    </w:p>
    <w:p>
      <w:pPr>
        <w:spacing w:after="0" w:line="237" w:lineRule="exact"/>
        <w:rPr>
          <w:sz w:val="20"/>
          <w:szCs w:val="20"/>
          <w:color w:val="auto"/>
        </w:rPr>
      </w:pPr>
    </w:p>
    <w:p>
      <w:pPr>
        <w:ind w:left="660" w:right="62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Merchant Solutions</w:t>
      </w:r>
      <w:r>
        <w:rPr>
          <w:rFonts w:ascii="Times New Roman" w:cs="Times New Roman" w:eastAsia="Times New Roman" w:hAnsi="Times New Roman"/>
          <w:sz w:val="18"/>
          <w:szCs w:val="18"/>
          <w:color w:val="auto"/>
        </w:rPr>
        <w:t>: Provides full-service acquiring and payment-enabled solutions for B2C transactions, leveraging Priority's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platform, distributed through ISO, direct sales and vertically focused ISV channels.</w:t>
      </w:r>
    </w:p>
    <w:p>
      <w:pPr>
        <w:spacing w:after="0" w:line="185"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Payables</w:t>
      </w:r>
      <w:r>
        <w:rPr>
          <w:rFonts w:ascii="Times New Roman" w:cs="Times New Roman" w:eastAsia="Times New Roman" w:hAnsi="Times New Roman"/>
          <w:sz w:val="18"/>
          <w:szCs w:val="18"/>
          <w:color w:val="auto"/>
        </w:rPr>
        <w:t>: Provides market-leading AP automation solutions to corporations, software partners and industry leading FIs (including Citibank, Visa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 in addition to improving cash flows by providing instant access to working capital.</w:t>
      </w:r>
    </w:p>
    <w:p>
      <w:pPr>
        <w:spacing w:after="0" w:line="199"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Solutions</w:t>
      </w:r>
      <w:r>
        <w:rPr>
          <w:rFonts w:ascii="Times New Roman" w:cs="Times New Roman" w:eastAsia="Times New Roman" w:hAnsi="Times New Roman"/>
          <w:sz w:val="18"/>
          <w:szCs w:val="18"/>
          <w:color w:val="auto"/>
        </w:rPr>
        <w:t>: Provides embedded finance and BaaS solutions to customers to modernize legacy platforms and accelerate software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to monetize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1285875</wp:posOffset>
            </wp:positionV>
            <wp:extent cx="5863590" cy="2983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MX product suite provides technology-enabled payment acceptance and business management capabilities to merchants, enterprises and our distribution partners. The MX product suite includes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Merchant Solutions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Merchant Solutions clients. In addition to payment processing, the MX Merchant product suite encompasses a variety of proprietary and third-party product applications that merchants can adopt such as MX Insights, MX Storefront, MX Retail, MX Invoice, MX Payables and ACH.com, among others. This comprehensive suite of solutions enables merchants to 1) identify key consumer trends in their businesses; 2) quickly implement e-commerce or retail POS solutions; and 3) handle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onboarding, have resulted in strong processing volume and revenue growth.</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our Merchant Solutions offering, we have diversified our source of revenues through our growing presence in the Payables market. We provide automated AP offerings to our enterprise clients and financial institutions through our CPX platform. Our CPX platform offers clients a seamless bridge for buyer-to-supplier (payor-to-provider) payments by integrating directly to a buyer's payment instruction file and parsing it for payment to suppliers via virtual card, purchase card, ACH +, dynamic discounting or check. Successful implementation of our AP automation solutions provides: 1) suppliers with the benefits of cash acceleration; 2) buyers with valuable rebate/discount revenue: and 3) the Company with stable sources of payment processing and other revenue. Additionally, we provide a suite of integrated AP automation solutions businesses to FIs and card networks such as Citibank, Mastercard and Visa, among others.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Alongside CPX as part of the AP suite, Priority acquired the assets of Plastiq Inc. through its subsidiary Plastiq, Powered by Priority, LLC, a leading Payables company, in the third fiscal quarter of 2023, and has helped tens of thousands of businesses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improve cash flow with instant access to working capital, while automating and enabling control over all aspects of accounts payable and receivable.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ERPs, to expand Payables payment options for payables and receivables in their native customer experience while outsourcing payment execution, risk, and compliance.</w:t>
      </w:r>
    </w:p>
    <w:p>
      <w:pPr>
        <w:spacing w:after="0" w:line="18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Our Treasury Solutions segment provides embedded finance and BaaS solutions to customers that modernize legacy platforms and accelerate modern software partners looking to monetize payment components. We provide solutions for ISVs, third-party integrators, and merchants that allow for the leveraging of our core payments engine, our automated payables platform or our account ledgering capabilities all via API resources.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payment processing transactions, and from monthly services and other solutions provided to customers and interest income from the permissible investments of the account balances we hold. Payment processing fees are generated from the ongoing sales to our customers and are governed by multi-year contracts. As a result, payment processing fees are highly recurring in nature.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generated revenue of $953.0 million, net income attributable to common stockholders of $55.7 million and operating income of $141.2 million, compared to revenue of $879.7 million, net loss attributable to common stockholders of $24.0 million and operating income of $133.4 million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payment processing industry provides businesses with credit, debit, gift, loyalty card and other payment processing services, along with related value-added solutions and information services. The industry continues to grow, driven by wider acceptance, increased use of Electronic Payments, advances in payment technology and the disruption in banking by fintech providers. The proliferation of bankcards and the use of other payment technologies has made the acceptance of Electronic Payments through multiple channels a virtual necessity for many businesses to remain competitive. The increased use and acceptance of bankcards and the availability of more sophisticated products and services has resulted in a highly competitive, specialized industry.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Services to the SMB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SMB merchants and enterprise customers increasingly recognize the need for value-added services wrapped around omni-channel payment solutions that are tailored to their specific business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Industry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trends we believe are impacting the fintech and payments processing industry:</w:t>
      </w:r>
    </w:p>
    <w:p>
      <w:pPr>
        <w:spacing w:after="0" w:line="225" w:lineRule="exact"/>
        <w:rPr>
          <w:sz w:val="20"/>
          <w:szCs w:val="20"/>
          <w:color w:val="auto"/>
        </w:rPr>
      </w:pPr>
    </w:p>
    <w:p>
      <w:pPr>
        <w:ind w:left="660" w:right="8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 Toward Electronic Transactions – We believe the continued shift from cash/paper payments toward electronic/card payments will drive growth for merchant acquirers and processors as volume continues to grow correspondingly. We believe this migration and overall market growth will continue to provide tailwinds to the Electronic Payments industry. B2B payments is the largest payment market in the U.S.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w:t>
      </w:r>
    </w:p>
    <w:p>
      <w:pPr>
        <w:spacing w:after="0" w:line="18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Convergence of Payments and Embedded Finance Solutions – As consumer behavior shifted during the COVID-19 pandemic, the scale of disruption grew dramatically and we believe the speed of change will continue to rise. The appetite of both merchants and consumers for new alternatives to traditional payment options remains top of mind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18"/>
          <w:szCs w:val="18"/>
          <w:color w:val="auto"/>
        </w:rPr>
        <w:t>big tech companies, fintechs, challenger banks and other non-bank entrants are driving market disruption by offering customers better user experiences at lower prices. The continued displacement of cash and checks over the next several years, helped along by customers' adoption of digital shopping and fueled by their desire to avoid contact with physical infrastructure and objects, continues to create even more opportunities for disruption in payments.</w:t>
      </w:r>
    </w:p>
    <w:p>
      <w:pPr>
        <w:spacing w:after="0" w:line="180" w:lineRule="exact"/>
        <w:rPr>
          <w:sz w:val="20"/>
          <w:szCs w:val="20"/>
          <w:color w:val="auto"/>
        </w:rPr>
      </w:pPr>
    </w:p>
    <w:p>
      <w:pPr>
        <w:ind w:left="660" w:right="14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Payments – Historically, e-commerce was conducted on a computer via a web browser; however, as mobile technologies continue to 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Treasury Solutions and BaaS is the integration of financial services, like payments, lending, or banking services, into non-financial offerings. This embedded finance capability allows customers to access financial services seamlessly through applications they already utilize. The market is large and growing rapidly as customers demand a digital, frictionless and integrated approach to meeting the needs of their end consumer.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possess certain attributes that we believe differentiate us as a leading provider of merchant services, payables and banking &amp; treasury solutions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Our key competitive strengths include:</w:t>
      </w:r>
    </w:p>
    <w:p>
      <w:pPr>
        <w:spacing w:after="0" w:line="207" w:lineRule="exact"/>
        <w:rPr>
          <w:sz w:val="20"/>
          <w:szCs w:val="20"/>
          <w:color w:val="auto"/>
        </w:rPr>
      </w:pPr>
    </w:p>
    <w:p>
      <w:pPr>
        <w:ind w:left="660" w:right="8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Diverse Reseller Community – We maintain strong reseller relationships with approximately 1,100 partners, including ISOs, FIs, ISVs, VARs and other referral partners. MX Connect enables resellers to efficiently market merchant acquiring solutions to a broad base of merchants through a one-to-many distribution model. We believe that our ability to service our reseller partners through a comprehensive offering provides a competitive advantage that has allowed the Company to build a large, diverse merchant base characterized by high retention. The strengths of our technology offering are manifested in the fact that we maintain ownership of merchant contracts, with most reseller contracts including strong non-solicit and portability restrictions.</w:t>
      </w:r>
    </w:p>
    <w:p>
      <w:pPr>
        <w:spacing w:after="0" w:line="187" w:lineRule="exact"/>
        <w:rPr>
          <w:rFonts w:ascii="Times New Roman" w:cs="Times New Roman" w:eastAsia="Times New Roman" w:hAnsi="Times New Roman"/>
          <w:sz w:val="18"/>
          <w:szCs w:val="18"/>
          <w:color w:val="auto"/>
        </w:rPr>
      </w:pPr>
    </w:p>
    <w:p>
      <w:pPr>
        <w:ind w:left="660" w:hanging="328"/>
        <w:spacing w:after="0" w:line="271"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Suite of Payment Solutions – We offer a comprehensive and differentiated suite of traditional and emerging payment products and services that enables SMB to address their payment needs through one provider. Our purpose-built proprietary technology provides technology-enabled payment acceptance and business management solutions to merchants, enterprises and ISVs. We provide a payment processing platform that allows merchants to accept Electronic Payments (e.g., credit cards, debit cards, and ACH) at the POS, online, and via mobile payment technologies. We deliver innovative business management products and add-on features that meet the needs of SMB across different vertical markets. Additionally, with our embedded finance offerings and money transmissions licenses in forty six U.S. states, the District of Columbia and two U.S. territories, we are uniquely positioned to collect, store, lend and send money on behalf of our customers. As a result,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73" w:lineRule="exact"/>
        <w:rPr>
          <w:rFonts w:ascii="Times New Roman" w:cs="Times New Roman" w:eastAsia="Times New Roman" w:hAnsi="Times New Roman"/>
          <w:sz w:val="17"/>
          <w:szCs w:val="17"/>
          <w:color w:val="auto"/>
        </w:rPr>
      </w:pPr>
    </w:p>
    <w:p>
      <w:pPr>
        <w:ind w:left="660" w:right="2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Scalable Business Model with Operating Leverage – As a result of thoughtful investments in our technology, we have developed robust and differentiated infrastructure that has enabled us to scale in a cost-efficient manner. Our operating efficiency supports a low capital expenditure environment to develop product enhancements that drive organic growth across our Merchant Solutions, Payables and Treasury Solutions payment ecosystems, as well as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8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Led by Industry Veterans – Our executive management team has a record of execution in the merchant acquiring and technology-enabled payments industry. Our team has continued to develop and enhance our proprietary and innovative technology platforms that differentiate us in the payments industry. We invest to attract and retain executive leadership that align with the opportunities in the market and our strategic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continue to execute a multi-pronged growth strategy, with diverse organic initiatives supplemented by acquisitions. Growth strategies include: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 Growth in our Reseller Network and Merchant Base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grow through our existing reseller network and merchant base by capitalizing on the organic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 to exhibit strong merchant adoption and volume growth trends. Through our resellers, we provide merchants with full-service acquiring solutions, as well as value-added services and tools to streamline their business processes and enable them to focus on driving same store sales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Deploy our Embedded Finance Solution to Treasury Solutions Customers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Treasury Solutions segment, enables software partners and business platform customers to embed our banking and treasury solutions into their core operating and business systems that deliver a fully automated and digital experience to collect, store, lend and send money for their customers. Priority delivers a fully embedded finance solution to customers that manages the inflows and outflows, and reconciliation, of all forms of payments (ACH, wire,</w:t>
      </w:r>
    </w:p>
    <w:p>
      <w:pPr>
        <w:ind w:right="300"/>
        <w:spacing w:after="0" w:line="261" w:lineRule="auto"/>
        <w:rPr>
          <w:sz w:val="20"/>
          <w:szCs w:val="20"/>
          <w:color w:val="auto"/>
        </w:rPr>
      </w:pPr>
      <w:r>
        <w:rPr>
          <w:rFonts w:ascii="Times New Roman" w:cs="Times New Roman" w:eastAsia="Times New Roman" w:hAnsi="Times New Roman"/>
          <w:sz w:val="18"/>
          <w:szCs w:val="18"/>
          <w:color w:val="auto"/>
        </w:rPr>
        <w:t>check, credit and debit) for any number of clients from a single account. The platform today manages over 1.1 million active accounts and, through its money transmission licenses in forty six U.S. states, the District of Columbia and two U.S. territories, handles over $1.2 billion in deposits across a growing number of banking partners. This segment is quickly growing as marketplaces, gig economy platforms, software partners, and legacy business platforms are incorporating features of payment processing and embedded finance services into their customer experience and enhance their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our Network of Distribution Partners</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established and maintained a strong position within the reseller community with approximately 1,100 partners. We intend to continue to expand our distribution network to reach new partners, particularly with ISVs and VARs to expand technology and integrated partnerships. We believe that our technology offering enables us to attract and retain high-quality resellers focused on growth.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Deploy Industry Specific Payment Technology</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intend to continue to enhance and deploy our technology-enabled payment solutions and our capabilities to collect, store, lend and send money into industry-specific verticals. We continue to identify and evaluate new, attractive industries where we can deliver differentiated technology-enabled payment solutions that meet merchants' industry-specific needs.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Electronic Payments Share of Payables Transactions with CPX and Plastiq</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 growing presence in the commercial payments market where we provide curated managed services and AP automation solutions to businesses, FIs and card networks such as Citibank, Mastercard and Visa. The commercial payments market is the largest and one of the fastest growing payments markets in the U.S. by volume. We are well positioned to capitalize on the shift from check to Electronic Payments, which currently lags the consumer payments market, by eliminating the friction between buyers and suppliers through our industry leading offerings of CPX and Plastiq. We believe this will drive strong growth and profitability.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Accretive Acquisitions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a consistent, long-term goal of maximizing stockholder value, we intend to selectively pursue strategic and tactical acquisitions that meet our established criteria. We actively seek potential acquisition candidates that exhibit certain attractive attributes including predictable and recurring revenue, a scalable operating model, low capital intensity, complementary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technology offerings and a strong cultural fit. Our operating infrastructure is purpose-built to rapidly and seamlessly consolidate complementary businesses into our ecosystem all while optimizing revenue and cost synergies.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reach our Merchant Solutions segment through three primary sales channels: 1) ISOs (Retail and Wholesale) and Agents; 2) FIs; and 3) ISVs and VARs. Our cloud-based solution, MX Connect, allows our partners and resellers to engage merchants for processing services and a host of value-added features designed to enhance their customer relationships. Our merchants utilize our cloud-based MX Merchant product suite to manage their businesses and process transactions. This separate solution increases our ability to retain the merchant if the ISO were to leave the Company.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Payables segment obtains its partner clients through: 1) direct sales initiatives; 2) ISVs and business partnerships; 3) the card networks (Mastercard, Visa and American Express); 4) large U.S. banking institutions and 5) other card issuer referral partners.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a top solutions provider in commercial payments. Our Plastiq offerings consist of all payment types including wires and checks to the vendors of our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Treasury Solutions segment goes to market through integrations with software partners and business platform customers by enabling them to embed</w:t>
      </w:r>
    </w:p>
    <w:p>
      <w:pPr>
        <w:spacing w:after="0" w:line="5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payments and treasury solutions into their core operating and business systems. Priority's offering provides those partners with a fully automated, scalable and integrated financial tool to collect, store, lend and send money for their customers.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market strategy has resulted in a merchant base that we believe is diversified across both industries and geographies resulting in, what we believe, is more stable average profitability per merchant.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Processors and Sponsor Banks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partner with various vendors in the payments value chain, most notably processors and sponsor banks which sit between us (the merchant acquirer) and the card networks, to assist in providing payment processing services to merchant clients. Processing is a scale-driven business in which many acquirers outsource the processing function to a small number of large processors. In these partnerships, we serve as a merchant acquirer and enter into processing agreements with payment processors, such as Fiserv or Global Payments, to assist us in providing front-end and back-end transaction processing services for our merchants. These third parties are compensated for their services. These processors in turn have agreements with card networks such as Visa and Mastercard, through which the transaction information is routed in exchange for network fees.</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To provide processing services, merchant acquirers like Priority must be registered with the card networks (e.g., Visa, Mastercard, American Express, Discover, etc.). To register with a card network in the U.S., acquirers must maintain relationships with banks willing to sponsor the merchant acquirer's adherence to the rules and standards of the card networks, or a sponsor bank. We maintain sponsor bank relationships with Wells Fargo, Synovus Bank, Pueblo Bank and Georgia Banking Company ("GBC"). We maintain a card issuing relationship with Sutton Bank. For ACH payments, the Company's ACH network (ACH.com) is sponsored by South State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offer banking and money transmission services to our customers through our partner banks including Wells Fargo and Axos Bank. Our proprietary ledgering technology enables us to store customer funds in uniquely identifiable accounts in order to position customer deposits for pass through FDIC insurance eligibility. Customer deposits may be placed throughout our banking partner portfolio to maximize pass through FDIC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thoughtful customer and reseller underwriting policies combined with our forward-looking transaction monitoring capabilities have enabled us to maintain low credit loss performance. Our risk management strategies are informed by a team with experience managing payments and banking risk operations that are augmented by our rules-based modern systems designed to manage risk at the transaction level.</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Initial Underwriting </w:t>
      </w:r>
      <w:r>
        <w:rPr>
          <w:rFonts w:ascii="Times New Roman" w:cs="Times New Roman" w:eastAsia="Times New Roman" w:hAnsi="Times New Roman"/>
          <w:sz w:val="18"/>
          <w:szCs w:val="18"/>
          <w:color w:val="auto"/>
        </w:rPr>
        <w:t>– Central to our risk management process are our front-line underwriting policies that vet all resellers and customers prior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arrangements with us. Our automated risk systems access: 1) guarantor information; 2) corporate ownership details; 3) anti-money laundering information; and, 4) OFAC and FinCEN information from a variety of integrated databases. The collected information is delivered to a team of underwriters who conduct necessary industry checks, financial performance analysis or owner background checks, as applicable and consistent with our policies. Based upon these results, the underwriting department rejects or approves the customer or reseller and sets appropriate reserve requirements which are held by our bank sponsors on our behalf. Resellers may be subject to quarterly and/or annual assessments for financial strength in compliance with our policies and adjustments to reserve levels. The results of our initial customer underwriting process inform the transaction-level risk limits for volume, average ticket, transaction types and authorization codes that are captured by our CYRIS risk module - a proprietary risk system that monitors and reports transaction risk activity to our risk team. This transaction-level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Real-Time Risk Monitoring </w:t>
      </w:r>
      <w:r>
        <w:rPr>
          <w:rFonts w:ascii="Times New Roman" w:cs="Times New Roman" w:eastAsia="Times New Roman" w:hAnsi="Times New Roman"/>
          <w:sz w:val="18"/>
          <w:szCs w:val="18"/>
          <w:color w:val="auto"/>
        </w:rPr>
        <w:t>– Customer transactions are monitored on a transactional basis to proactively enforce risk controls. Our risk systems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evaluation of customer transaction activity against initial underwriting settings. Transactions that are outside underwriting parameters are queued for further investigation. Also, resellers whose customer portfolio represents a concentration of investigated merchants are evaluated for risk action (i.e., increased reserves or contract termination).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Audit </w:t>
      </w:r>
      <w:r>
        <w:rPr>
          <w:rFonts w:ascii="Times New Roman" w:cs="Times New Roman" w:eastAsia="Times New Roman" w:hAnsi="Times New Roman"/>
          <w:sz w:val="18"/>
          <w:szCs w:val="18"/>
          <w:color w:val="auto"/>
        </w:rPr>
        <w:t>– Transactions flagged by our risk monitoring systems or that demonstrate suspicious activity traits that have been flagged for review can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funds being held in addition to other risk mitigation actions. The risk mitigation actions can include: 1) non-authorization of the transaction; 2) debit of reserves; or 3) termination of the processing or services agreement. Customers are periodically reviewed to assess any risk adjustments based upon their overall financial health and compliance with network standards. Customer transaction activity is investigated for instances of business activity changes or credit impairment (and improvement).</w:t>
      </w:r>
    </w:p>
    <w:p>
      <w:pPr>
        <w:spacing w:after="0" w:line="18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Mitigation </w:t>
      </w:r>
      <w:r>
        <w:rPr>
          <w:rFonts w:ascii="Times New Roman" w:cs="Times New Roman" w:eastAsia="Times New Roman" w:hAnsi="Times New Roman"/>
          <w:sz w:val="18"/>
          <w:szCs w:val="18"/>
          <w:color w:val="auto"/>
        </w:rPr>
        <w:t>– In instances where transactions and/or individual merchants are flagged for fraud, or in instances where the transaction activity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excessive charge-backs, several loss mitigation actions may be taken. These include: 1) charge-back dispute resolution; 2) merchant and reseller funds (reserves or processed batches) withheld; 3) inclusion on Network Match List to notify the industry of a "bad actor"; and/or 4) legal action.</w:t>
      </w:r>
    </w:p>
    <w:p>
      <w:pPr>
        <w:spacing w:after="0" w:line="173"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We use our primary portfolio to provide for the investment of excess funds at acceptable risk levels as permitted. Our portfolio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money market accounts at FDIC insured institutions. Concentration in any one particular financial institution could create operational disruption or put customer funds in excess of FDIC insured limits at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The U.S. acquiring industry is highly competitive, with several large processors accounting for the majority of processing volume. When excluding banks, we ranked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among U.S. non-bank merchant acquirers (after considering the merger of Global Payments and Worldpay), according to the March 2025 Nilson Report.</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concentration at the top of the industry is partly a result of consolidation. We believe that consolidation has also resulted in many large processors maintaining multiple, inflexible legacy IT systems that are not well-equipped to adjust to changing market requirements. We believe that the large merchant acquirers whose innovation has been hindered by these redundant legacy systems risk losing market share to acquirers with more agile and dynamic IT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Pricing has historically been the key factor influencing the selection of a merchant acquirer. Providers with more advanced tech-enabled services (primarily online and integrated offerings) have an advantage over providers who are operating legacy technology and offering undifferentiated services that have come under pricing pressure from higher levels of competition. High quality customer service further differentiates providers as this helps to reduce attrition. Competitive factors other than pricing include: 1) breadth of product offerings; 2) partnerships with FIs; 3) servicing capability; 4) data security; and 5)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largest opportunity for acquirers to expand is within the SMB merchant market. As small businesses increasingly demand integrated solutions tailored to specific business functions or industries, merchant processors are adopting payment-enabled software offerings that combine embedded finance products with core business operating software. By subsisting within Merchant Solutions' critical business software, processors are able to improve economic results through better merchant retention and higher processing margins. Through our MX Merchant platform, we are well-positioned to capitalize on the trend towards integrated solutions, new technology adoption and value added-service utilization in the SMB market.</w:t>
      </w:r>
    </w:p>
    <w:p>
      <w:pPr>
        <w:spacing w:after="0" w:line="18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Providing BaaS products is highly competitive. We face competition from other BaaS providers and banks directly. We differentiate ourselves to merchants and enterprise customers through our ability to innovate and develop new products and services that offer new payment experiences for customers on our platform. Our agility, regulatory compliance, risk management and suite of products within a single platform differentiates us from competitors.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Payment Network Rules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Wall Street Reform and Consumer Protection Act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Dodd-Frank Act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$10.0 billion or more are capped at $0.21 per transaction and an ad valorem component of five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Dodd-Frank Act limits the ability of payment card networks to impose certain restrictions because it allows merchants to: 1) set minimum dollar amounts (not to exceed $10.00) for the acceptance of a credit card (and allows federal governmental entities and institutions of higher education to set maximum amounts for the acceptance of credit cards); and 2) provide discounts or incentives to encourage consumers to pay with cash, checks, debit cards or credit cards.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rules also contain prohibitions on network exclusivity and merchant routing restrictions. These rules require a card issuer to: 1) enable at least two unaffiliated networks on each debit card; 2) prohibit card networks from entering into exclusivity arrangements; and 3)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Dodd-Frank Act created the CFPB, which has assumed responsibility for enforcing federal consumer protection laws, and the FSOC, which was established to, among other things, identify risks to the stability of the U.S. financial system. The FSOC has the authority to require supervision and regulation of nonbank financial companies that the FSOC determines pose a systemic risk to the U.S. financial system. Accordingly, we may be subject to additional systemic risk-related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Network Rules and Standards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Banking Laws and Regulations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FFIEC is an interagency body comprised of federal bank and credit union regulators such as the Federal Reserve Board, the FDIC, the National Credit Union Administration, the Office of the Comptroller of the Currency and the CFPB. The FFIEC examines large data processors to identify and mitigate risks associated with systemically significant service providers, including specifically the risks they may pose to the banking industry.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considered by the FFIEC to be a TSP based on the services we provide to FIs. As a TSP, we are subject to audits by an interagency group consisting of the Federal Reserve System, the FDIC, and the Office of the Comptroller of the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subsidiary, Finxera, Inc., we also hold money transmission licenses in forty six U.S. states, the District of Columbia and two U.S. territories.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are subject to the applicable laws and regulations and are subject to examinations by state banking regulators.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Information Security Laws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provide services that may be subject to various state, federal and foreign privacy laws and regulations. These laws and regulations include: 1) the federal Gramm-Leach-Bliley Act of 1999, which applies to a broad range of FIs and to companies that provide services to FIs in the U.S.; 2) certain health care technology laws, including HIPAA and the Health Information Technology for Economic and Clinical Act; and 3) the CCPA, which establishes a new privacy framework for covered businesses by: i) creating an expanded definition of personal information; ii) establishing new data privacy rights for consumers in the State of California; iii) imposing special rules on the collection of consumer data from minors; and iv)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1) restrict the collection, processing, storage, use and disclosure of personal information; 2) require notice to individuals of privacy practices, and provide individuals with certain rights to prevent use; and 3) disclosure of protected information. These laws also impose requirements for safeguarding and removal or elimination of personal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AML and Counter-terrorism Regulation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U.S. federal anti-money laundering laws and regulations, including the BSA, and the BSA implementing regulations administered by FinCEN, a bureau of the U.S.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FIs that are directly subject to U.S. federal anti-money laundering laws and regulations, we have developed an anti-money laundering compliance program to best assist our clients in meeting such legal and regulatory requirements.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certain economic and trade sanctions programs that are administered by OFAC of the U.S.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Telephone Consumer Protection Act and Telemarketing Sales Rule</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subject to the Federal TCPA and various state laws to the extent we place telephone calls and SMS messages to clients and consumers. The TCPA regulates certain telephone calls and SMS messages placed using automatic telephone dialing systems or artificial or prerecorded voices and can alter the way we do business. Additionally, as a provider of dedicated accounts in the debt resolution industry, we are also subject to certain requirements of the Telemarketing Sales Rule which requires independence of account administrators and certain prohibitions against advance payment of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Escheat Laws</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are subject to U.S. federal and state unclaimed or abandoned property laws that require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is not an exhaustive list of the laws, rules and regulations which we are subject to and the regulatory framework governing our business is changing continuously.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developed a payments platform that includes many instances of proprietary software, code sets, workflows and algorithms. It is our practice to enter confidentiality, non-disclosure and invention assignment agreements with our employees and contractors, and to enter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1,200 employees of which 1,186 were employed full time. We have employees residing throughout the U.S., Canada and India. None of our employees are represented by a labor union or covered by a collective bargaining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strategy to develop and retain the best talent includes an emphasis on employee training and development. We promote our core values of ownership, innovation, camaraderie, service, authenticity and trust as an organization and offer awards to colleagues who exemplify these qualities. We require a mandatory online training curriculum for our employees that includes annual anti-harassment and anti-discrimination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Diversity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inclusion and diversity program focuses on our employees, workplace and community. We believe that our business is strengthened by a diverse workforce that reflects the communities in which we operate. We believe all of our employees should be treated with respect and equality, regardless of gender, ethnicity, sexual orientation, gender identity, religious beliefs or other characteristics. Inclusion and diversity remain a common thread in all of our human resource practices so that we can attract, develop and retain the best talent for our workforce.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Filings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Exchange Act, are made available free of charge on our internet website at www.prioritycommerce.com, as soon as reasonably practicable after we have electronically filed the material with, or furnished it to the SEC. The SEC maintains an internet site that contains our reports, proxy and information statements and our other SEC filings. The address of that website is 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access to our systems or unauthorized disclosure of customer or cardholder data, whether through breach of our computer systems, computer viruses, or otherwise, could expose us to liability, protracted and costly litigation and damage our reputation.</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services include the processing, transmission and storing of sensitive business and personal information about our customers, customers' customers, vendors, partners and other third parties. This information may include credit and debit card numbers, bank account numbers, personal identification numbers, names and addresses or other sensitive business information. This information may also be stored by third parties to whom we outsource certain functions or other agents ("associated third parties"). We may have responsibility to the card networks, FIs, and in some instances, our merchants, and/or ISOs, for our failure or the failure of our associated third parties to protect this information.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The techniques used to obtain unauthorized access, disable or degrade service, sabotage systems or utilize payment systems in an effort to perpetrate financial fraud change frequently and are often difficult to detect and all of which we are vulnerable to. We have been the target of brute force attempts to obtain unauthorized access to our systems. Threats may derive from human error, fraud or malice on the part of employees or third parties, or may result from accidental technological failure. Computer viruses can be distributed and spread rapidly over the internet and could infiltrate our systems or those of our associated third parties. Additionally, denial of service or other attacks could be launched against us for a variety of purposes, including interfering with our services or to create a diversion for other malicious activities. Our defensive measures may not prevent down-time, unauthorized access or use of sensitive data. While we maintain insurance coverage that will cover certain aspects of cyber risks, such insurance coverage may be insufficient to cover all losses. Furthermore, we do not control the actions of our third-party partners and customers in their systems. These third parties may experience security breaches and any future problems experienced by these third parties, including those resulting from cyber attacks or other breakdowns or disruptions in services, could adversely affect our ability to conduct our business or expose us to liability. Further, our agreements with our bank sponsors and our third-party payment processors (as well as payment network requirements) require us to take certain protective measures to ensure the confidentiality of merchant and consumer data. Any such actions, attacks or failure to adequately comply with these protective measures could hurt our reputation, force us to incur significant expenses in remediating the resulting impacts, expose us to uninsured liability, result in the loss of our bank sponsors or our ability to participate in the payment networks, or subject us to fees, penalties, sanctions, litigation or termination of our bank sponsor agreements or our third-party payment processor agreements.</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or our third-party providers' systems may fail, which could interrupt our service, cause us to lose business, increase our costs and expose us to liability.</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depend on the efficient and uninterrupted operation of our computer systems, software, data centers and telecommunications networks, as well as the systems and services of third parties. A system outage or data loss could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material adverse effect on our business, financial condition, results of operations and cash flows. Not only could we suffer damage to our reputation in the event of a system outage or data loss, but we may also be liable to third parties. Many of our contractual agreements with FIs and certain other customers require the payment of penalties if we do not meet certain operating standards. Our systems and operations or those of our third-party providers could be exposed to damage or interruption from, among other things, fire, natural disaster, power loss or telecommunications failure.</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payment processing industry is highly competitive. We primarily compete in the SMB merchant, B2B customer, and embedded finance industry. We compete with FIs and their affiliates, independent payment processing companies and ISOs. We also compete with many of these same entities for production through distribution partners. Many of our distribution partners are not exclusive to us but also have relationships with our competitors, such that we have to continually expend resources to maintain those relationships. Our growth will depend on the continued growth of banking services, Electronic Payments, particularly Electronic Payments to SMB merchants, B2B customers and our ability to increase our market share through successful competitive efforts to gain new customers and distribution partners.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many FIs and their subsidiaries or well-established payment-enabled technology providers with which we compete, have substantially greater capital, technological, management and marketing resources than we have. These factors may allow our competitors to offer better pricing terms to customers and more attractive compensation to distribution partners, which could result in a loss of our potential or current customers and distribution partners. Our current and future competitors may also develop or offer services that have price or other advantages over the services we provide.</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also face new, well capitalized, competition from emerging technology and non-traditional payment processing companies as well as traditional companies offering alternative banking services, Electronic Payments services and payment-enabled software solutions. If these new entrants gain a greater share of total Electronic Payments transactions, they could impact our ability to retain and grow our relationships with customers and distribution partners.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Increased customer or referral partner attrition could cause our financial results to decline.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experience attrition in customer credit and debit card processing volume resulting from several factors, including business closures, transfers of customers accounts to our competitors, unsuccessful contract renewal negotiations and account closures that we initiate for various reasons such as heightened credit risks or contract breaches by merchants. Our referral partners are a significant source of new business. If a referral partner switches to another processor, terminates our services, internalizes payment processing that we perform, merges with or is acquired by one of our competitors, or shuts down or becomes insolvent, we may no longer receive new customers referrals from such referral partner, and we risk losing existing merchants that were originally enrolled by the referral partner. We cannot predict the level of attrition in the future and it could increase. Higher than expected attrition could negatively affect our results, which could have a material adverse effect on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card association and debit network fees or products could increase costs or otherwise limit our operations.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payment network rules or standards could adversely affect our business, financial condition and results of operations.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sponsor banks for expected compliance with new rules have historically been, and may continue to be, highly compressed, requiring us to quickly implement changes to our systems which increases the risk of non-compliance with new standards or the reduction of certain types of merchant activity. In addition, the payment networks could make changes to interchange or other elements of the pricing structure of the merchant acquiring industry that would have a negative impact on our results of operations.</w:t>
      </w:r>
    </w:p>
    <w:p>
      <w:pPr>
        <w:spacing w:after="0" w:line="17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remain competitive and to continue to increase our revenues and earnings, we must continually update our products and services, a process which could result in increased costs and the loss of revenues, earnings, customers and distribution partners if the new products and services do not perform as intended or are not accepted in the marketplace.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Electronic Payments industry in which we compete is subject to rapid technological changes and is characterized by new technology, product and service introductions, evolving industry standards, changing customer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customers and the industry at large.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regulatory agencies,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create certain risks and may adversely affect our business, financial condition, or results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actively acquired businesses and expect to continue to make acquisitions of businesses and assets in the future. The acquisition and integration of businesses and assets involve a number of risks. These risks include valuation (negotiating a fair price for the business and assets), integration (managing the process of integrating the acquired business' people, products, technology, and other assets to realize the projected value and synergies), regulatory (obtaining any applicable regulatory or other government approvals), and due diligence (identifying risks to the prospects of the business, including undisclosed or unknown liabilities or restrictions).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can subject us to a variety of other risks:</w:t>
      </w:r>
    </w:p>
    <w:p>
      <w:pPr>
        <w:spacing w:after="0" w:line="192" w:lineRule="exact"/>
        <w:rPr>
          <w:sz w:val="20"/>
          <w:szCs w:val="20"/>
          <w:color w:val="auto"/>
        </w:rPr>
      </w:pPr>
    </w:p>
    <w:p>
      <w:pPr>
        <w:ind w:left="660" w:right="2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integrate the benefits plans, duties and responsibilities and other factors of interest to management of employees of the acquired business, we could lose employees to our competitors in the region, which could significantly affect our ability to operate the business and complete the integration;</w:t>
      </w:r>
    </w:p>
    <w:p>
      <w:pPr>
        <w:spacing w:after="0" w:line="17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integration process causes any delays with the delivery of our services, or the quality of those services, we could lose customers to our competitors;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may otherwise cause disruption to the acquired company's business and operations and relationships with financial institution sponsors, customers, merchants, employees and other partners;</w:t>
      </w:r>
    </w:p>
    <w:p>
      <w:pPr>
        <w:spacing w:after="0" w:line="161"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and the related integration could divert the attention of our management from other strategic matters including possible acquisitions and alliances and planning for new product development or expansion into new markets for payments technology and software solutions;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integration of an acquired company's business and operations into ours may be greater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economic and political risk, the business cycles of our customers and distribution partners and the overall level of consumer and commercial spending, which could negatively impact our business, financial condition and results of operations.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customers make fewer sales of their products and services using Electronic Payments, or consumers spend less money through Electronic Payments, we will have fewer transactions to process at lower dollar amounts, resulting in lower revenue. In addition, a weakening in the economy could force customers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5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Worldwide financial market conditions, as well as various social and political tensions in the U.S. and around the world, may contribute to increased market volatility, may have long-term effects and may cause economic uncertainties or deterioration in the U.S. In addition, the fiscal and monetary policies of foreign nations, such as Russia and China, may have a severe impact on U.S. financial markets. We are monitoring the conflicts between Russia</w:t>
      </w:r>
    </w:p>
    <w:p>
      <w:pPr>
        <w:spacing w:after="0" w:line="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and Ukraine, Israel and Hamas, and the larger conflict among the U.S., Israel, Iran and other middle eastern countries. While we do not expect that such conflicts will themselves be material to our business, geopolitical instability and adversity arising from such conflict (including additional conflicts that could arise from such conflicts), the imposition of sanctions, taxes and/or tariffs against one of the countries or their response to such sanctions (including retaliatory acts, such as cyber attacks and sanctions against other countries) could adversely affect the global economy or specific international, regional and domestic markets, which could have a material adverse effect on our business, results of operations or financial condition.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new legislation that may be adopted in the U.S. could significantly affect the regulation of U.S. financial markets. Areas subject to potential change, amendment or repeal include the Dodd-Frank Act and the authority of the Federal Reserve Board and the FSOC. The U.S. may also potentially withdraw from or renegotiate various trade agreements and take other actions that would change current trade policies of the U.S. We cannot predict which, if any, of these actions will be taken or, if taken, their effect on the financial stability of the U.S.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FIs and other service and technology providers. If they fail or discontinue providing their services or technology generally or to us specifically, our ability to provide services to customers may be interrupted, and, as a result, our business, financial condition and results of operations could be adversely impacted.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various FIs to provide clearing services in connection with our settlement activities. If such FIs should stop providing clearing services, we must find other FIs to provide those services. Additionally, we rely on FIs to facilitate our Payables and money transmission services offerings. If we are unable to find a replacement financial institution, we may no longer be able to provide these services to certain customers, which could negatively affect our revenues, earnings and cash flows.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also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may adversely affect our relationships with our merchants and, if we cannot find alternate providers quickly, may cause those merchants to terminate their relationship with us.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by customers or others could cause us to incur losses.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potential liability for fraudulent Electronic Payment transactions or credits initiated by customers or others. Examples of customer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ACH returns or other liabilities could have a material adverse effect on our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liability when our customers refuse or cannot reimburse us for chargebacks resolved in favor of their customers or ACH returns.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Similarly, if a return is made against a customer for whom we have collected an ACH payment and that customer does not have adequate funds to offset such a return, we may incur a loss.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customers could have a material adverse effect on our business.</w:t>
      </w:r>
    </w:p>
    <w:p>
      <w:pPr>
        <w:spacing w:after="0" w:line="190"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applicable requirements of the card networks, they could seek to fine us, suspend us or terminate our registrations for membership. If we incur fines or penalties for which our customers or ISOs are responsible that we cannot collect, we may have to bear the cost of such fines or penalties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customer or an ISO fails to comply with the applicable requirements of the card associations and networks, we or the customer or ISO could be subject to a variety of fines or penalties that may be levied by the card associations or networks. If we cannot collect or pursue collection of such amounts from the applicable customer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responsible for the actions of our vendors in some circumstances.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use third parties to provide services to us including IT related services and sales related functions. Should a cybersecurity related event or other act of negligence occur as a result of a third-party service provider, we may be liable for those 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failures and resulting interruptions in the availability of our products or services could harm our business and reputation.</w:t>
      </w:r>
    </w:p>
    <w:p>
      <w:pPr>
        <w:spacing w:after="0" w:line="22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Our business depends heavily on the reliability of our systems. An operational failure that results in an interruption in the availability of our products and services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ransomware,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enhanced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9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pace with technological change, including as a result of artificial intelligence, we could lose clients or have trouble attracting new clients.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fail to keep pace with technological change, including as a result of artificial intelligence, we could lose clients or have trouble attracting new clients. The markets for our products and services are characterized by constant and rapid technological change, evolving industry standards, frequent introduction of new products and services, and increasing client expectations. Our ability to respond timely to these changes, including by enhancing our current products and services and developing and introducing new products and services, will significantly affect our future success. In addition, competitors and other third parties may incorporate artificial intelligence into products and offerings more quickly or more successfully than we do, which could impair our ability to compete effectively and adversely affect our results of operations. Furthermore, the success of certain of our products and services rely, in part, on financial institutions, business partners and other third parties promoting the use of or distributing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Compliance and Tax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could have a material adverse effect on our business, financial condition or results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affected by laws and regulations and examinations that affect us and our industries. Regulation and proposed regulation of the payments</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industry has increased significantly in recent years. Failure to comply with regulations or guidelines may result in the suspension or revocation of a license or registration, the limitation, suspension or termination of service, including money transmission services, and the imposition of civil and criminal penalties, including fines, or may cause customers or potential customers to be reluctant to do business with us, any of which could have an adverse effect on our financial condition.</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Interchange fees are subject to intense legal, regulatory and legislative scrutiny. In particular, the Dodd-Frank Act limits the amount of debit card fees charged by certain issuers, allowing merchants to set minimum dollar amounts for the acceptance of credit cards and allowing merchants to offer discounts or other incentives for different payment methods. These types of restrictions could negatively affect the number of debit transactions, which would</w:t>
      </w:r>
    </w:p>
    <w:p>
      <w:pPr>
        <w:spacing w:after="0" w:line="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adversely affect our business. The Dodd-Frank Act also created the CFPB, which has assumed responsibility for enforcing federal consumer protection laws, and the FSOC, which has the authority to determine whether any non-bank financial company, which may include us within the definitional scope, should be supervised by the Federal Reserve because it is systemically important to the U.S. financial system. Any such designation would result in increased regulatory burdens on our business, which increases our risk profile and may have an adverse impact on our business, financial condition and results of operations.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and many of our merchants may be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may also be subject to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Separately, the Housing Assistance Tax Act of 2008 included an amendment to the Internal Revenue Code that requires the filing of yearly information returns by payment processing entities and third-party settlement organizations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intellectual property and may be subject to infringement claims.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also be subject to costly litigation if our services and technology are alleged to infringe upon or otherwise violate a third 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results of operations and cash flows from operations.</w:t>
      </w:r>
    </w:p>
    <w:p>
      <w:pPr>
        <w:spacing w:after="0" w:line="216"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40"/>
        <w:spacing w:after="0" w:line="250" w:lineRule="auto"/>
        <w:rPr>
          <w:sz w:val="20"/>
          <w:szCs w:val="20"/>
          <w:color w:val="auto"/>
        </w:rPr>
      </w:pPr>
      <w:r>
        <w:rPr>
          <w:rFonts w:ascii="Times New Roman" w:cs="Times New Roman" w:eastAsia="Times New Roman" w:hAnsi="Times New Roman"/>
          <w:sz w:val="18"/>
          <w:szCs w:val="18"/>
          <w:color w:val="auto"/>
        </w:rPr>
        <w:t>During 2025, the the One Big Beautiful Bill Act was enacted in the U.S., including provisions such as the permanent extension of certain expiring provisions of the Tax Cuts and Jobs Act, modifications to the international tax framework, and the restoration of favorable tax treatment for certain business provisions. The legislation has multiple effective dates beginning in 2025.</w:t>
      </w:r>
    </w:p>
    <w:p>
      <w:pPr>
        <w:spacing w:after="0" w:line="18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8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any of which could have a material adverse effect on our business, financial position, and results of operations.</w:t>
      </w:r>
    </w:p>
    <w:p>
      <w:pPr>
        <w:spacing w:after="0" w:line="21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Recently, federal bank regulators have increasingly focused on the risks related to bank and non-bank financial service company partnerships, raising concerns regarding risk management, oversight, internal controls, information security, change management, and information technology operational resilience. This focus is demonstrated by recent regulatory enforcement actions against banks that have allegedly not adequately addressed these concerns while growing their non-bank financial service offerings. Additionally, there are ongoing investigations by federal and state governmental entities concerning a prepaid debit card product program that was offered by the Company through an independent program manager. We could be subject to additional regulatory scrutiny with respect to that portion of our business that could have a material adverse effect on the business, financial condition, results of operations and growth prospects of the Company.</w:t>
      </w:r>
    </w:p>
    <w:p>
      <w:pPr>
        <w:spacing w:after="0" w:line="2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199"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or security failures in our information technology systems, including as a result of cybersecurity incidents, could create liability for us and/or limit our ability to effectively monitor, operate and control our operations and adversely affect our reputation, business, financial condition, results of operation and cash flows.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face risks related to cybersecurity, such as unauthorized access, cybersecurity attacks and other security incidents, which could adversely affect our business and operations. The Company relies upon operational and information systems, some of which are managed by third parties, to process, transmit and store electronic information and to manage or support a variety of our business processes, activities and products. Additionally, we collect and store sensitive data, including the personally identifiable information of our customers and employees, in data centers and on information systems (including systems that may be controlled or maintained by third parties). The Company’s business, and in particular, the debit card and cash management solutions business and global payments business, is dependent on its ability to process and monitor, on a daily basis, a large number of transactions, many of which are highly complex, across numerous and diverse markets. These transactions, as well as the information technology services provided to clients, often must adhere to client-specific guidelines, as well as legal and regulatory standards. Due to the breadth and geographical reach of the Company’s client base, developing and maintaining its operational and information systems and infrastructure is challenging, particularly as a result of rapidly evolving legal and regulatory requirements and technological shifts.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Although the Company continues to take protective measures to maintain the confidentiality, integrity and security of our operational and information systems and infrastructure, the techniques used in cyberattacks are becoming increasingly diverse and sophisticated. For example, the Company’s operational and information systems or infrastructure, or those of our third-party providers, may be vulnerable to unauthorized access, loss or destruction of data (including confidential client information), account takeovers, disruptions of service, computer viruses or other malicious code, cyberattacks and other incidents that could create a cybersecurity event, any of which could remain undetected for an extended period of time. Furthermore, the Company may not be able to ensure that all of its clients, suppliers, counterparties and other third parties have appropriate controls in place to protect themselves from cyberattacks or to protect the confidentiality of the information that they exchange with us, particularly where such information is transmitted by electronic means. Given the increasingly high volume of transactions, certain errors may be repeated or compounded before they can be discovered and rectified. In addition, the increasing reliance on information systems, and the occurrence and potential adverse impact of attacks on such systems, both generally and in the financial services industry, have encouraged increased government and regulatory scrutiny of the measures taken by companies to protect against cybersecurity threats and incidents. As these threats, incidents and government and regulatory oversight of associated risks continue to evolve, the Company may be required to expend additional resources to enhance or expand upon the security measures it currently maintains. Although the Company has developed, and continues to invest in, systems and processes that are designed to detect and prevent security breaches and cyberattacks, a breach of its systems and global payments infrastructure or those of our non-bank financial service partners and processors could result in: losses to the Company and its customers; loss of business and/or customers; damage to its reputation; the incurrence of additional expenses (including the cost of notification to consumers, credit monitoring and forensics, and fees and fines imposed by the card networks); disruption to its business; an inability to grow its online services or other businesses; additional regulatory scrutiny or penalties; and/or exposure to civil litigation and possible financial liability — any of which could have a material adverse effect on the Company’s business, financial condition and results of operations. We have not encountered cybersecurity threats or incidents that have materially and adversely affected, or are reasonably likely to materially and adversely affect, the Company’s business, results of operations or financial condition; however, the impacts of such threats or incidents in the future may be material.</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While the Company maintains cybersecurity insurance, the costs related to cybersecurity threats or disruptions may not be fully insured. For information on our cybersecurity risk management, strategy and governance, see </w:t>
      </w:r>
      <w:r>
        <w:rPr>
          <w:rFonts w:ascii="Times New Roman" w:cs="Times New Roman" w:eastAsia="Times New Roman" w:hAnsi="Times New Roman"/>
          <w:sz w:val="18"/>
          <w:szCs w:val="18"/>
          <w:u w:val="single" w:color="auto"/>
          <w:color w:val="0000FF"/>
        </w:rPr>
        <w:t>Part I, Item 1C.,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substantial indebtedness.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 substantial amount of indebtedness and may incur other debt in the future. Our level of debt and the covenants to which we agreed could have negative consequences on us, including, among other things, (i) requiring us to dedicate a large portion of our cash flow from operations to servicing and repayment of the debt; (ii) limiting funds available for strategic initiatives and opportunities, working capital and other general corporate needs and (iii) limiting our ability to incur certain kinds or amounts of additional indebtedness, which could restrict our ability to react to changes in our business, our industry and economic conditions.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42424"/>
        </w:rPr>
        <w:t>Substantially all of our indebtedness is variable rate debt, primarily based on SOFR, which replaced LIBOR effective June 30, 2023. As a result of this variable rate debt, an increase in interest rates generally would adversely affect our profitability. We may enter into pay-fixed interest rate swaps or other derivative transactions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limit our ability to:</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redeem or purchase equity interests;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or other investments;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2024 Credit Agreement which governs our revolving credit facility contains a total net leverage ratio financial covenant that is applicable when 35% or more of the revolving credit facility is drawn at quarter end. The Residual Finance Credit Facility requires Finance SPV to comply with certain restrictions including minimum liquidity of $2.0 million, minimum tangible net worth of $5.0 million, maximum default ratio of 2.5%, maximum delinquency ratio of 5.0%, and a minimum excess spread ratio of 1.00 to 1.00.</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or event of default under our 2024 Credit Agreement or the Residual Finance Credit Facility. If an event of default occurred,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the 2024 Credit Agreement</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and the Residual Finance credit facility. Any acceleration of amounts due under the 2024 Credit Agreement would likely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 Thomas C. Priore, recently submitted a non-binding proposal to our Board of Directors to acquire all of the outstanding</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of the Company’s common stock for a price in the range of $6.00 to $6.15 per share. Uncertainty regarding a potential going-private transaction could create significant uncertainty to our business, including disruption to our management and employees, and contribute to volatility in our stock price.</w:t>
      </w:r>
    </w:p>
    <w:p>
      <w:pPr>
        <w:spacing w:after="0" w:line="202"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7"/>
          <w:szCs w:val="17"/>
          <w:color w:val="auto"/>
        </w:rPr>
        <w:t>On November 9, 2025, Mr. Priore, who directly or beneficially owns approximately 60% of our outstanding common stock as of November 9, 2025, submitted a non-binding proposal to our Board on behalf of himself and his affiliated entities (the “Proposing Shareholders”) to acquire all of the</w:t>
      </w:r>
    </w:p>
    <w:p>
      <w:pPr>
        <w:ind w:right="300"/>
        <w:spacing w:after="0" w:line="273" w:lineRule="auto"/>
        <w:rPr>
          <w:sz w:val="20"/>
          <w:szCs w:val="20"/>
          <w:color w:val="auto"/>
        </w:rPr>
      </w:pPr>
      <w:r>
        <w:rPr>
          <w:rFonts w:ascii="Times New Roman" w:cs="Times New Roman" w:eastAsia="Times New Roman" w:hAnsi="Times New Roman"/>
          <w:sz w:val="18"/>
          <w:szCs w:val="18"/>
          <w:color w:val="auto"/>
        </w:rPr>
        <w:t>outstanding shares of the Company’s common stock (a “Take Private Transaction”) for a price in the range of $6.00 to $6.15 per share. The Board has established a special committee comprised of disinterested and independent directors in response to interest expressed by the Proposing Shareholders in</w:t>
      </w:r>
    </w:p>
    <w:p>
      <w:pPr>
        <w:spacing w:after="0" w:line="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exploring the Take Private Transaction. Any potential Take Private Transaction may be subject to numerous conditions, including financing availability and regulatory approvals.</w:t>
      </w:r>
    </w:p>
    <w:p>
      <w:pPr>
        <w:spacing w:after="0" w:line="2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incur significant costs in connection with the evaluation of, and response to, any proposal regarding a Take Private Transaction. The potential of a Take Private Transaction may also divert the attention of management and employees from the ongoing operation of our business and may impact employee morale and retention, all of which could impair our ability to execute our strategic plans, meet operational objectives, and respond to competitive</w:t>
      </w:r>
    </w:p>
    <w:p>
      <w:pPr>
        <w:ind w:right="40"/>
        <w:spacing w:after="0" w:line="282" w:lineRule="auto"/>
        <w:rPr>
          <w:sz w:val="20"/>
          <w:szCs w:val="20"/>
          <w:color w:val="auto"/>
        </w:rPr>
      </w:pPr>
      <w:r>
        <w:rPr>
          <w:rFonts w:ascii="Times New Roman" w:cs="Times New Roman" w:eastAsia="Times New Roman" w:hAnsi="Times New Roman"/>
          <w:sz w:val="18"/>
          <w:szCs w:val="18"/>
          <w:color w:val="auto"/>
        </w:rPr>
        <w:t>pressures. Our customers may also react negatively to a Take Private Transaction, including any related negative publicity regarding the Company. Further, the possibility of a Take Private Transaction may contribute to continued or increased volatility in our stock price.</w:t>
      </w:r>
    </w:p>
    <w:p>
      <w:pPr>
        <w:spacing w:after="0" w:line="18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Thomas Priore, our Chief Executive Officer and Chairman, controls the Company, and his interests may conflict with ours or yours in the future.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stockholders'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directors and officers, or their pledgees, as a result of foreclosure could adversely affect the price of common stock and could, in the future, result in a loss of control of our company.</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Upon the approval of our Board, our directors and officers may pledge shares of common stock as collateral for personal loans or investments in favor of third parties. Depending on the status of the various loan obligations for which the stock would ultimately serve as collateral and the trading price of our common stock, our directors and/or officers, and their affiliates, may experience foreclosure that could result in the sale of the pledged stock, in the open market or otherwise. Sales by these pledgees may not be subject to the volume limitations of Rule 144 of the Securities Act. Even in the absence of shares being sold, the act of pledging shares and the risk of sales of shares may create a misalignment of interests between insider pledgors and the Company’s stockholders, as the insider may be incentivized to take actions that limit his or her exposure to such sales. Either scenario could potentially subject the Company and its insiders to stockholder lawsuits, particularly in an environment of declining share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we may not be able to accurately report our financial results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annually evaluate the effectiveness of our internal control over financial reporting as of the end of each year and to include a management report assessing the effectiveness of our internal control over financial reporting in our Annual Report on Form 10-K. If we fail to maintain the adequacy of our internal control, we may be unable to accurately report our financial results, or report them within the required timeframes.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While we continue to dedicate resources to ensure we have effective internal controls over financial reporting, failure to achieve and maintain an effective internal control environment could have a material adverse effect on our ability to timely generate accurate financial statements in conformity with accounting principles generally accepted in the United States, and, resultingly, on the market's perception of our business and on our stock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the customers we serve, our business partners, employees and our stockholders and are committed to protecting the confidentiality, integrity and reliance of our business operations and systems. Effective data protection and cyber security practices, including responsible stewardship of our intellectual property and the secure processing, storage, maintenance and transmission of critical information by us and other third parties with whom we do business is vital to our operations. We have adopted policies and procedures with an intended design to identify, assess and manage risks associated with cybersecurity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480" w:hanging="328"/>
        <w:spacing w:after="0" w:line="234"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perform risk assessments periodically at both an Treasury Solutions level and system level in addition to assessments performed by third parties;</w:t>
      </w:r>
    </w:p>
    <w:p>
      <w:pPr>
        <w:spacing w:after="0" w:line="11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information security team performs threat monitoring services;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Internal Audit function performs annual reviews of selected systems and applications to test certain controls;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Independent consultants evaluate selected systems and applications on an annual basis;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perform risk assessments of third-party vendors and perform ongoing risk-based monitoring of those third parties;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maintain a business continuity plan for execution in the event of a cybersecurity incident.</w:t>
      </w:r>
    </w:p>
    <w:p>
      <w:pPr>
        <w:spacing w:after="0" w:line="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in the years ended December 31, 2025, 2024 and 2023, and the expenses we have incurred from cybersecurity incidents during that time were immaterial. We have not identified risks from known cybersecurity threats that have materially affected us, including our operations, business strategy,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The Board oversees the Company’s overall risk framework including</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management’s implementation of our cybersecurity risk management program. The Board receives reports from the Chief Risk Officer on a regular basis on cybersecurity and information technology risk management.</w:t>
      </w:r>
    </w:p>
    <w:p>
      <w:pPr>
        <w:spacing w:after="0" w:line="16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Our Company’s cybersecurity team, overseen by our Chief Information Security Officer (“CISO”) is responsible for assessing and managing our risks from cybersecurity threats, including defining our security policy and furnishing related information for Board reporting. The CISO approves all security policies</w:t>
      </w:r>
    </w:p>
    <w:p>
      <w:pPr>
        <w:spacing w:after="0" w:line="2"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and oversees the identification, assessment, and management of security risks. The CISO regularly reports to management’s SOX Committee which may elevate cybersecurity issues to the Board at any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from several offices throughout the U.S. and one office in India, all of which we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office locations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headquarters in Alpharetta, GA;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Hicksville,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New York,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Dallas, TX;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Houston, TX;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Chattanooga, TN;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San Francisco, CA;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Raleigh, NC;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office in Chandigarh,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lease several small facilities for sales and operations. Our current facilities meet the needs of our employee base and can accommodate our currently contemplated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is a party in a case filed on October 11, 2023 in the United States District Court of Northern District of California (the “Complaint”). The Complaint is a putative class action against The Credit Wholesale Company, Inc. (“Wholesale”), Priority Technology Holdings, Inc., Priority Payment Systems (“PPS”), LLC and Wells Fargo Bank, N.A. (“Wells Fargo”). The Complaint alleges that Wholesale as an agent of Priority, PPS and Wells Fargo made non-consensual recordation of telephonic communications with California businesses in violation of California Invasion of Privacy Act (the “Act”). The Complaint seeks to certify a class of affected businesses and an award of $5,000 per violation of the Act. On May 23, 2025, the court approved the final settlement agreement entered into by the parties wherein defendants agree to pay $19.5 million to settle this litigation. Final judgment has been entered dismissing all claims against defendants.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80"/>
        <w:spacing w:after="0" w:line="289" w:lineRule="auto"/>
        <w:rPr>
          <w:sz w:val="20"/>
          <w:szCs w:val="20"/>
          <w:color w:val="auto"/>
        </w:rPr>
      </w:pPr>
      <w:r>
        <w:rPr>
          <w:rFonts w:ascii="Times New Roman" w:cs="Times New Roman" w:eastAsia="Times New Roman" w:hAnsi="Times New Roman"/>
          <w:sz w:val="17"/>
          <w:szCs w:val="17"/>
          <w:color w:val="auto"/>
        </w:rPr>
        <w:t>On July 25, 2018, our Common Stock began trading on The Nasdaq Capital Market under the symbol "PRTH". As of March 4, 2026, we had 61 holders of record of our Common Stock. This figure does not include the number of persons whose securities are held in nominee or "street" name accounts through brokers. We have never declared or paid, and do not anticipate declaring or paying in the foreseeable future, any cash dividends on our Common Stock.</w:t>
      </w:r>
    </w:p>
    <w:p>
      <w:pPr>
        <w:sectPr>
          <w:pgSz w:w="11900" w:h="16838" w:orient="portrait"/>
          <w:cols w:equalWidth="0" w:num="1">
            <w:col w:w="11240"/>
          </w:cols>
          <w:pgMar w:left="320" w:top="121" w:right="33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4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r>
      <w:tr>
        <w:trPr>
          <w:trHeight w:val="180"/>
        </w:trPr>
        <w:tc>
          <w:tcPr>
            <w:tcW w:w="23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40" w:type="dxa"/>
            <w:vAlign w:val="bottom"/>
          </w:tcPr>
          <w:p>
            <w:pPr>
              <w:spacing w:after="0"/>
              <w:rPr>
                <w:sz w:val="15"/>
                <w:szCs w:val="15"/>
                <w:color w:val="auto"/>
              </w:rPr>
            </w:pPr>
          </w:p>
        </w:tc>
        <w:tc>
          <w:tcPr>
            <w:tcW w:w="18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r>
      <w:tr>
        <w:trPr>
          <w:trHeight w:val="184"/>
        </w:trPr>
        <w:tc>
          <w:tcPr>
            <w:tcW w:w="23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40" w:type="dxa"/>
            <w:vAlign w:val="bottom"/>
          </w:tcPr>
          <w:p>
            <w:pPr>
              <w:spacing w:after="0"/>
              <w:rPr>
                <w:sz w:val="16"/>
                <w:szCs w:val="16"/>
                <w:color w:val="auto"/>
              </w:rPr>
            </w:pPr>
          </w:p>
        </w:tc>
        <w:tc>
          <w:tcPr>
            <w:tcW w:w="18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equity compensation plans (excluding</w:t>
            </w:r>
          </w:p>
        </w:tc>
      </w:tr>
      <w:tr>
        <w:trPr>
          <w:trHeight w:val="229"/>
        </w:trPr>
        <w:tc>
          <w:tcPr>
            <w:tcW w:w="2360" w:type="dxa"/>
            <w:vAlign w:val="bottom"/>
            <w:gridSpan w:val="2"/>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(1)</w:t>
            </w:r>
          </w:p>
        </w:tc>
        <w:tc>
          <w:tcPr>
            <w:tcW w:w="2020" w:type="dxa"/>
            <w:vAlign w:val="bottom"/>
            <w:gridSpan w:val="3"/>
          </w:tcPr>
          <w:p>
            <w:pPr>
              <w:jc w:val="center"/>
              <w:ind w:right="140"/>
              <w:spacing w:after="0" w:line="230" w:lineRule="exact"/>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b w:val="1"/>
                <w:bCs w:val="1"/>
                <w:color w:val="auto"/>
                <w:w w:val="98"/>
                <w:vertAlign w:val="superscript"/>
              </w:rPr>
              <w:t>(2)</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 the first column)</w:t>
            </w:r>
          </w:p>
        </w:tc>
      </w:tr>
      <w:tr>
        <w:trPr>
          <w:trHeight w:val="412"/>
        </w:trPr>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2,488,001</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24"/>
                <w:szCs w:val="24"/>
                <w:color w:val="auto"/>
              </w:rPr>
            </w:pPr>
          </w:p>
        </w:tc>
        <w:tc>
          <w:tcPr>
            <w:tcW w:w="3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2,322,821</w:t>
            </w:r>
          </w:p>
        </w:tc>
      </w:tr>
      <w:tr>
        <w:trPr>
          <w:trHeight w:val="418"/>
        </w:trPr>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-539750</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180"/>
            <w:col w:w="7480"/>
          </w:cols>
          <w:pgMar w:left="320" w:top="121" w:right="339" w:bottom="1440" w:gutter="0" w:footer="0" w:header="0"/>
          <w:type w:val="continuous"/>
        </w:sectPr>
      </w:pPr>
    </w:p>
    <w:p>
      <w:pPr>
        <w:spacing w:after="0" w:line="62"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stock options PSUs, and RSUs outstanding under the Company's 2018 Plan.</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set forth in this column is calculated for stock options outstanding and excludes outstanding PSUs and RSU awards, since recipients are not required to pay an exercise price to receive the shares related to these awards.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made by the Company of its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(shares are in whole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40" w:type="dxa"/>
            <w:vAlign w:val="bottom"/>
          </w:tcPr>
          <w:p>
            <w:pPr>
              <w:spacing w:after="0"/>
              <w:rPr>
                <w:sz w:val="18"/>
                <w:szCs w:val="18"/>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40" w:type="dxa"/>
            <w:vAlign w:val="bottom"/>
          </w:tcPr>
          <w:p>
            <w:pPr>
              <w:spacing w:after="0"/>
              <w:rPr>
                <w:sz w:val="15"/>
                <w:szCs w:val="15"/>
                <w:color w:val="auto"/>
              </w:rPr>
            </w:pPr>
          </w:p>
        </w:tc>
        <w:tc>
          <w:tcPr>
            <w:tcW w:w="1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14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 Purchased</w:t>
            </w:r>
          </w:p>
        </w:tc>
        <w:tc>
          <w:tcPr>
            <w:tcW w:w="0" w:type="dxa"/>
            <w:vAlign w:val="bottom"/>
          </w:tcPr>
          <w:p>
            <w:pPr>
              <w:spacing w:after="0"/>
              <w:rPr>
                <w:sz w:val="1"/>
                <w:szCs w:val="1"/>
                <w:color w:val="auto"/>
              </w:rPr>
            </w:pPr>
          </w:p>
        </w:tc>
      </w:tr>
      <w:tr>
        <w:trPr>
          <w:trHeight w:val="243"/>
        </w:trPr>
        <w:tc>
          <w:tcPr>
            <w:tcW w:w="2820" w:type="dxa"/>
            <w:vAlign w:val="bottom"/>
            <w:gridSpan w:val="2"/>
            <w:vMerge w:val="continue"/>
          </w:tcPr>
          <w:p>
            <w:pPr>
              <w:spacing w:after="0"/>
              <w:rPr>
                <w:sz w:val="21"/>
                <w:szCs w:val="21"/>
                <w:color w:val="auto"/>
              </w:rPr>
            </w:pPr>
          </w:p>
        </w:tc>
        <w:tc>
          <w:tcPr>
            <w:tcW w:w="160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w w:val="99"/>
              </w:rPr>
              <w:t>Shares Purchased</w:t>
            </w:r>
            <w:r>
              <w:rPr>
                <w:rFonts w:ascii="Times New Roman" w:cs="Times New Roman" w:eastAsia="Times New Roman" w:hAnsi="Times New Roman"/>
                <w:sz w:val="23"/>
                <w:szCs w:val="23"/>
                <w:b w:val="1"/>
                <w:bCs w:val="1"/>
                <w:color w:val="auto"/>
                <w:w w:val="99"/>
                <w:vertAlign w:val="superscript"/>
              </w:rPr>
              <w:t>(1)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5,690,626</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9"/>
              </w:rPr>
              <w: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5,690,626</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99"/>
              </w:rPr>
              <w:t>—</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5,690,626</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680" w:hanging="328"/>
        <w:spacing w:after="0" w:line="232" w:lineRule="auto"/>
        <w:tabs>
          <w:tab w:leader="none" w:pos="65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(in whole units) withheld to satisfy employees' tax withholding obligations related to the vesting of restricted stock awards, which was determined based on the fair market value on the day prior to the vesting 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spacing w:after="0" w:line="258"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The following management's discussion and analysis of financial condition and results of operations should be read together with our audited financial statements and the related notes included elsewhere in this Annual Report on Form 10-K. This section of this Form 10-K generally discusses 2025 and 2024 items and year-over-year comparisons between 2025 and 2024. Discussions of 2024 items and year-over-year comparisons between 2024 and 2023 </w:t>
      </w:r>
      <w:hyperlink r:id="rId46">
        <w:r>
          <w:rPr>
            <w:rFonts w:ascii="Times New Roman" w:cs="Times New Roman" w:eastAsia="Times New Roman" w:hAnsi="Times New Roman"/>
            <w:sz w:val="18"/>
            <w:szCs w:val="18"/>
            <w:color w:val="auto"/>
          </w:rPr>
          <w:t xml:space="preserve">are not included in this Form 10-K, and can be found in </w:t>
        </w:r>
        <w:r>
          <w:rPr>
            <w:rFonts w:ascii="Times New Roman" w:cs="Times New Roman" w:eastAsia="Times New Roman" w:hAnsi="Times New Roman"/>
            <w:sz w:val="18"/>
            <w:szCs w:val="18"/>
            <w:u w:val="single" w:color="auto"/>
            <w:color w:val="0000FF"/>
          </w:rPr>
          <w:t>"Management's Discussion and Analysis of Financial Condition and Results of Operations" in Part</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II, Item 7 of the Company's Annual Report on Form 10-K for the year ended December 31, 2024.</w:t>
        </w:r>
      </w:hyperlink>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this section may not add mathematically due to rounding.</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During 2025 the Company renamed its reportable segments, for a description and additional information see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contained in "</w:t>
      </w:r>
      <w:r>
        <w:rPr>
          <w:rFonts w:ascii="Times New Roman" w:cs="Times New Roman" w:eastAsia="Times New Roman" w:hAnsi="Times New Roman"/>
          <w:sz w:val="18"/>
          <w:szCs w:val="18"/>
          <w:u w:val="single" w:color="auto"/>
          <w:color w:val="0000FF"/>
        </w:rPr>
        <w:t>Item 8 - Financial Statements and Supplementary Data</w:t>
      </w:r>
      <w:r>
        <w:rPr>
          <w:rFonts w:ascii="Times New Roman" w:cs="Times New Roman" w:eastAsia="Times New Roman" w:hAnsi="Times New Roman"/>
          <w:sz w:val="18"/>
          <w:szCs w:val="18"/>
          <w:color w:val="auto"/>
        </w:rPr>
        <w:t>"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section includes certain components of our results of operations for the years ended December 31, 2025 (or "2025"), and December 31, 2024 (or "2024"). We have derived this data, except key indicators including total card processing dollar value and transaction count (Merchant Solutions), buyer funded card processing dollar value, supplier funded issuing dollar value, and transaction count (Payables), and average billed clients, average monthly enrollments, and average total account balances (Treasury Solutions), from our audited Consolidated Financial Statements included elsewhere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consolidated revenue of $953.0 million increased by $73.3 million, or 8.3%, from $879.7 million for the year ended December 31, 2024. This overall increase was driven by increases in merchant bankcard processing dollar value, transaction count and acquisitions in our Merchant Solutions segment, an increase in new enrollments and higher interest income on permissible investments in our Treasury Solutions segment and an increase in revenue due to increase in volumes in Payables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Revenues by type for 2025 and 2024 were as follows: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710,915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670,411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40,504</w:t>
            </w:r>
          </w:p>
        </w:tc>
      </w:tr>
      <w:tr>
        <w:trPr>
          <w:trHeight w:val="229"/>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29,046</w:t>
            </w:r>
          </w:p>
        </w:tc>
      </w:tr>
      <w:tr>
        <w:trPr>
          <w:trHeight w:val="230"/>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2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70,708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3,690</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953,009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879,702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73,307</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 Card Fees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merchant card fees revenue of $710.9 million increased by $40.5 million, or 6.0%, from $670.4 million for the year ended December 31, 2024. This increase was primarily driven by revenue from acquisitions in 2025 and increased bankcard processing dollar values and transaction counts in the Merchant Solutions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Money Transmission Services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Money transmission services revenue of $159.2 million for the year ended December 31, 2025 increased by $29.0 million or 22.3%, from $130.1 million for the year ended December 31, 2024 and is primarily driven by increased customer enrollments, which resulted in a higher number of billed clients.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Outsourced Services and Other Services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Outsourced services and other services revenue of $70.7 million for the year ended December 31, 2025 increased by $3.7 million, or 5.5%, from $67.0 million for the year ended December 31, 2024. This increase was primarily due to growth in interest income on permissible investments due to higher deposit balances and increased volume in ACH.com business partially offset by a decrease in interest rates and decreased issuing dollar volumes in CPX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Equipment revenue of $12.2 million for the year ended December 31, 2025, remained consistent in comparison to $12.2 million for the year ended December 31, 2024, as equipment revenue is directly driven by merchant demand for certain equipment. No trends affecting equipment revenue were identified.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for 2025 and 2024 were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 (excludes 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578,315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551,621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26,694</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107,787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18,571</w:t>
            </w:r>
          </w:p>
        </w:tc>
      </w:tr>
      <w:tr>
        <w:trPr>
          <w:trHeight w:val="229"/>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5,142</w:t>
            </w:r>
          </w:p>
        </w:tc>
      </w:tr>
      <w:tr>
        <w:trPr>
          <w:trHeight w:val="230"/>
        </w:trPr>
        <w:tc>
          <w:tcPr>
            <w:tcW w:w="6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47,403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15,076</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811,764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746,281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65,483</w:t>
            </w:r>
          </w:p>
        </w:tc>
      </w:tr>
      <w:tr>
        <w:trPr>
          <w:trHeight w:val="21"/>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of Services (excludes depreciation and amortization)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Costs of services (excludes depreciation and amortization) of $578.3 million for the year ended December 31, 2025 increased by $26.7 million, or 4.8%, from $551.6 million for the year ended December 31, 2024, primarily due to the corresponding increase in revenues. For the year ended December 31, 2025, costs of services (excluding depreciation and amortization) as a percentage of total revenues decreased to 60.7% as compared to 62.7% for the year ended December 31, 2024. This decrease was primarily due to increased interest income on permissible investments and money transmission revenues, which do not have significant costs of services, as well as lower credit losses, reduced inventory write-offs, and acquisitions, partially offset by mix-related margin compression.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Salary and employee benefits</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Salary and employee benefits expense of $107.8 million for the year ended December 31, 2025 increased by $18.6 million, or 20.8%, from $89.2 million for the year ended December 31, 2024, primarily due to merit increases, increased stock based compensation and increased headcount from acquisitions and to support overall growth of the Company. The Company's employee headcount increased to 1,200 in 2025 from 1,019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and amortization expense</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$63.2 million for the year ended December 31, 2025 increased by $5.1 million, or 8.9%, from $58.0 million for the year ended December 31, 2024, primarily due to the amortization of intangibles acquired during the year, accelerated depreciation on certain assets and depreciation of new assets placed in service partially offset by the full depreciation/amortization of certain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of $62.5 million for the year ended December 31, 2025 increased by $15.1 million, or 31.8%, from $47.4 million for the year ended December 31, 2024, primarily due to increases in marketing expenses of $1.2 million, accounting expenses of $2.4 million (primarily for SOX compliance and audits), software expenses of $2.9 million, cloud hosting expenses of $2.5 million, travel expenses of $1.4 million, and other variances which are not individually material.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0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68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(90,654)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(88,948)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(1,706)</w:t>
            </w: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6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5,025</w:t>
            </w:r>
          </w:p>
        </w:tc>
      </w:tr>
      <w:tr>
        <w:trPr>
          <w:trHeight w:val="248"/>
        </w:trPr>
        <w:tc>
          <w:tcPr>
            <w:tcW w:w="6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(94,966)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Interest expense of $90.7 million for the year ended December 31, 2025, increased by $1.7 million, or 1.9%, from $88.9 million for the year ended December 31, 2024, due to higher debt balances to fund acquisitions offset by decreases in interest rates due to debt refinancings and federal rate cuts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extinguishment and modification costs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Debt extinguishment and modification costs for the year ended December 31, 2025, increased by $2.1 million or 20.7%, from the year ended December 31, 2024, due to debt refinancings (see </w:t>
      </w:r>
      <w:r>
        <w:rPr>
          <w:rFonts w:ascii="Times New Roman" w:cs="Times New Roman" w:eastAsia="Times New Roman" w:hAnsi="Times New Roman"/>
          <w:sz w:val="18"/>
          <w:szCs w:val="18"/>
          <w:u w:val="single" w:color="auto"/>
          <w:color w:val="0000FF"/>
        </w:rPr>
        <w:t>Note 10. Debt Obligations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Other income, net of $8.2 million for the year ended December 31, 2025 increased by $5.0 million, or 158.2%, from $3.2 million for the year ended December 31, 2024, due to bargain purchase gain of $4.0 million from Sila acquisition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and increased interest income from the Company's operating accounts.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Income tax expense</w:t>
            </w: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9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4"/>
                <w:szCs w:val="24"/>
                <w:color w:val="auto"/>
              </w:rPr>
            </w:pPr>
          </w:p>
        </w:tc>
        <w:tc>
          <w:tcPr>
            <w:tcW w:w="28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r>
      <w:tr>
        <w:trPr>
          <w:trHeight w:val="223"/>
        </w:trPr>
        <w:tc>
          <w:tcPr>
            <w:tcW w:w="144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23"/>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(9,402)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(22,668)</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from 2024 to 2025 is primarily due to a reduction in the valuation allowance recorded against certain business interest carryover deferred tax assets resulting from the enactment of the One Big Beautiful Bill Act (“OBBBA”) during the year ended December 31, 2025.</w:t>
      </w:r>
    </w:p>
    <w:p>
      <w:pPr>
        <w:spacing w:after="0" w:line="162"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Our consolidated effective income tax rates differ from the statutory rate due to timing and permanent differences between amounts calculated under GAAP and the U.S. tax code. The consolidated effective income tax rate for 2025 may not be indicative of our effective tax rate for future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Attributable to Common Stockholders</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p>
    <w:p>
      <w:pPr>
        <w:ind w:left="140"/>
        <w:spacing w:after="0" w:line="237" w:lineRule="auto"/>
        <w:rPr>
          <w:sz w:val="20"/>
          <w:szCs w:val="20"/>
          <w:color w:val="auto"/>
        </w:rPr>
      </w:pPr>
      <w:r>
        <w:rPr>
          <w:rFonts w:ascii="Times New Roman" w:cs="Times New Roman" w:eastAsia="Times New Roman" w:hAnsi="Times New Roman"/>
          <w:sz w:val="18"/>
          <w:szCs w:val="18"/>
          <w:color w:val="auto"/>
        </w:rPr>
        <w:t>Less: Dividends, accretion and related excise tax attributable to redeemable senior preferred stockholders</w:t>
      </w:r>
    </w:p>
    <w:p>
      <w:pPr>
        <w:spacing w:after="0" w:line="10" w:lineRule="exact"/>
        <w:rPr>
          <w:sz w:val="20"/>
          <w:szCs w:val="20"/>
          <w:color w:val="auto"/>
        </w:rPr>
      </w:pPr>
    </w:p>
    <w:p>
      <w:pPr>
        <w:ind w:left="20" w:right="1960" w:firstLine="108"/>
        <w:spacing w:after="0" w:line="313" w:lineRule="auto"/>
        <w:rPr>
          <w:sz w:val="20"/>
          <w:szCs w:val="20"/>
          <w:color w:val="auto"/>
        </w:rPr>
      </w:pPr>
      <w:r>
        <w:rPr>
          <w:rFonts w:ascii="Times New Roman" w:cs="Times New Roman" w:eastAsia="Times New Roman" w:hAnsi="Times New Roman"/>
          <w:sz w:val="18"/>
          <w:szCs w:val="18"/>
          <w:color w:val="auto"/>
        </w:rPr>
        <w:t xml:space="preserve">Less: NCI preferred unit redemptions, net of deferred tax benefit </w:t>
      </w:r>
      <w:r>
        <w:rPr>
          <w:rFonts w:ascii="Times New Roman" w:cs="Times New Roman" w:eastAsia="Times New Roman" w:hAnsi="Times New Roman"/>
          <w:sz w:val="18"/>
          <w:szCs w:val="18"/>
          <w:b w:val="1"/>
          <w:bCs w:val="1"/>
          <w:color w:val="auto"/>
        </w:rPr>
        <w:t>Net income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1517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242424"/>
              </w:rPr>
              <w:t>$ Change</w:t>
            </w:r>
          </w:p>
        </w:tc>
      </w:tr>
      <w:tr>
        <w:trPr>
          <w:trHeight w:val="228"/>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55,681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31,666</w:t>
            </w:r>
          </w:p>
        </w:tc>
      </w:tr>
      <w:tr>
        <w:trPr>
          <w:trHeight w:val="319"/>
        </w:trPr>
        <w:tc>
          <w:tcPr>
            <w:tcW w:w="2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47,336</w:t>
            </w:r>
          </w:p>
        </w:tc>
      </w:tr>
      <w:tr>
        <w:trPr>
          <w:trHeight w:val="324"/>
        </w:trPr>
        <w:tc>
          <w:tcPr>
            <w:tcW w:w="22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55,681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(23,960)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79,641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ectPr>
          <w:pgSz w:w="11900" w:h="16838" w:orient="portrait"/>
          <w:cols w:equalWidth="0" w:num="2">
            <w:col w:w="6760" w:space="100"/>
            <w:col w:w="4380"/>
          </w:cols>
          <w:pgMar w:left="320" w:top="121" w:right="339" w:bottom="1440" w:gutter="0" w:footer="0" w:header="0"/>
        </w:sectPr>
      </w:pPr>
    </w:p>
    <w:p>
      <w:pPr>
        <w:spacing w:after="0" w:line="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increase in net income (loss) attributable to common stockholders is attributable to an increase in operating income, an income tax benefit due to release of valuation allowance on deferred tax assets due to changes in the tax laws and the discontinuance of dividend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makers ("CODM") are our CEO and CFO. The CODM uses adjusted earnings before interest expense, income tax and depreciation and amortization expenses ("Adjusted EBITDA") as the measure of segment profit and loss to allocate resources.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represents, EBITDA,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Adjusted EBITDA is a non-GAAP measure and therefore, a reconciliation to net income (loss) (a GAAP measure) is included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overhead and shared costs are managed centrally and included in corporate.</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non-GAAP financial measure helps to understand the underlying financial and business trends relating to results of operations of the Company and therefore used as a measure of segment profit or loss for the purposes of evaluation of segment performance and allocation of resources.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 Solutions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7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642,069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28,522</w:t>
            </w: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111,793</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2,880</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Indicators: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card processing dollar value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72,373,800</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71,566,091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807,709</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card transaction count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888,688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31,140</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 from our Merchant Solutions segment was $642.1 million for the year ended December 31, 2025, compared to $613.5 million for the year ended December 31, 2024. The increase of $28.5 million, or 4.6%, was primarily driven by total card processing dollar value and total card transaction count partially offset by a decrease in merchant card fee rate. The Company's merchant card fee revenue from the Merchant Solutions segment ($625.2 million for 2025 and $595.1 million for 2024) as a percentage of total card processing dollar value during 2025 decreased to 0.85% from 0.83% during 2024. The decrease was primarily driven by changes in the merchant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Adjusted EBITDA from our Merchant Solutions segment was $111.8 million for the year ended December 31, 2025, compared to $108.9 million for the year ended December 31, 2024. The increase of $2.9 million or 2.6% was primarily due to acquisitions and decreased credit losses offset by mix-related margin compression as well as increases in salary expenses and other 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Payables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7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11,769</w:t>
            </w: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Indicators: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Buyer funded card processing dollar value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3,090,310</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2,816,270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274,040</w:t>
            </w:r>
          </w:p>
        </w:tc>
      </w:tr>
      <w:tr>
        <w:trPr>
          <w:trHeight w:val="229"/>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Supplier funded issuing dollar value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919,860</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(57,418)</w:t>
            </w:r>
          </w:p>
        </w:tc>
      </w:tr>
      <w:tr>
        <w:trPr>
          <w:trHeight w:val="234"/>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ACH transaction count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19,286</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Revenue from our Payables segment was $100.9 million for the year ended December 31, 2025, compared to $89.1 million for the year ended December 31, 2024. The increase of $11.8 million, or 13.2%, was primarily driven by an increase of $7.7 million in the Plastiq business due to higher buyer funded card processing volume and an increase of $4.1 million in the CPX business due to increased interest revenue and ACH transaction 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EBITDA from our Payables segment was $14.6 million for the year December 31, 2025, compared to $7.6 million for the year ended December 31, 2024. The increase of $7.0 million was primarily driven by increase in revenues and a decrease in operating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Solutions</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73"/>
        </w:trPr>
        <w:tc>
          <w:tcPr>
            <w:tcW w:w="34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42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40" w:type="dxa"/>
            <w:vAlign w:val="bottom"/>
          </w:tcPr>
          <w:p>
            <w:pPr>
              <w:spacing w:after="0"/>
              <w:rPr>
                <w:sz w:val="19"/>
                <w:szCs w:val="19"/>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215,779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35,331</w:t>
            </w:r>
          </w:p>
        </w:tc>
      </w:tr>
      <w:tr>
        <w:trPr>
          <w:trHeight w:val="230"/>
        </w:trPr>
        <w:tc>
          <w:tcPr>
            <w:tcW w:w="34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182,231</w:t>
            </w:r>
          </w:p>
        </w:tc>
        <w:tc>
          <w:tcPr>
            <w:tcW w:w="5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27,295</w:t>
            </w:r>
          </w:p>
        </w:tc>
      </w:tr>
      <w:tr>
        <w:trPr>
          <w:trHeight w:val="229"/>
        </w:trPr>
        <w:tc>
          <w:tcPr>
            <w:tcW w:w="340" w:type="dxa"/>
            <w:vAlign w:val="bottom"/>
          </w:tcPr>
          <w:p>
            <w:pPr>
              <w:spacing w:after="0"/>
              <w:rPr>
                <w:sz w:val="19"/>
                <w:szCs w:val="19"/>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Key Indicators: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CFTPay billed clients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224,658</w:t>
            </w:r>
          </w:p>
        </w:tc>
      </w:tr>
      <w:tr>
        <w:trPr>
          <w:trHeight w:val="230"/>
        </w:trPr>
        <w:tc>
          <w:tcPr>
            <w:tcW w:w="340" w:type="dxa"/>
            <w:vAlign w:val="bottom"/>
          </w:tcPr>
          <w:p>
            <w:pPr>
              <w:spacing w:after="0"/>
              <w:rPr>
                <w:sz w:val="19"/>
                <w:szCs w:val="19"/>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CFTPay monthly enrollments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1,051</w:t>
            </w:r>
          </w:p>
        </w:tc>
      </w:tr>
      <w:tr>
        <w:trPr>
          <w:trHeight w:val="306"/>
        </w:trPr>
        <w:tc>
          <w:tcPr>
            <w:tcW w:w="340" w:type="dxa"/>
            <w:vAlign w:val="bottom"/>
          </w:tcPr>
          <w:p>
            <w:pPr>
              <w:spacing w:after="0"/>
              <w:rPr>
                <w:sz w:val="24"/>
                <w:szCs w:val="24"/>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total account balances</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1,193,011</w:t>
            </w:r>
          </w:p>
        </w:tc>
        <w:tc>
          <w:tcPr>
            <w:tcW w:w="5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878,257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314,754</w:t>
            </w:r>
          </w:p>
        </w:tc>
      </w:tr>
    </w:tbl>
    <w:p>
      <w:pPr>
        <w:spacing w:after="0" w:line="23" w:lineRule="exact"/>
        <w:rPr>
          <w:sz w:val="20"/>
          <w:szCs w:val="20"/>
          <w:color w:val="auto"/>
        </w:rPr>
      </w:pPr>
    </w:p>
    <w:p>
      <w:pPr>
        <w:ind w:left="660" w:right="380" w:hanging="4"/>
        <w:spacing w:after="0" w:line="279" w:lineRule="auto"/>
        <w:tabs>
          <w:tab w:leader="none" w:pos="82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represents the average total account balance in the Treasury Solutions segment, and excludes the deposits and balances maintained in the Merchant Solution and Payables segment. The total account and deposit balances as of December 31, 2025 and 2024, were $1.7 billion and $1.2 billion respectively.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 from our Treasury Solutions segment was $215.8 million for the year ended December 31, 2025, compared to $180.4 million for the year ended December 31, 2024. The increase of $35.3 million, or 19.6%, was primarily driven by an increase in customer enrollments in our CFTPay business, additional revenues generated by our Passport platform, acquisitions of Sila and Letus businesses, and growth in interest income due to higher deposit balances and higher returns on the permissible investments related to our money transmission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Adjusted EBITDA from our Treasury Solutions segment was $182.2 million for the year ended December 31, 2025, compared to $154.9 million for the year ended December 31, 2024. The increase of $27.3 million or 17.6% was primarily due to increased revenue partially offset by an increase in salary expenses and other 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0" w:type="dxa"/>
            <w:vAlign w:val="bottom"/>
            <w:tcBorders>
              <w:bottom w:val="single" w:sz="8" w:color="auto"/>
            </w:tcBorders>
            <w:gridSpan w:val="7"/>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160" w:type="dxa"/>
            <w:vAlign w:val="bottom"/>
          </w:tcPr>
          <w:p>
            <w:pPr>
              <w:spacing w:after="0"/>
              <w:rPr>
                <w:sz w:val="14"/>
                <w:szCs w:val="14"/>
                <w:color w:val="auto"/>
              </w:rPr>
            </w:pPr>
          </w:p>
        </w:tc>
        <w:tc>
          <w:tcPr>
            <w:tcW w:w="102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Payables</w:t>
            </w:r>
          </w:p>
        </w:tc>
        <w:tc>
          <w:tcPr>
            <w:tcW w:w="180" w:type="dxa"/>
            <w:vAlign w:val="bottom"/>
          </w:tcPr>
          <w:p>
            <w:pPr>
              <w:spacing w:after="0"/>
              <w:rPr>
                <w:sz w:val="14"/>
                <w:szCs w:val="14"/>
                <w:color w:val="auto"/>
              </w:rPr>
            </w:pPr>
          </w:p>
        </w:tc>
        <w:tc>
          <w:tcPr>
            <w:tcW w:w="110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6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GAAP Measure:</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225,166</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(86,640)</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expenses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stock based compensation</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Salary and employee benefits (non recurring)</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Bargain purchase gain (non-recurring)</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3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(202,046)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46,279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55,681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480" w:hanging="148"/>
        <w:spacing w:after="0"/>
        <w:tabs>
          <w:tab w:leader="none" w:pos="48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stock based compensation settled in cash of $2.5 million subsequent to the year ended December 31, 2025</w:t>
      </w:r>
    </w:p>
    <w:p>
      <w:pPr>
        <w:spacing w:after="0" w:line="81" w:lineRule="exact"/>
        <w:rPr>
          <w:rFonts w:ascii="Times New Roman" w:cs="Times New Roman" w:eastAsia="Times New Roman" w:hAnsi="Times New Roman"/>
          <w:sz w:val="19"/>
          <w:szCs w:val="19"/>
          <w:color w:val="auto"/>
          <w:vertAlign w:val="superscript"/>
        </w:rPr>
      </w:pPr>
    </w:p>
    <w:p>
      <w:pPr>
        <w:ind w:left="480" w:hanging="148"/>
        <w:spacing w:after="0"/>
        <w:tabs>
          <w:tab w:leader="none" w:pos="48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cash settled stock based compensation which is non-recurring in nature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gridSpan w:val="8"/>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Merchant</w:t>
            </w:r>
          </w:p>
        </w:tc>
        <w:tc>
          <w:tcPr>
            <w:tcW w:w="160" w:type="dxa"/>
            <w:vAlign w:val="bottom"/>
          </w:tcPr>
          <w:p>
            <w:pPr>
              <w:spacing w:after="0"/>
              <w:rPr>
                <w:sz w:val="15"/>
                <w:szCs w:val="15"/>
                <w:color w:val="auto"/>
              </w:rPr>
            </w:pPr>
          </w:p>
        </w:tc>
        <w:tc>
          <w:tcPr>
            <w:tcW w:w="104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Payables</w:t>
            </w:r>
          </w:p>
        </w:tc>
        <w:tc>
          <w:tcPr>
            <w:tcW w:w="180" w:type="dxa"/>
            <w:vAlign w:val="bottom"/>
          </w:tcPr>
          <w:p>
            <w:pPr>
              <w:spacing w:after="0"/>
              <w:rPr>
                <w:sz w:val="15"/>
                <w:szCs w:val="15"/>
                <w:color w:val="auto"/>
              </w:rPr>
            </w:pPr>
          </w:p>
        </w:tc>
        <w:tc>
          <w:tcPr>
            <w:tcW w:w="110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5"/>
                <w:szCs w:val="15"/>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15"/>
                <w:szCs w:val="15"/>
                <w:color w:val="auto"/>
              </w:rPr>
            </w:pPr>
          </w:p>
        </w:tc>
        <w:tc>
          <w:tcPr>
            <w:tcW w:w="1200" w:type="dxa"/>
            <w:vAlign w:val="bottom"/>
          </w:tcPr>
          <w:p>
            <w:pPr>
              <w:jc w:val="right"/>
              <w:ind w:right="390"/>
              <w:spacing w:after="0" w:line="17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8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GAAP Measure:</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expenses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137,877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37,281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24,015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customer base,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 This is based upon management's estimates and assumptions regarding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effects of micro and macro factors impacting the economic environment in which the Company operates on our financial results. Actual future results could differ materially, as the magnitude, duration and effects of changes in economic, political and market conditions are difficult to predict, and ultimately could negatively impact our liquidity and capital resources. Our principal uses of cash are to fund business operations (including capital expenditures and strategic investments) and administrative costs, and to service our debt.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$104.7 million at December 31, 2025 and $53.4 million at December 31, 2024. As of December 31, 2025, we had cash and cash equivalents with a balance of $77.2 million compared to $58.6 million at December 31, 2024. These cash and cash equivalent balances do not include restricted cash of $16.5 million and $11.1 million at December 31, 2025 and 2024, respectively, which reflects cash accounts holding customer settlement funds and cash reserves for potential losses. The current portion of long-term debt included in current liabilities was $0.0 million and $9.5 million at December 31, 2025 and 2024, respectively.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2025, we had availability of approximately $100.0 million under our revolving credit arrangement and $14.6 million under our Residual Finance credit facility's delayed draw term facility.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and narrative reflect our changes in cash flows for the comparative annual periods.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3"/>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100,005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85,609</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(174,041)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426,170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352,134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$100.0 million and $85.6 million for the years ended December 31, 2025 and 2024, respectively. The $14.4 million or 16.8% increase in 2025 was driven by net income increase, offset by changes in non-cash items and, operating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$174.0 million compared to cash used investing activities of $35.5 million for the years ended December 31, 2025 and 2024, respectively. The Company had three business acquisitions for the year ended December 31, 2025, which used net cash of $39.3 million compared to no business acquisitions for the year ended December 31, 2024. Additions to property, equipment and software was $24.9 million for the year ended December 31, 2025 compared to $21.7 million in December 31, 2024. Net amount of $11.1 million was advanced for loans to ISOs and ISVs for the year ended December 31, 2025, compared to $3.4 million in 2024. The Company acquired intangible assets, unconsolidated equity investments and other short term investment of $98.7 million for the year ended December 31, 2025 compared to acquisition of intangible assets and an unconsolidated equity investment $10.5 million in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$426.2 million for the year ended December 31, 2025, compared to $147.6 million for the year ended December 31, 2024. The net cash provided by for the year ended December 31, 2025 included changes in the net obligations for funds held on the behalf of customers of $355.1 million, borrowings under the Second and Third Amendment to the 2024 Credit Agreement and the Residual Finance credit facility net of issues discount, principal repayments and payments of debt issuance and modification costs of $100.8 million, and proceeds for the exercise of stock options of $0.5 million. This was further offset by redemption of non-controlling interest in subsidiary of $7.0 million, $3.2 million of cash used for shares withheld for taxes, and $20.1 million of payment of contingent consideration for business combinations. For the year ended December 31, 2024, included changes in the net obligations for funds held on the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customers of $179.6 million, borrowings under the 2024 Credit Agreement (including the First Amendment) net of issue discounts of $945.1 million, and proceeds for the exercise of stock options of $1.8 million. This was offset by repayment of the principal of the 2021 Credit Agreement and debt issuance and modification costs related to the refinancing of $666.5 million, redemption of the redeemable senior preferred stock including dividends of</w:t>
      </w:r>
    </w:p>
    <w:p>
      <w:pPr>
        <w:spacing w:after="0" w:line="1"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$303.2 million, redemption of non-controlling interest in subsidiary of $2.1 million, $1.5 million of cash used for shares withheld for taxes, and $5.6 million of payment of contingent consideration for business combinations.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the Company had outstanding debt obligations, including the current portion and net of unamortized debt discount, of $1.06 billion, compared to $945.5 million for the year ended December 31, 2024, resulting in an increase of $109.9 million. The debt balance for the year ended December 31, 2025 consisted of funds outstanding under the 2024 term facility and Residual Finance credit facility, offset by $16.0 million of unamortized debt discounts and issuance costs. There were no funds outstanding under the revolving credit facility as of December 31, 2025 and 2024. Minimum amortization of the 2024 Credit Agreement term facility are equal quarterly installments in aggregate annual amounts equal to $10.4 million, with the balance paid upon maturity. Payment is due on maturity for the Residual Finance credit facility.</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16, 2024, the Company entered in to the 2024 Credit Agreement, which provided a $835.0 million term facility and a revolving credit facility of $100.0 million. The term facility was further increased by $115.0 million (First Amendment to the 2024 Credit Agreement) effective November 21, 2024. The outstanding borrowings will accrue using the SOFR rate plus an applicable margin per year subject to a SOFR floor of 0.50%. The term facility matures in May 2031 and the revolving credit facility expires in May 2029.</w:t>
      </w:r>
    </w:p>
    <w:p>
      <w:pPr>
        <w:spacing w:after="0" w:line="1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On July 31, 2025, the Company entered into the second amendment to the 2024 Credit agreement, which increased the principal balance of the term facility from $935.5 million to $1.00 billion, increased quarterly principal payments from $2.4 million to $2.5 million, extended the maturity date from May 2031 to July 2032 and decreased the margin rate from 4.75% to 3.75%. The amendment also increased the credit commitment under the revolving credit facility from $70.0 million to $100.0 million, extended the maturity date from May 2029 to July 2030 and decreased the margin rate from 4.25% to 3.50%.</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1, 2025, the Company entered into the third amendment to the 2024 Credit Agreement, which increased the principal balance of the term loan from $1.00 billion to $1.04 billion and increased quarterly principal payments from $2.5 million to $2.6 million. All other material terms of the 2024 Credit agreement remained unchanged. As of December 31, 2025, there are no principal payments due for the next 12 months due to a prepayment in the fourth quarter of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18, 2025, a wholly owned subsidiary of the Company not restricted by the 2024 Credit Agreement entered into the Residual Finance credit facility which provides a delayed draw term loan facility with a total commitment of $50.0 million of which the Company has drawn $35.4 million. The agreement also provides an accordion feature to increase the commitment by an aggregate amount not to exceed $75.0 million such that the total commitment may equal, but not exceed, $125.0 million. The purpose of this credit facility is to fund certain residual purchases and loans to ISOs and ISVs. Outstanding borrowings under the Residual Finance credit facility accrue interest using a SOFR rate plus an applicable margin per year, equal to 6.25%, subject to a SOFR rate floor of 2.0% per year. Unused commitments are subject to an unused commitment fee on any undrawn amount equal to 1.0% per year of the unused portion.</w:t>
      </w:r>
    </w:p>
    <w:p>
      <w:pPr>
        <w:spacing w:after="0" w:line="21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2024 Credit Agreement and Residual Finance credit facility both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2024 Credit Agreement exceeds 35% of the total revolving facility thereunder at quarter end, the loan parties are required to comply with certain restrictions on its Total Net Leverage Ratio, which is defined in the 2024 Credit Agreement as the ratio of consolidated total debt less unrestricted cash to consolidated adjusted EBITDA (as defined in the 2024 Credit Agreement). If applicable, the maximum permitted Total Net Leverage Ratio is: 1) 6.90:1.00 at each fiscal quarter ended September 30, 2025 through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8"/>
        <w:spacing w:after="0" w:line="282" w:lineRule="auto"/>
        <w:tabs>
          <w:tab w:leader="none" w:pos="1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6.40:1.00 at each fiscal quarter ended June 30, 2026 and each fiscal quarter thereafter. As of December 31, 2025, the Company was in compliance with the covenants in the 2024 Credit Agreement.</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Residual Finance credit facility requires Finance SPV to comply with certain restrictions including minimum liquidity of $2.0 million, minimum tangible net worth of $5.0 million, maximum default ratio of 2.5%, maximum delinquency ratio of 5.0%, and a minimum excess spread ratio of 1.00 to 1.00. As of December 31, 2025, Finance SPV was in compliance with the restrictions in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test goodwill for impairment for each of our reporting units on an annual basis on October 1 or when events occur, or circumstances indicate the fair value of a reporting unit may be below its carrying value. We perform the annual assessment using either the qualitative or quantitative method. The qualitative assessment considers industry and market considerations, overall financial performance and other relevant events and factors affecting the reporting units or the Company as a whole. The quantitative assessment considers both the market approach, which estimates fair value using market multiples of comparable companies and transaction multiples of recent transactions, and the income approach, which estimates fair value using a discounted cash flow utilizing forecasted projections discount rates based on the reporting unit’s weighted average cost of capital. Changes in these estimates and assumptions or a significant decrease in earnings could materially affect the fair value of goodwill and could result in a goodwill impairment charge.</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annual impairment assessment for goodwill does not change our requirements to assess goodwill on an interim date between scheduled annual testing dates if triggering events are present.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the carrying value of an asset may not be recoverable. For long-lived assets, except goodwill, an impairment loss is indicated when the undiscounted future cash flows estimated to be generated by the asset group are not sufficient to recover the unamortized balance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amortize the cost of our acquired intangible assets over their estimated useful lives using either a straight-line or an accelerated method that most accurately reflects the estimated pattern in which the economic benefit of the respective asset is consumed.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and Asset Acquisitions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allocate the purchase price of an acquired business to the assets acquired and liabilities assumed based on their estimated fair values. The excess of the purchase price over the fair value of the net assets acquired is recorded as goodwill. For acquisitions that include contingent consideration, we estimate the fair value of contingent consideration at the acquisition date. The estimated fair value of contingent consideration is updated in future periods based on information available at that time. Management uses all available information when estimating the fair values of the assets acquired, liabilities assumed and contingent consideration, and must apply judgment and make certain assumptions when making these estimates. The assumptions management uses when determining fair values include estimated future cash flows or income, market rate assumptions, actuarial assumptions and discount rate assumptions. We typically engage third-party valuation advisors to assist in estimating the fair values of acquired assets and assumed liabilities. Our estimates of fair value are based upon assumptions the Company believes to be reasonable, but that are inherently uncertain, and therefore, may not be realized. Accordingly, there can be no assurance that the estimates, assumptions and values reflected in the valuations will be realized, and actual results could differ materially.</w:t>
      </w:r>
    </w:p>
    <w:p>
      <w:pPr>
        <w:spacing w:after="0" w:line="188"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We account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costs are capitalized as part of the asset or assets acquired.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debt facilities under the 2024 Credit Agreement and the Residual Finance credit facility bear interest at either a base rate or a SOFR rate plus an applicable margin, each subject to a SOFR floor of 0.50% and 2.00%, respectively. As of December 31, 2025, outstanding borrowings were $1.02 billion under the 2024 Credit Agreement and $35.4 million under the Residual Finance credit facility. Ignoring the applicable SOFR floors, a hypothetical 1.00% increase or decrease in SOFR would increase or decrease cash interest expense by approximately $10.2 million under the 2024 Credit Agreement and $0.4 million under the Residual Finance credit facility. We do not currently hedge our exposure to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w w:val="89"/>
              </w:rPr>
              <w:t>Page</w:t>
            </w:r>
          </w:p>
        </w:tc>
      </w:tr>
      <w:tr>
        <w:trPr>
          <w:trHeight w:val="196"/>
        </w:trPr>
        <w:tc>
          <w:tcPr>
            <w:tcW w:w="101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w:t>
            </w:r>
            <w:r>
              <w:rPr>
                <w:rFonts w:ascii="Times New Roman" w:cs="Times New Roman" w:eastAsia="Times New Roman" w:hAnsi="Times New Roman"/>
                <w:sz w:val="16"/>
                <w:szCs w:val="16"/>
                <w:color w:val="000000"/>
              </w:rPr>
              <w:t>(PCAOB ID: 42)</w:t>
            </w:r>
          </w:p>
        </w:tc>
        <w:tc>
          <w:tcPr>
            <w:tcW w:w="620" w:type="dxa"/>
            <w:vAlign w:val="bottom"/>
          </w:tcPr>
          <w:p>
            <w:pPr>
              <w:spacing w:after="0"/>
              <w:rPr>
                <w:sz w:val="17"/>
                <w:szCs w:val="17"/>
                <w:color w:val="auto"/>
              </w:rPr>
            </w:pP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43</w:t>
            </w:r>
          </w:p>
        </w:tc>
        <w:tc>
          <w:tcPr>
            <w:tcW w:w="60" w:type="dxa"/>
            <w:vAlign w:val="bottom"/>
            <w:tcBorders>
              <w:top w:val="single" w:sz="8" w:color="auto"/>
            </w:tcBorders>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2025 and December 31, 2024</w:t>
            </w:r>
          </w:p>
        </w:tc>
        <w:tc>
          <w:tcPr>
            <w:tcW w:w="4980" w:type="dxa"/>
            <w:vAlign w:val="bottom"/>
            <w:gridSpan w:val="4"/>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46</w:t>
            </w:r>
          </w:p>
        </w:tc>
        <w:tc>
          <w:tcPr>
            <w:tcW w:w="60" w:type="dxa"/>
            <w:vAlign w:val="bottom"/>
          </w:tcPr>
          <w:p>
            <w:pPr>
              <w:spacing w:after="0"/>
              <w:rPr>
                <w:sz w:val="17"/>
                <w:szCs w:val="17"/>
                <w:color w:val="auto"/>
              </w:rPr>
            </w:pPr>
          </w:p>
        </w:tc>
      </w:tr>
      <w:tr>
        <w:trPr>
          <w:trHeight w:val="196"/>
        </w:trPr>
        <w:tc>
          <w:tcPr>
            <w:tcW w:w="101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 (Loss) for the years ended December 31, 2025, 2024 and 2023</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47</w:t>
            </w:r>
          </w:p>
        </w:tc>
        <w:tc>
          <w:tcPr>
            <w:tcW w:w="6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Deficit and Non-Controlling Interest for the years ended December 31, 2025, 2024 and 2023</w:t>
            </w:r>
          </w:p>
        </w:tc>
        <w:tc>
          <w:tcPr>
            <w:tcW w:w="60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48</w:t>
            </w:r>
          </w:p>
        </w:tc>
        <w:tc>
          <w:tcPr>
            <w:tcW w:w="60" w:type="dxa"/>
            <w:vAlign w:val="bottom"/>
          </w:tcPr>
          <w:p>
            <w:pPr>
              <w:spacing w:after="0"/>
              <w:rPr>
                <w:sz w:val="17"/>
                <w:szCs w:val="17"/>
                <w:color w:val="auto"/>
              </w:rPr>
            </w:pPr>
          </w:p>
        </w:tc>
      </w:tr>
      <w:tr>
        <w:trPr>
          <w:trHeight w:val="196"/>
        </w:trPr>
        <w:tc>
          <w:tcPr>
            <w:tcW w:w="101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2025, 2024 and 2023</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51</w:t>
            </w:r>
          </w:p>
        </w:tc>
        <w:tc>
          <w:tcPr>
            <w:tcW w:w="60" w:type="dxa"/>
            <w:vAlign w:val="bottom"/>
          </w:tcPr>
          <w:p>
            <w:pPr>
              <w:spacing w:after="0"/>
              <w:rPr>
                <w:sz w:val="17"/>
                <w:szCs w:val="17"/>
                <w:color w:val="auto"/>
              </w:rPr>
            </w:pPr>
          </w:p>
        </w:tc>
      </w:tr>
      <w:tr>
        <w:trPr>
          <w:trHeight w:val="196"/>
        </w:trPr>
        <w:tc>
          <w:tcPr>
            <w:tcW w:w="62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r>
              <w:rPr>
                <w:rFonts w:ascii="Times New Roman" w:cs="Times New Roman" w:eastAsia="Times New Roman" w:hAnsi="Times New Roman"/>
                <w:sz w:val="16"/>
                <w:szCs w:val="16"/>
                <w:color w:val="000000"/>
              </w:rPr>
              <w:t>:</w:t>
            </w:r>
          </w:p>
        </w:tc>
        <w:tc>
          <w:tcPr>
            <w:tcW w:w="3900" w:type="dxa"/>
            <w:vAlign w:val="bottom"/>
            <w:gridSpan w:val="3"/>
          </w:tcPr>
          <w:p>
            <w:pPr>
              <w:spacing w:after="0"/>
              <w:rPr>
                <w:sz w:val="17"/>
                <w:szCs w:val="17"/>
                <w:color w:val="auto"/>
              </w:rPr>
            </w:pPr>
          </w:p>
        </w:tc>
        <w:tc>
          <w:tcPr>
            <w:tcW w:w="68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53</w:t>
            </w:r>
          </w:p>
        </w:tc>
        <w:tc>
          <w:tcPr>
            <w:tcW w:w="6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6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1.</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Nature of Business and Significant Accounting Policies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53</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2.</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66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3.</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Revenues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72</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4.</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Settlement Assets and Obligations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73</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5.</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Notes Receivable</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75</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6.</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Property, Equipment and Software</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76</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7.</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Goodwill and Other Intangible Assets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77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8.</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Leases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79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w w:val="99"/>
              </w:rPr>
              <w:t>9.</w:t>
            </w:r>
          </w:p>
        </w:tc>
        <w:tc>
          <w:tcPr>
            <w:tcW w:w="986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0000FF"/>
              </w:rPr>
              <w:t>Accounts Payable and Accrued Expenses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81</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10.</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Debt Obligations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81</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11.</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Income Taxes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84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12.</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Stockholders' Deficit</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87</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13.</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Stock-based Compensation</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88</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14.</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Employee Benefit Plans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91</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15.</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Related Party Transactions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91</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16.</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92</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17.</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Fair Value</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94</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18.</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Segment Information</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95</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19.</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Earnings (Loss) per Common Share</w:t>
            </w:r>
          </w:p>
        </w:tc>
        <w:tc>
          <w:tcPr>
            <w:tcW w:w="860" w:type="dxa"/>
            <w:vAlign w:val="bottom"/>
            <w:gridSpan w:val="3"/>
          </w:tcPr>
          <w:p>
            <w:pPr>
              <w:jc w:val="center"/>
              <w:ind w:left="599"/>
              <w:spacing w:after="0"/>
              <w:rPr>
                <w:sz w:val="20"/>
                <w:szCs w:val="20"/>
                <w:color w:val="auto"/>
              </w:rPr>
            </w:pPr>
            <w:r>
              <w:rPr>
                <w:rFonts w:ascii="Times New Roman" w:cs="Times New Roman" w:eastAsia="Times New Roman" w:hAnsi="Times New Roman"/>
                <w:sz w:val="16"/>
                <w:szCs w:val="16"/>
                <w:color w:val="0000FF"/>
              </w:rPr>
              <w:t>99</w:t>
            </w:r>
          </w:p>
        </w:tc>
        <w:tc>
          <w:tcPr>
            <w:tcW w:w="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40" w:type="dxa"/>
            <w:vAlign w:val="bottom"/>
            <w:gridSpan w:val="8"/>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4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0000FF"/>
                <w:w w:val="99"/>
              </w:rPr>
              <w:t>20.</w:t>
            </w:r>
          </w:p>
        </w:tc>
        <w:tc>
          <w:tcPr>
            <w:tcW w:w="9780" w:type="dxa"/>
            <w:vAlign w:val="bottom"/>
            <w:gridSpan w:val="22"/>
          </w:tcPr>
          <w:p>
            <w:pPr>
              <w:ind w:left="20"/>
              <w:spacing w:after="0"/>
              <w:rPr>
                <w:sz w:val="20"/>
                <w:szCs w:val="20"/>
                <w:color w:val="auto"/>
              </w:rPr>
            </w:pPr>
            <w:r>
              <w:rPr>
                <w:rFonts w:ascii="Times New Roman" w:cs="Times New Roman" w:eastAsia="Times New Roman" w:hAnsi="Times New Roman"/>
                <w:sz w:val="16"/>
                <w:szCs w:val="16"/>
                <w:color w:val="0000FF"/>
              </w:rPr>
              <w:t>Subsequent Events</w:t>
            </w:r>
          </w:p>
        </w:tc>
        <w:tc>
          <w:tcPr>
            <w:tcW w:w="920" w:type="dxa"/>
            <w:vAlign w:val="bottom"/>
            <w:gridSpan w:val="4"/>
          </w:tcPr>
          <w:p>
            <w:pPr>
              <w:jc w:val="center"/>
              <w:ind w:left="539"/>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Priority Technology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Priority Technology Holdings, Inc. (the Company) as of December 31, 2025 and 2024, the related consolidated statements of operations and comprehensive income (loss), changes in stockholders’ deficit and non-controlling interest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10,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40"/>
        <w:spacing w:after="0" w:line="239" w:lineRule="auto"/>
        <w:rPr>
          <w:sz w:val="20"/>
          <w:szCs w:val="20"/>
          <w:color w:val="auto"/>
        </w:rPr>
      </w:pPr>
      <w:r>
        <w:rPr>
          <w:rFonts w:ascii="Times New Roman" w:cs="Times New Roman" w:eastAsia="Times New Roman" w:hAnsi="Times New Roman"/>
          <w:sz w:val="18"/>
          <w:szCs w:val="18"/>
          <w:b w:val="1"/>
          <w:bCs w:val="1"/>
          <w:color w:val="auto"/>
        </w:rPr>
        <w:t>Earn-out Provisions Related to Current Year Business Combinations and Asset Acquisitions</w:t>
      </w:r>
    </w:p>
    <w:p>
      <w:pPr>
        <w:spacing w:after="0" w:line="2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As outlined in Note 2 to the consolidated financial statements, the Company executed several acquisitions during the current year which included earn-out provisions as part of the consideration transferred. Two transactions involved more complex accounting judgments, specifically whether the transaction is a business combination or asset acquisition, and whether the earn-out represents compensation expense or contingent consideration.</w:t>
      </w:r>
    </w:p>
    <w:p>
      <w:pPr>
        <w:spacing w:after="0" w:line="7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BOOM Commerce residual portfolio rights acquisition was accounted for under the acquisition method of accounting as an asset acquisition. As an asset acquisition, the earn-out provisions, not to exceed $17.0 million, are recognized only when payable or paid. The Dealer Merchant Services acquisition was accounted under the acquisition method of accounting as a business combination. The total purchase consideration included an earn-out provision with a maximum payout of $22.5 million, which was initially recorded at fair value of $17.1 million on the transaction date within Accounts Payable and Accrued Expenses, and Other Noncurrent Liabilities. The Company evaluated each transaction to determine if it qualified as an asset acquisition or a business combination, and further assessed whether the earn-out provisions awarded to employees who joined the Company should be classified as contingent consideration or as compensation expense.</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Auditing the Company's accounting for the earnout provisions in these transactions was complex due to the judgments applied in the determination of whether the acquisition should be accounted for as business combination or asset acquisition and the judgments applied to determine whether the earn-out provision represented contingent consideration or compensation expense.</w:t>
      </w:r>
    </w:p>
    <w:p>
      <w:pPr>
        <w:spacing w:after="0" w:line="2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internal controls over the Company’s determination as to whether the transactions meet the definition of a business combination or an asset acquisition, and the determination of the accounting for the earn out provision. This included testing controls related to the evaluation of the technical accounting conclusions supporting the recognition of these transactions.</w:t>
      </w:r>
    </w:p>
    <w:p>
      <w:pPr>
        <w:spacing w:after="0" w:line="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test the Company’s accounting conclusions as to whether the transactions should be accounted for as a business combination or an asset acquisition, and the accounting for the earn-out provisions, with the assistance of subject matter resources, our audit procedures included, among others, examining documents related to the acquisitions, including the purchase or asset agreements, reviewing management’s accounting memorandum and evaluating whether the judgments made by management were in accordance with applicable accounting standards. Additionally, we performed inquiries of senior management responsible for the acquisitions and assessed financial reporting considerations related to those discussions. We also tested the earn-out consideration for appropriate recognition and evaluated whether the disclosures were in accordance with applicable accounting standards.</w:t>
      </w:r>
    </w:p>
    <w:p>
      <w:pPr>
        <w:spacing w:after="0" w:line="200" w:lineRule="exact"/>
        <w:rPr>
          <w:sz w:val="20"/>
          <w:szCs w:val="20"/>
          <w:color w:val="auto"/>
        </w:rPr>
      </w:pPr>
    </w:p>
    <w:p>
      <w:pPr>
        <w:sectPr>
          <w:pgSz w:w="11900" w:h="16838" w:orient="portrait"/>
          <w:cols w:equalWidth="0" w:num="2">
            <w:col w:w="2740" w:space="100"/>
            <w:col w:w="830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Priority Technology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audited Priority Technology Holdings, Inc.’s internal control over financial reporting as of December 31, 2025, based on criteria established in Internal Control—Integrated Framework issued by the Committee of Sponsoring Organizations of the Treadway Commission (2013 framework) (the COSO criteria). In our opinion, Priority Technology Holdings, Inc. (the Company) maintained, in all material respects, effective internal control over financial reporting as of December 31, 2025, based on the COSO criteria.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income (loss), changes in stockholders’ deficit and non-controlling interest and cash flows for each of the three years in the period ended December 31, 2025, and the related notes and our report dated March 10,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w:t>
      </w:r>
    </w:p>
    <w:p>
      <w:pPr>
        <w:spacing w:after="0" w:line="1"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$6,297 and $3,045,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67,969</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 net of allowances of $0 and $0, respectively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29"/>
        </w:trPr>
        <w:tc>
          <w:tcPr>
            <w:tcW w:w="79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Settlement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1,295,896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940,798</w:t>
            </w:r>
          </w:p>
        </w:tc>
      </w:tr>
      <w:tr>
        <w:trPr>
          <w:trHeight w:val="223"/>
        </w:trPr>
        <w:tc>
          <w:tcPr>
            <w:tcW w:w="79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1,105,085</w:t>
            </w: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376,091</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240,874</w:t>
            </w:r>
          </w:p>
        </w:tc>
      </w:tr>
      <w:tr>
        <w:trPr>
          <w:trHeight w:val="230"/>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w:t>
            </w:r>
          </w:p>
        </w:tc>
      </w:tr>
      <w:tr>
        <w:trPr>
          <w:trHeight w:val="229"/>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w:t>
            </w:r>
          </w:p>
        </w:tc>
      </w:tr>
      <w:tr>
        <w:trPr>
          <w:trHeight w:val="223"/>
        </w:trPr>
        <w:tc>
          <w:tcPr>
            <w:tcW w:w="79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2,398,804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1,826,860</w:t>
            </w: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79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Stockholders' Deficit and Non-controlling interest</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62,149</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37,560</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obligations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940,213</w:t>
            </w:r>
          </w:p>
        </w:tc>
      </w:tr>
      <w:tr>
        <w:trPr>
          <w:trHeight w:val="223"/>
        </w:trPr>
        <w:tc>
          <w:tcPr>
            <w:tcW w:w="79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1,051,671</w:t>
            </w: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920,888</w:t>
            </w:r>
          </w:p>
        </w:tc>
      </w:tr>
      <w:tr>
        <w:trPr>
          <w:trHeight w:val="229"/>
        </w:trPr>
        <w:tc>
          <w:tcPr>
            <w:tcW w:w="7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19,326</w:t>
            </w:r>
          </w:p>
        </w:tc>
      </w:tr>
      <w:tr>
        <w:trPr>
          <w:trHeight w:val="223"/>
        </w:trPr>
        <w:tc>
          <w:tcPr>
            <w:tcW w:w="79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2,491,176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1,991,885</w:t>
            </w:r>
          </w:p>
        </w:tc>
      </w:tr>
      <w:tr>
        <w:trPr>
          <w:trHeight w:val="169"/>
        </w:trPr>
        <w:tc>
          <w:tcPr>
            <w:tcW w:w="79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7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per share; 100,000,000 shares authorized; none issued or outstanding at</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4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96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Stock,$0.001 par value per share; 1,000,000,000 shares authorized; 86,639,593 and 81,866,711</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4"/>
        </w:trPr>
        <w:tc>
          <w:tcPr>
            <w:tcW w:w="7960" w:type="dxa"/>
            <w:vAlign w:val="bottom"/>
            <w:gridSpan w:val="3"/>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shares issued at December 31, 2025 and December 31, 2024, respectively; and 81,907,304 and 77,479,908</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4"/>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at December 31, 2025 and December 31, 2024, respectively.</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175"/>
        </w:trPr>
        <w:tc>
          <w:tcPr>
            <w:tcW w:w="796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4,732,289 and 4,386,803 shares at December 31, 2025 and December 31, 2024,</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r>
      <w:tr>
        <w:trPr>
          <w:trHeight w:val="230"/>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7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(147,134)</w:t>
            </w:r>
          </w:p>
        </w:tc>
      </w:tr>
      <w:tr>
        <w:trPr>
          <w:trHeight w:val="223"/>
        </w:trPr>
        <w:tc>
          <w:tcPr>
            <w:tcW w:w="79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deficit attributable to stockholders of Priority</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(166,840)</w:t>
            </w:r>
          </w:p>
        </w:tc>
      </w:tr>
      <w:tr>
        <w:trPr>
          <w:trHeight w:val="229"/>
        </w:trPr>
        <w:tc>
          <w:tcPr>
            <w:tcW w:w="7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 in consolidated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3"/>
        </w:trPr>
        <w:tc>
          <w:tcPr>
            <w:tcW w:w="796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(165,025)</w:t>
            </w:r>
          </w:p>
        </w:tc>
      </w:tr>
      <w:tr>
        <w:trPr>
          <w:trHeight w:val="248"/>
        </w:trPr>
        <w:tc>
          <w:tcPr>
            <w:tcW w:w="796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stockholders' deficit and Non-controlling interest</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2,398,804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1,826,860</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42424"/>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953,009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755,612</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services (excludes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578,315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480,307</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746,281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674,088</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81,524</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Dividends, accretion, and related excise tax attributable to redeemable senior</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stockholders</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Return on redeemable NCI in consolidated subsidiary</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(49,084)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78,333</w:t>
            </w: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2"/>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0"/>
                <w:szCs w:val="10"/>
                <w:color w:val="auto"/>
              </w:rPr>
            </w:pPr>
          </w:p>
        </w:tc>
        <w:tc>
          <w:tcPr>
            <w:tcW w:w="780" w:type="dxa"/>
            <w:vAlign w:val="bottom"/>
            <w:vMerge w:val="restart"/>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line="20" w:lineRule="exact"/>
              <w:rPr>
                <w:sz w:val="1"/>
                <w:szCs w:val="1"/>
                <w:color w:val="auto"/>
              </w:rPr>
            </w:pPr>
          </w:p>
        </w:tc>
        <w:tc>
          <w:tcPr>
            <w:tcW w:w="42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APIC</w:t>
            </w:r>
          </w:p>
        </w:tc>
        <w:tc>
          <w:tcPr>
            <w:tcW w:w="1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AOCI</w:t>
            </w:r>
          </w:p>
        </w:tc>
        <w:tc>
          <w:tcPr>
            <w:tcW w:w="9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NCI</w:t>
            </w:r>
          </w:p>
        </w:tc>
        <w:tc>
          <w:tcPr>
            <w:tcW w:w="86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(102,786)</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stock awards and ESPP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on redeemable senior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(44,404)</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redeemable senior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Pr>
          <w:p>
            <w:pPr>
              <w:spacing w:after="0"/>
              <w:rPr>
                <w:sz w:val="19"/>
                <w:szCs w:val="19"/>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NCI</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76"/>
        </w:trPr>
        <w:tc>
          <w:tcPr>
            <w:tcW w:w="36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Issuance of profit interests/common equity in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148"/>
        </w:trPr>
        <w:tc>
          <w:tcPr>
            <w:tcW w:w="3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(29)</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5"/>
        </w:trPr>
        <w:tc>
          <w:tcPr>
            <w:tcW w:w="36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Reclassification of negative additional paid-in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20" w:type="dxa"/>
            <w:vAlign w:val="bottom"/>
          </w:tcPr>
          <w:p>
            <w:pPr>
              <w:spacing w:after="0"/>
              <w:rPr>
                <w:sz w:val="15"/>
                <w:szCs w:val="15"/>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(31,432)</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capital</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(134,951)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(146,064)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gridSpan w:val="2"/>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260" w:type="dxa"/>
            <w:vAlign w:val="bottom"/>
            <w:gridSpan w:val="3"/>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80" w:type="dxa"/>
            <w:vAlign w:val="bottom"/>
            <w:gridSpan w:val="2"/>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2"/>
                <w:szCs w:val="12"/>
                <w:color w:val="auto"/>
              </w:rPr>
            </w:pPr>
          </w:p>
        </w:tc>
        <w:tc>
          <w:tcPr>
            <w:tcW w:w="1260" w:type="dxa"/>
            <w:vAlign w:val="bottom"/>
            <w:tcBorders>
              <w:bottom w:val="single" w:sz="8" w:color="auto"/>
            </w:tcBorders>
            <w:gridSpan w:val="3"/>
            <w:vMerge w:val="continue"/>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2"/>
                <w:szCs w:val="12"/>
                <w:color w:val="auto"/>
              </w:rPr>
            </w:pPr>
          </w:p>
        </w:tc>
        <w:tc>
          <w:tcPr>
            <w:tcW w:w="8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APIC</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AOCI</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NCI</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(134,951)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(147,718)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$ 1,654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(146,064)</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PHOT Share issuance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for PHOT redeemable NCI</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Return of PHOT redeemable NCI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of PHOT redeemable NCI,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stock awards and ESPP purchases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on redeemable senior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Accretion of redeemable senior preferred stock</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175"/>
        </w:trPr>
        <w:tc>
          <w:tcPr>
            <w:tcW w:w="37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Excise tax on repurchase of redeemable senior</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149"/>
        </w:trPr>
        <w:tc>
          <w:tcPr>
            <w:tcW w:w="3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to NCI</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Reclassification of negative additional paid-in</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37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w:t>
            </w:r>
          </w:p>
        </w:tc>
        <w:tc>
          <w:tcPr>
            <w:tcW w:w="6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740" w:type="dxa"/>
            <w:vAlign w:val="bottom"/>
            <w:vMerge w:val="continue"/>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(19,607)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(147,134)</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(166,840)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$ 1,815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2"/>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2"/>
                <w:szCs w:val="12"/>
                <w:color w:val="auto"/>
              </w:rPr>
            </w:pPr>
          </w:p>
        </w:tc>
        <w:tc>
          <w:tcPr>
            <w:tcW w:w="8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6"/>
                <w:szCs w:val="16"/>
                <w:b w:val="1"/>
                <w:bCs w:val="1"/>
                <w:color w:val="auto"/>
              </w:rPr>
              <w:t>to</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7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APIC</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AOCI</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NCI</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(147,134)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(166,840)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$ 1,815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(165,025)</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Equity-classified 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stock awards and ESPP purchases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warrants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as part of Boom asset purchase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13,459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NCI</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(6,348)</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NCI as part of DMS acquisition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profit interests in subsidiaries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(22,759)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13,925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(91,453)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(100,415)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$ 8,043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(92,372)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176"/>
        </w:trPr>
        <w:tc>
          <w:tcPr>
            <w:tcW w:w="7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68,395</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ESPP, and incentive units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deferred consideration liability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Bargain purchase gain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receivable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residuals commissions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100,005</w:t>
            </w: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85,609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81,256</w:t>
            </w:r>
          </w:p>
        </w:tc>
      </w:tr>
      <w:tr>
        <w:trPr>
          <w:trHeight w:val="21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(39,301)</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(24,926)</w:t>
            </w: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(21,693)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w:t>
            </w:r>
          </w:p>
        </w:tc>
      </w:tr>
      <w:tr>
        <w:trPr>
          <w:trHeight w:val="189"/>
        </w:trPr>
        <w:tc>
          <w:tcPr>
            <w:tcW w:w="70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Notes receivable, net (see </w:t>
            </w:r>
            <w:r>
              <w:rPr>
                <w:rFonts w:ascii="Times New Roman" w:cs="Times New Roman" w:eastAsia="Times New Roman" w:hAnsi="Times New Roman"/>
                <w:sz w:val="18"/>
                <w:szCs w:val="18"/>
                <w:color w:val="0000FF"/>
              </w:rPr>
              <w:t>Note 5</w:t>
            </w:r>
            <w:r>
              <w:rPr>
                <w:rFonts w:ascii="Times New Roman" w:cs="Times New Roman" w:eastAsia="Times New Roman" w:hAnsi="Times New Roman"/>
                <w:sz w:val="18"/>
                <w:szCs w:val="18"/>
                <w:color w:val="auto"/>
              </w:rPr>
              <w:t>)</w:t>
            </w:r>
          </w:p>
        </w:tc>
        <w:tc>
          <w:tcPr>
            <w:tcW w:w="172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(11,134)</w:t>
            </w:r>
          </w:p>
        </w:tc>
        <w:tc>
          <w:tcPr>
            <w:tcW w:w="144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(3,361)</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376</w:t>
            </w:r>
          </w:p>
        </w:tc>
      </w:tr>
      <w:tr>
        <w:trPr>
          <w:trHeight w:val="20"/>
        </w:trPr>
        <w:tc>
          <w:tcPr>
            <w:tcW w:w="19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assets</w:t>
            </w:r>
          </w:p>
        </w:tc>
        <w:tc>
          <w:tcPr>
            <w:tcW w:w="17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(69,462)</w:t>
            </w: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(5,667)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7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(29,218)</w:t>
            </w: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(174,041)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(35,546)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(55,748)</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1,066,607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and modification costs paid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(960,985)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borrowings under revolving credit facility</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senior preferred stock</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accumulated dividend on redeemable preferred stock</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redeemable non-controlling interest in subsidiary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redeemable senior preferred stockholders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(24,718)</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obligations, net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211,077</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contingent/deferred consideration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426,170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210,105</w:t>
            </w:r>
          </w:p>
        </w:tc>
      </w:tr>
      <w:tr>
        <w:trPr>
          <w:trHeight w:val="210"/>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 and restricted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235,613</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560,610</w:t>
            </w:r>
          </w:p>
        </w:tc>
      </w:tr>
      <w:tr>
        <w:trPr>
          <w:trHeight w:val="223"/>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1,345,998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993,864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796,223</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r>
      <w:tr>
        <w:trPr>
          <w:trHeight w:val="230"/>
        </w:trPr>
        <w:tc>
          <w:tcPr>
            <w:tcW w:w="70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Cash and cash equivalents included in settlement assets (restricted in nature,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1,252,349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924,174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744,696</w:t>
            </w:r>
          </w:p>
        </w:tc>
      </w:tr>
      <w:tr>
        <w:trPr>
          <w:trHeight w:val="223"/>
        </w:trPr>
        <w:tc>
          <w:tcPr>
            <w:tcW w:w="58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480" w:type="dxa"/>
            <w:vAlign w:val="bottom"/>
            <w:tcBorders>
              <w:top w:val="single" w:sz="8" w:color="0000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1,345,998</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993,864</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796,223</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75,859</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29"/>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Addition of contingent/deferred consideration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consideration accrual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29"/>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non-cash change in lease liability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 to purchase price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Cash portion of dividend payable and ticking fee for redeemable senior preferred stock</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Issuance of NCI</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in asset acquisition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Liability incurred in asset acquisition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to value of profit interest unit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bl>
    <w:p>
      <w:pPr>
        <w:spacing w:after="0" w:line="293"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dividend payable for year ended December 31, 2023, was paid on January 2, 2024.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right="6700" w:firstLine="8"/>
        <w:spacing w:after="0" w:line="495" w:lineRule="auto"/>
        <w:tabs>
          <w:tab w:leader="none" w:pos="31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Significant Accounting Policies The Business</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Priority is a payments and banking fintech purpose-built to collect, store, lend and send money. Our connected commerce engine combines full-service merchant acquiring for accounts receivable, complete automated payables tools for bill payment, and sophisticated treasury management solutions. These combine to accelerate cash flow and optimize working capital for our customers.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 its services through the following reportable segments:</w:t>
      </w:r>
    </w:p>
    <w:p>
      <w:pPr>
        <w:spacing w:after="0" w:line="210" w:lineRule="exact"/>
        <w:rPr>
          <w:sz w:val="20"/>
          <w:szCs w:val="20"/>
          <w:color w:val="auto"/>
        </w:rPr>
      </w:pPr>
    </w:p>
    <w:p>
      <w:pPr>
        <w:ind w:left="660" w:right="64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Merchant Solutions</w:t>
      </w:r>
      <w:r>
        <w:rPr>
          <w:rFonts w:ascii="Times New Roman" w:cs="Times New Roman" w:eastAsia="Times New Roman" w:hAnsi="Times New Roman"/>
          <w:sz w:val="18"/>
          <w:szCs w:val="18"/>
          <w:color w:val="auto"/>
        </w:rPr>
        <w:t>: Provides full-service acquiring and payment-enabled solutions for B2C transactions, leveraging Priority's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platform, distributed through ISO, direct sales and vertically focused ISV channels.</w:t>
      </w:r>
    </w:p>
    <w:p>
      <w:pPr>
        <w:spacing w:after="0" w:line="145"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Payables</w:t>
      </w:r>
      <w:r>
        <w:rPr>
          <w:rFonts w:ascii="Times New Roman" w:cs="Times New Roman" w:eastAsia="Times New Roman" w:hAnsi="Times New Roman"/>
          <w:sz w:val="18"/>
          <w:szCs w:val="18"/>
          <w:color w:val="auto"/>
        </w:rPr>
        <w:t>: Provides market-leading AP automation solutions to corporations, software partners and industry leading FIs (including Citibank, Visa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Mastercard) in addition to improving cash flows by providing instant access to working capital.</w:t>
      </w:r>
    </w:p>
    <w:p>
      <w:pPr>
        <w:spacing w:after="0" w:line="172" w:lineRule="exact"/>
        <w:rPr>
          <w:rFonts w:ascii="Times New Roman" w:cs="Times New Roman" w:eastAsia="Times New Roman" w:hAnsi="Times New Roman"/>
          <w:sz w:val="18"/>
          <w:szCs w:val="18"/>
          <w:color w:val="auto"/>
        </w:rPr>
      </w:pPr>
    </w:p>
    <w:p>
      <w:pPr>
        <w:ind w:left="660" w:right="120" w:hanging="328"/>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Solutions</w:t>
      </w:r>
      <w:r>
        <w:rPr>
          <w:rFonts w:ascii="Times New Roman" w:cs="Times New Roman" w:eastAsia="Times New Roman" w:hAnsi="Times New Roman"/>
          <w:sz w:val="18"/>
          <w:szCs w:val="18"/>
          <w:color w:val="auto"/>
        </w:rPr>
        <w:t>: Provides embedded finance and BaaS solutions to customers to modernize legacy platforms and accelerate software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strategies to monetize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our reportable segments, see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provide many of its services, the Company enters into agreements with payment processors which in turn, have agreements with multiple card associations. These card associations comprise an alliance aligned with insured FIs ("member banks") that work in conjunction with various local, state, territory and federal government agencies to make the rules and guidelines regarding the use and acceptance of credit and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also offers money transmission services in forty six U.S. states, the District of Columbia and two U.S. territories.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The Company generally utilizes the equity method of accounting when it has an ownership interest of between 20% and 50% in an entity, provided the Company is able to exercise significant influence over the investee's operations. All material intercompany balances and transactions have been eliminated in consolidation.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NCI represents the equity interest not owned by the Company and are recorded for consolidated entities in which the Company owns less than 100% of the interests. Changes in the Company's ownership interest while the Company retains its controlling interest are accounted for as equity transactions, and upon loss of control, retained ownership interests are remeasured at fair value, with any gain or loss recognized in earnings. There was no income or loss attributable to NCI in accordance with the applicable operating agreements for any years presented.</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Certain amounts from prior periods have been reclassified to conform to the current period’s presentation. The effect of these reclassifications on our company’s previously reported consolidated financial statements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the disclosure of contingent assets and liabilities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date of the Consolidated Financial Statements and the reported amounts of revenues and expenses during the reported period. Actual results could materially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applies the five-step model to assess its contracts with customers. At contract inception, the Company assesses the services and goods promised in its contracts with customers and identifies the performance obligation for each promise to transfer a distinct good or service to the customer. The Company recognizes revenue when it satisfies a performance obligation by transferring a service or good to the customer in an amount to which the Company expects to be entitled (i.e., transaction price) allocated to the distinct services or goods.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elected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 The Company has elected to exclude any contracts with an original duration of one year or less and any variable consideration that meets specified criteria from its disclosure of the aggregate amount of the transaction price allocated to unsatisfied performance.</w:t>
      </w:r>
    </w:p>
    <w:p>
      <w:pPr>
        <w:spacing w:after="0" w:line="18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 delivering payment services to the customer, the Company also provides a limited license agreement to the customer for the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 increment, rather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by the underlying activities, (quantity and timing of which is not determinable), satisfied over time based on days elapsed.</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provide our payment services, we obtain authorization for the transaction and request funds settlement from the card issuing financial institution through the payment network. 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or principal to the customer. To determine whether the Company controls the service or good, it assesses indicators including: 1) which party is primarily responsible for fulfillment; 2) which party has discretion in determining pricing for the service or good; and 3) other considerations deemed to be applicable to the specific situation. Based on our assessment of these indicators, we have concluded that the promise to our customers to provide payment services is distinct from the services provided by the card issuing FIs, sponsor banks, and payment networks in connection with payment transactions. We do not have the ability to direct the use of and obtain substantially all of the benefits of the services provided by the card issuing FIs, sponsor bank fees, and payment networks before those services are transferred to our customer, and on that basis, we do not control those services prior to being transferred to our customer. As a result, we present our revenues net of the interchange fees retained by the card issuing FIs and the fees charged by the payment networks except for our Plastiq (Payables segment) business where the Company is considered a merchant of record and therefore, revenue is presented on gross basis.</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Merchant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Merchant Solutions segment enables the Company's customers to accept card, electronic and digital-based payments at the point of sale by providing a suite of services including authorization, settlement and funding, customer support and help-desk functions, chargeback resolution, payment security, consolidated billing and statements, and online reporting. The Company also earns revenue and commissions from resale of electronic POS equipment and certain subscription coupons.</w:t>
      </w:r>
    </w:p>
    <w:p>
      <w:pPr>
        <w:spacing w:after="0" w:line="1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Typically, revenues generated from these transactions are based on a variable percentage of the dollar amount of each transaction, and in some instances, additional fees (e.g., statement fees, annual fees and monthly minimum fees, fees for handling chargebacks, gateway fees and fees for other miscellaneous services) are charged for each transaction. The Company's sponsoring banks collect the gross merchant discount from the card holder's issuing bank, pay the interchange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assessments to the payment networks and credit card associations, retain their fees, and pay to the Company the net amount which represents the Company's revenue. Additionally, in certain cases, the Company directly bills to its customers at the month end and records the revenue on a net basis.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Payables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Payables segment enables the Company's customers to automate their accounts payable and other commercial payments functions with the Company's payment services that utilize physical and virtual payment cards as well as ACH transactions. The Company also provides cost-plus-fee turn-key business process outsourcing and assists commercial customers with programs that are designed to increase acceptance of Electronic Payments. Revenues are generally earned on a per-transaction basis and are recognized by the Company over time, net of certain third-party costs for interchange fees, assessments to the payment networks, credit card associations fees, sponsor bank fees and rebates to customers.</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payables management platform (Plastiq) helps businesses improve cash flow with instant access to working capital, while automating and enabling control over all aspects of accounts receivable and payable. For these transactions, the Company acts as a merchant of record, therefore, considered as the principal and accordingly presents its revenue on a gross basis. The Company also offers volume rebates as an incentive to increase business and customer engagement. These rebates are presented as net of revenue.</w:t>
      </w:r>
    </w:p>
    <w:p>
      <w:pPr>
        <w:spacing w:after="0" w:line="17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u w:val="single" w:color="auto"/>
          <w:color w:val="auto"/>
        </w:rPr>
        <w:t>Treasury 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Treasury Solutions segment uses payment-adjacent technologies to facilitate the acceptance of Electronic Payments from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the Treasury Solutions segment consists of the following:</w:t>
      </w:r>
    </w:p>
    <w:p>
      <w:pPr>
        <w:spacing w:after="0" w:line="223" w:lineRule="exact"/>
        <w:rPr>
          <w:sz w:val="20"/>
          <w:szCs w:val="20"/>
          <w:color w:val="auto"/>
        </w:rPr>
      </w:pPr>
    </w:p>
    <w:p>
      <w:pPr>
        <w:jc w:val="both"/>
        <w:ind w:left="660" w:right="560" w:hanging="328"/>
        <w:spacing w:after="0" w:line="26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Enrollment fees</w:t>
      </w:r>
      <w:r>
        <w:rPr>
          <w:rFonts w:ascii="Times New Roman" w:cs="Times New Roman" w:eastAsia="Times New Roman" w:hAnsi="Times New Roman"/>
          <w:sz w:val="18"/>
          <w:szCs w:val="18"/>
          <w:color w:val="auto"/>
        </w:rPr>
        <w:t>: The enrollment fees are charged for services provided in connection with initial setup (i.e. data verification and review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documents) and is recognized as revenue at the time of the receipt of a fully executed enrollment application, completion of the customer account setup, and the constructive receipt of the applicable non-refundable fee.</w:t>
      </w:r>
    </w:p>
    <w:p>
      <w:pPr>
        <w:spacing w:after="0" w:line="173"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fees</w:t>
      </w:r>
      <w:r>
        <w:rPr>
          <w:rFonts w:ascii="Times New Roman" w:cs="Times New Roman" w:eastAsia="Times New Roman" w:hAnsi="Times New Roman"/>
          <w:sz w:val="18"/>
          <w:szCs w:val="18"/>
          <w:color w:val="auto"/>
        </w:rPr>
        <w:t>: The Company recognizes monthly subscription fees as recurring maintenance fees each month during the term of the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enrollment. Revenue from transaction-based fees is recognized over time upon constructive receipt of transaction fees for payments to creditors issued via ACH payments, paper checks or wire transfers. These fees are transferred to the Company from the customer account balances, which may be maintained by the Company in money transmission license trust accounts or by partner banks.</w:t>
      </w:r>
    </w:p>
    <w:p>
      <w:pPr>
        <w:spacing w:after="0" w:line="179"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revenue</w:t>
      </w:r>
      <w:r>
        <w:rPr>
          <w:rFonts w:ascii="Times New Roman" w:cs="Times New Roman" w:eastAsia="Times New Roman" w:hAnsi="Times New Roman"/>
          <w:sz w:val="18"/>
          <w:szCs w:val="18"/>
          <w:color w:val="auto"/>
        </w:rPr>
        <w:t>: Interest revenue is derived from certain customer balances maintained in interest bearing accounts with select partner banks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when earned.</w:t>
      </w:r>
    </w:p>
    <w:p>
      <w:pPr>
        <w:spacing w:after="0" w:line="158" w:lineRule="exact"/>
        <w:rPr>
          <w:rFonts w:ascii="Times New Roman" w:cs="Times New Roman" w:eastAsia="Times New Roman" w:hAnsi="Times New Roman"/>
          <w:sz w:val="18"/>
          <w:szCs w:val="18"/>
          <w:color w:val="auto"/>
        </w:rPr>
      </w:pPr>
    </w:p>
    <w:p>
      <w:pPr>
        <w:ind w:left="660" w:right="28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CRM and consulting fees</w:t>
      </w:r>
      <w:r>
        <w:rPr>
          <w:rFonts w:ascii="Times New Roman" w:cs="Times New Roman" w:eastAsia="Times New Roman" w:hAnsi="Times New Roman"/>
          <w:sz w:val="18"/>
          <w:szCs w:val="18"/>
          <w:color w:val="auto"/>
        </w:rPr>
        <w:t>: CRM license fees are recognized on a monthly basis and consulting fees are recognized over time when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substantial portion of this segment's revenues are earned as an agent of a third party, and therefore this earned revenue is reported as a net amount within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Interest income generated by the Company's ordinary activities (i.e. from reserves and customer deposits) are presented within outsourced services and other services revenue. See </w:t>
      </w:r>
      <w:r>
        <w:rPr>
          <w:rFonts w:ascii="Times New Roman" w:cs="Times New Roman" w:eastAsia="Times New Roman" w:hAnsi="Times New Roman"/>
          <w:sz w:val="18"/>
          <w:szCs w:val="18"/>
          <w:u w:val="single" w:color="auto"/>
          <w:color w:val="0000FF"/>
        </w:rPr>
        <w:t>Note 3. Revenues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recognized using the effective interest rate method, which is based upon the respective interest rates and the average daily asset balance.</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from the Company's surplus cash balances, notes receivable and other investments are included within other income. Interest on notes receivable is recognized on a monthly basis and is included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 (excludes depreciation and amortization)</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Costs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Costs of outsourced services and other revenue consist of the cost of equipment (point of sale terminals) sold, and third-party fees and commissions related to the Company's ACH processing activities. For the years ended December 31, 2024 and 2023, this also included salaries directly related to outsourced services revenue.</w:t>
      </w:r>
    </w:p>
    <w:p>
      <w:pPr>
        <w:spacing w:after="0" w:line="156" w:lineRule="exact"/>
        <w:rPr>
          <w:sz w:val="20"/>
          <w:szCs w:val="20"/>
          <w:color w:val="auto"/>
        </w:rPr>
      </w:pPr>
    </w:p>
    <w:p>
      <w:pPr>
        <w:ind w:right="80"/>
        <w:spacing w:after="0" w:line="221" w:lineRule="exact"/>
        <w:rPr>
          <w:sz w:val="20"/>
          <w:szCs w:val="20"/>
          <w:color w:val="auto"/>
        </w:rPr>
      </w:pPr>
      <w:r>
        <w:rPr>
          <w:rFonts w:ascii="Times New Roman" w:cs="Times New Roman" w:eastAsia="Times New Roman" w:hAnsi="Times New Roman"/>
          <w:sz w:val="18"/>
          <w:szCs w:val="18"/>
          <w:color w:val="auto"/>
        </w:rPr>
        <w:t>Cost of services for Passport includes bank partner fees for account issuance, maintenance, ledgering, settlement, and transaction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ACH, wire, and similar activity. It also includes technology platform fees and reseller commissions. Cost of services for CFTPay includes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processing fees such as ACH origination charges, wire fees, and other settlement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banking costs. It also includes check printing, handling, and shipping fees for creditor disbursements.</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Plastiq business, the Company acts as merchant of record and therefore transaction processing costs, including interchange fees, are presented as costs of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Customers and Contract Costs</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accrues and pays commission expense based on variable merchant payment volumes and for certain customer service and other services provided by its ISOs. Since commission expenses are accrued and paid to ISOs on a monthly basis after the merchant enters into a new or renewed contract, these are not deemed to be a cost to acquire a new contract but they are reported within costs of services on our Consolidated Statements of Operations and Comprehensive Income (Loss). The ISO is typically an independent contractor or agent of the Company.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contract with a customer creates a legal right and obligation.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pays certain bonuses to its ISOs for boarding incremental merchants which the Company expects to obtain benefit from in future periods. These bonuses are recorded as contract acquisition costs and are amortized over three or five years. Net contract acquisition costs were $6.4 million and $8.7 million at December 31, 2025 and December 31, 2024, respectively. Amortization expense for contract acquisition costs for the years ended December 31, 2025 and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2024 was $2.4 million and $2.0 million, respectively. Amortization expense for contact acquisition costs for the year ended December 31, 2023, was $1.0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Restricted Cash</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includes highly liquid instruments with an original maturity of three months or less, and cash owned by the Company that is held in financial institutions. Restricted cash is held by the Company in financial institutions for the purpose of in-process customer settlements, reserves held per contract terms or minimum cash balance required to be maintained at the unrestricted subsidiary of the Company as per the terms of the Residual Finance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Accounts receivable includes amounts due from sponsor banks, agents, merchants, and other card networks and are stated net of allowance for current period credit losses for any uncollectible amounts. These balances are typically paid within 30 days following the end of each month.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Inventory consists primarily of POS terminals which is carried at the lower of cost or net realizable value. Cost is equal to the purchase price and other expenses incurred with acquiring the inventory and is valued using the weighted average cost method. The carrying amount is reduced when items are determined to be obsolete/expired. For the years ended December 31, 2025 and 2024, the Company had a write-off for obsolete inventory for $0.2 million and $3.5 million, respectively.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Company’s inventory totaled $14.5 million and $7.7 million, respectively, of which $5.3 million and $7.1 million, respectively, represented inventory in transit. As of December 31, 2025 , $8.1 million is recorded in prepaid and other current assets and $6.4 million is recorded in other noncurrent assets on the Company's Consolidated Balance Sheets. As of December 31, 2024, $7.7 million is recorded in prepaid and other current assets on the Company's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Notes receivable are primarily comprised of notes receivable from ISOs and ISVs under the terms of the agreements the Company preserves the right to hold back residual payments due to the ISOs and ISVs and to apply such residuals against future payments due to the Company. Notes receivable are recorded at the unpaid principal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Losses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utilizes a combination of aging and loss-rate methodologies to develop an estimate of current expected credit losses based on the nature and risks associated with the underlying asset pool. A broad range of factors are considered during the estimation of the allowance including historical losses, adjustments for current conditions and future trends. The Company may also utilize a mix of qualitative and quantitative risk factors within its estimation. As of December 31, 2025 and December 31, 2024, there was no allowance for expected loss on notes receivable. See </w:t>
      </w:r>
      <w:r>
        <w:rPr>
          <w:rFonts w:ascii="Times New Roman" w:cs="Times New Roman" w:eastAsia="Times New Roman" w:hAnsi="Times New Roman"/>
          <w:sz w:val="18"/>
          <w:szCs w:val="18"/>
          <w:u w:val="single" w:color="auto"/>
          <w:color w:val="0000FF"/>
        </w:rPr>
        <w:t>Note 5. Notes Receivable</w:t>
      </w:r>
      <w:r>
        <w:rPr>
          <w:rFonts w:ascii="Times New Roman" w:cs="Times New Roman" w:eastAsia="Times New Roman" w:hAnsi="Times New Roman"/>
          <w:sz w:val="18"/>
          <w:szCs w:val="18"/>
          <w:color w:val="auto"/>
        </w:rPr>
        <w:t xml:space="preserve">. As of December 31, 2025 and December 31, 2024, the allowance for expected losses on settlement assets was $7.1 million and $7.9 million, respectively. See </w:t>
      </w:r>
      <w:r>
        <w:rPr>
          <w:rFonts w:ascii="Times New Roman" w:cs="Times New Roman" w:eastAsia="Times New Roman" w:hAnsi="Times New Roman"/>
          <w:sz w:val="18"/>
          <w:szCs w:val="18"/>
          <w:u w:val="single" w:color="auto"/>
          <w:color w:val="0000FF"/>
        </w:rPr>
        <w:t>Note 4. Settlement Assets and Obligations</w:t>
      </w:r>
      <w:r>
        <w:rPr>
          <w:rFonts w:ascii="Times New Roman" w:cs="Times New Roman" w:eastAsia="Times New Roman" w:hAnsi="Times New Roman"/>
          <w:sz w:val="18"/>
          <w:szCs w:val="18"/>
          <w:color w:val="000000"/>
        </w:rPr>
        <w:t>. A reconciliation of the beginning and ending amount of allowance for expected losses for Trade Receivables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Settlement Assets is as follows for the year ended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220" w:type="dxa"/>
            <w:vAlign w:val="bottom"/>
          </w:tcPr>
          <w:p>
            <w:pPr>
              <w:spacing w:after="0"/>
              <w:rPr>
                <w:sz w:val="20"/>
                <w:szCs w:val="20"/>
                <w:color w:val="auto"/>
              </w:rPr>
            </w:pPr>
          </w:p>
        </w:tc>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Settlement Assets</w:t>
            </w:r>
          </w:p>
        </w:tc>
      </w:tr>
      <w:tr>
        <w:trPr>
          <w:trHeight w:val="223"/>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(7,936)</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Charge-offs (recoveries), net</w:t>
            </w:r>
          </w:p>
        </w:tc>
        <w:tc>
          <w:tcPr>
            <w:tcW w:w="200" w:type="dxa"/>
            <w:vAlign w:val="bottom"/>
          </w:tcPr>
          <w:p>
            <w:pPr>
              <w:spacing w:after="0"/>
              <w:rPr>
                <w:sz w:val="19"/>
                <w:szCs w:val="19"/>
                <w:color w:val="auto"/>
              </w:rPr>
            </w:pPr>
          </w:p>
        </w:tc>
        <w:tc>
          <w:tcPr>
            <w:tcW w:w="18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1,146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8,741</w:t>
            </w: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rPr>
              <w:t>(9,383)</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Reclassification</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8"/>
              </w:rPr>
              <w:t>1,509</w:t>
            </w:r>
          </w:p>
        </w:tc>
      </w:tr>
      <w:tr>
        <w:trPr>
          <w:trHeight w:val="248"/>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(6,297)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(7,069)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elected not to measure expected losses for accrued interest on notes receivable but instead recognize losses for accrued interest within the period losses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 and Advance Payments</w:t>
      </w:r>
    </w:p>
    <w:p>
      <w:pPr>
        <w:spacing w:after="0" w:line="22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and Comprehensive Income (Loss) when the Company satisfies the performance obligations required to retain and earn these deposits and advance payments.</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vendor may make an upfront payment to the Company to offset costs that the Company incurs to integrate the vendor into the Company's operations. These upfront payments are deferred by the Company and are subsequently amortized against expense in its Consolidated Statements of Operations and Comprehensive Income (Loss) as the related costs are incurred by the Company in accordance with the agreement with the vendor.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made investments in equity securities and other permissible investments, carried at the cost of $8.6 million and $4.8 million, within other noncurrent assets on the Company's Consolidated Balance Sheets. The fair value of the securities are not readily determinable. Accordingly, the Company has elected to apply the measurement alternative in accordance with ASC 321</w:t>
      </w:r>
      <w:r>
        <w:rPr>
          <w:rFonts w:ascii="Times New Roman" w:cs="Times New Roman" w:eastAsia="Times New Roman" w:hAnsi="Times New Roman"/>
          <w:sz w:val="18"/>
          <w:szCs w:val="18"/>
          <w:i w:val="1"/>
          <w:iCs w:val="1"/>
          <w:color w:val="auto"/>
        </w:rPr>
        <w:t>, 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under which such investments are measured at cost, less any impairment. Investments in unconsolidated entities are evaluated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events and circumstances indicate that the carrying value of the investment has been impaired beyond a temporary period of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except for property and equipment acquired in a business combination, which is recorded at fair value at the time of the transaction. Depreciation is primarily calculated using the straight-line method over the estimated useful lives of the assets.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equipment and software</w:t>
            </w:r>
          </w:p>
        </w:tc>
        <w:tc>
          <w:tcPr>
            <w:tcW w:w="672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5</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 years</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2</w:t>
            </w: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3</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6. Property, Equipment and Software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Develop Software for Internal Use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Costs incurred to develop or obtain internal-use software and implementation costs are accounted for in accordance with ASC 350-40, </w:t>
      </w:r>
      <w:r>
        <w:rPr>
          <w:rFonts w:ascii="Times New Roman" w:cs="Times New Roman" w:eastAsia="Times New Roman" w:hAnsi="Times New Roman"/>
          <w:sz w:val="18"/>
          <w:szCs w:val="18"/>
          <w:i w:val="1"/>
          <w:iCs w:val="1"/>
          <w:color w:val="auto"/>
        </w:rPr>
        <w:t>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The Company uses an agile development methodology in which feature-by-feature updates are made to its software. The costs incurred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stages of development are expensed as incurred. Once an application has reached the development stage, internal and external costs incurred to develop internal-use software are capitalized and amortized using the straight-line method over the estimated useful life of the software, which generally range from two to five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years. Maintenance costs including those in the post-implementation stages, are typically expensed as incurred, unless such costs relate to substantial upgrades and enhancements to the software that result in added functionality, in which case such costs are capitalized and amortized using the straight-line method over the estimated useful life of the software.</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Software development costs may become impaired in situations where development efforts are abandoned due to the viability of the planned project becoming doubtful or due to technological obsolescence of the planned software product. There were no impairment charges associated with internal-use software for the years ended December 31, 2025, 2024 and 2023.</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capitalized software development costs of $19.7 million, $26.1 million and $21.3 million, respectively. As of December 31, 2025 and 2024, capitalized software development costs, net of accumulated amortization, totaled $51.2 million and $48.1 million, respectively, and are included in property, equipment and software, net on the Consolidated Balance Sheets.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Amortization expense for capitalized software development costs for the years ended December 31, 2025, 2024 and 2023 was $16.5 million, $11.8 million and $9.4 million, respectively, and are included in depreciation and amortization on the Consolidated Statements of Operations and Comprehensive Income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Intangible assets acquired as asset acquisitions are initially recorded at cost and at fair value when acquired in connection with a business combination. The carrying value of an intangible asset acquired in an asset acquisition may subsequently be increased for contingent consideration when due to the seller and such amounts are payable. All of the Company's intangible assets, except goodwill and money transmission licenses, have finite lives and are subject to amortization. Intangible assets consist of acquired merchant portfolios, customer relationships, ISO and referral partner relationships, residual buyouts, trade names, technology, non-compete agreements and money transmission licenses.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5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18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relationships with ISOs and referral partners</w:t>
            </w:r>
          </w:p>
        </w:tc>
        <w:tc>
          <w:tcPr>
            <w:tcW w:w="18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11 – 25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Buyouts</w:t>
            </w:r>
          </w:p>
        </w:tc>
        <w:tc>
          <w:tcPr>
            <w:tcW w:w="5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Surrender of rights to receive commissions by ISOs</w:t>
            </w:r>
          </w:p>
        </w:tc>
        <w:tc>
          <w:tcPr>
            <w:tcW w:w="1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 – 9 years</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18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 – 10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Merchant Portfolios</w:t>
            </w:r>
          </w:p>
        </w:tc>
        <w:tc>
          <w:tcPr>
            <w:tcW w:w="5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Acquired rights to a portfolio of merchants</w:t>
            </w:r>
          </w:p>
        </w:tc>
        <w:tc>
          <w:tcPr>
            <w:tcW w:w="1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 – 10 years</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Acquired proprietary software and website domains</w:t>
            </w:r>
          </w:p>
        </w:tc>
        <w:tc>
          <w:tcPr>
            <w:tcW w:w="18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 – 10 years</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Non-compete Agreements</w:t>
            </w:r>
          </w:p>
        </w:tc>
        <w:tc>
          <w:tcPr>
            <w:tcW w:w="5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Acquired trade names and non-compete agreements</w:t>
            </w:r>
          </w:p>
        </w:tc>
        <w:tc>
          <w:tcPr>
            <w:tcW w:w="1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 – 10 years</w:t>
            </w:r>
          </w:p>
        </w:tc>
        <w:tc>
          <w:tcPr>
            <w:tcW w:w="0" w:type="dxa"/>
            <w:vAlign w:val="bottom"/>
          </w:tcPr>
          <w:p>
            <w:pPr>
              <w:spacing w:after="0"/>
              <w:rPr>
                <w:sz w:val="1"/>
                <w:szCs w:val="1"/>
                <w:color w:val="auto"/>
              </w:rPr>
            </w:pPr>
          </w:p>
        </w:tc>
      </w:tr>
      <w:tr>
        <w:trPr>
          <w:trHeight w:val="175"/>
        </w:trPr>
        <w:tc>
          <w:tcPr>
            <w:tcW w:w="3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Transmission Licenses</w:t>
            </w:r>
          </w:p>
        </w:tc>
        <w:tc>
          <w:tcPr>
            <w:tcW w:w="558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Acquired licenses to collect, store, lend and send money in forty six</w:t>
            </w:r>
          </w:p>
        </w:tc>
        <w:tc>
          <w:tcPr>
            <w:tcW w:w="188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149"/>
        </w:trPr>
        <w:tc>
          <w:tcPr>
            <w:tcW w:w="3780" w:type="dxa"/>
            <w:vAlign w:val="bottom"/>
            <w:vMerge w:val="continue"/>
            <w:shd w:val="clear" w:color="auto" w:fill="CCEEFF"/>
          </w:tcPr>
          <w:p>
            <w:pPr>
              <w:spacing w:after="0"/>
              <w:rPr>
                <w:sz w:val="12"/>
                <w:szCs w:val="12"/>
                <w:color w:val="auto"/>
              </w:rPr>
            </w:pPr>
          </w:p>
        </w:tc>
        <w:tc>
          <w:tcPr>
            <w:tcW w:w="55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states, the District of Columbia and two U.S. territories.</w:t>
            </w:r>
          </w:p>
        </w:tc>
        <w:tc>
          <w:tcPr>
            <w:tcW w:w="1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rPr>
                <w:sz w:val="8"/>
                <w:szCs w:val="8"/>
                <w:color w:val="auto"/>
              </w:rPr>
            </w:pPr>
          </w:p>
        </w:tc>
        <w:tc>
          <w:tcPr>
            <w:tcW w:w="5580" w:type="dxa"/>
            <w:vAlign w:val="bottom"/>
            <w:vMerge w:val="continue"/>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may occasionally elect to buy out all or a portion of an ISO's rights to receive future commission payments related to certain merchants. Amounts paid to the ISO for these residual buyouts are capitalized and amortized over the useful life on a straight-line basis under the accounting guidance for intangible assets and included in intangible assets, net on our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its long-lived assets for impairment to determine if events or changes in circumstances indicate the carrying value of an asset may not be recoverable. For long-lived assets, except goodwill and indefinite-lived intangibles, an impairment loss is indicated when the undiscounted future cash flows estimated to be generated by the asset group are not sufficient to recover the carrying value of the asset group. If indicated, the loss is measured as the excess of carrying value over the asset groups' fair value, as determined based on discounted future cash flows. The Company concluded there were no indications of impairment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Intangibles</w:t>
      </w:r>
    </w:p>
    <w:p>
      <w:pPr>
        <w:spacing w:after="0" w:line="22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The Company tests goodwill and indefinite-lived intangibles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or when events occur or circumstances indicate the fair value of a reporting unit is below its carrying value. The test for impairment may be a qualitative or a quantitative analysis depending on the facts and circumstances associated with the reporting unit. Reporting units are reevaluated annually or when events occur such as a reorganization of our operating segments or business reasons resulting in material changes to how reporting units are organized and managed. If the fair value of a reporting unit is less than its carrying value, an impairment loss is recorded to the extent that implied fair value of the indefinite-lived intangibles or goodwill within the reporting unit is less than its carrying value. See </w:t>
      </w:r>
      <w:r>
        <w:rPr>
          <w:rFonts w:ascii="Times New Roman" w:cs="Times New Roman" w:eastAsia="Times New Roman" w:hAnsi="Times New Roman"/>
          <w:sz w:val="18"/>
          <w:szCs w:val="18"/>
          <w:u w:val="single" w:color="auto"/>
          <w:color w:val="0000FF"/>
        </w:rPr>
        <w:t>Note 7. Goodwill and Other Intangible Assets</w:t>
      </w:r>
      <w:r>
        <w:rPr>
          <w:rFonts w:ascii="Times New Roman" w:cs="Times New Roman" w:eastAsia="Times New Roman" w:hAnsi="Times New Roman"/>
          <w:sz w:val="18"/>
          <w:szCs w:val="18"/>
          <w:color w:val="auto"/>
        </w:rPr>
        <w:t xml:space="preserve"> for further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evaluates lease and service arrangements at lease inception to determine if the arrangement is a lease or contains a lease. Lease arrangements are evaluated at their commencement date to determine classification as operating or finance. Operating leases are reported as part of other noncurrent assets, accounts payable and accrued expenses and other noncurrent liabilities on the Company's Consolidated Balance Sheets. Finance leases, if applicable, are reported as part of property, equipment and software, net, and debt on the Company's Consolidated Balance Sheets. Leases with a term of twelve months or less ("short-term leases") are not included on the Company's Balance Sheets. The Company does not separate lease and non-lease components. Certain estimates and assumptions are made when determining the value of ROU Assets and the related liabilities, including when establishing the lease term and discount rates and variable lease payments (e.g., rent escalations tied to changes in the Producer Price Index). The lease term for all of the Company's leases includes the non-cancelable period of the lease adjusted for any renewal or termination options the Company is reasonably certain to exercise. The lease payment stream includes any rent escalation that is required under certain lease agreements. The Company's leases generally do not provide an implicit rate of interest, nor is it readily determinable by the Company, and as such the Company uses its incremental borrowing rate in determining the discounted value of the lease payments. Lease expense and depreciation expense, if applicable, are recognized on a straight-line basis over the term of the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Settlement assets and obligations recognized on the Company's Consolidated Balance Sheets represent intermediary balances arising in the Company's settlement process for merchants and other customers. See </w:t>
      </w:r>
      <w:r>
        <w:rPr>
          <w:rFonts w:ascii="Times New Roman" w:cs="Times New Roman" w:eastAsia="Times New Roman" w:hAnsi="Times New Roman"/>
          <w:sz w:val="18"/>
          <w:szCs w:val="18"/>
          <w:u w:val="single" w:color="auto"/>
          <w:color w:val="0000FF"/>
        </w:rPr>
        <w:t>Note 4. Settlement Assets and Obligations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Modification Costs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year ending December 31, 2023, the Company's Management approved a plan to restructure the business of its wholly owned subsidiary, PayRight. PayRight's business activity included advancing funds to customers, which did not generate the desired financial results due to changes in the economic environment, particularly the cost of capital. The restructuring plan included termination of the advancing business effective June 30, 2024. The Company included costs related to this restructuring within selling, general and administrative operating expenses and depreciation and amortization within its Consolidated Statement of Operations and Comprehensive Income (Loss) for the year ended December 31, 2023. The costs include allowance for certain advances whose recoverability was impacted by the restructuring of $3.5 million and $0.3 million for accelerated depreciation and amortization of assets of the restructured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 and Asset Acquisitions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acquisition of a company, the Company determines if the transaction is a business combination, which is accounted for under the acquisition method of accounting. Under this method, the assets acquired and liabilities assumed are recognized at their fair values on the acquisition date. Goodwill represents the excess of the purchase price over the fair value of the net assets acquired. The fair values of the assets acquired and liabilities assumed, including earn-out provisions assumed, are determined based upon the valuation of the acquired business and involves making significant estimates and assumptions based on facts and circumstances that existed as of the acquisition date. The Company assesses earn-out provisions granted to employees who joined the Company upon the effective date of the acquisition for whether the earn-out represents contingent consideration, deferred consideration, or compensation expense depending on, among others, whether a requisite service period exists.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8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costs are capitalized as part of the asset or assets acquired.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Consideration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deferred considerations related to acquisitions are recorded at the fair value on the date of the acquisition and accreted to their redemption value through interest expense. Amounts due within 12 months under the terms of the agreement are classified as current within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Consideration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Contingent consideration related to the Company's business combinations are estimated based on the present value of a weighted payout probability at the measurement date using a Monte Carlo simulation model. This valuation falls within Level 3 in the fair value hierarchy. A change in inputs in the valuation techniques used might result in a significantly higher or lower fair value than what is reported. The current portion of contingent consideration is included in accounts payable and accrued expenses on the Company's Consolidated Balance Sheets and the noncurrent portion of contingent consideration is included in other noncurrent liabilities on the Company's Consolidated Balance Sheets.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asset acquisitions that do not meet the definition of a business, the portion of the unpaid purchase price that is contingent on future activities is not recorded by the Company on the date of acquisition, but when it is payable or paid.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Occasionally, the Company issues common equity and non-voting incentive units within its subsidiaries. The Company is the majority owner of these subsidiaries and, therefore, the common equity and incentive units are deemed to be NCI. NCI is valued based on the events and methodologies including the acquisition-date fair value or the option pricing method.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estimate the initial fair value of the incentive units, the Company utilizes future cash flow scenarios with focus on those cash flow scenarios which could result in future distributions to the NCI. In subsequent periods, income or loss will be attributed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NCI based on the hypothetical liquidation at book value method utilizing the terms of the operating agreement between the Company and the NCI.</w:t>
      </w:r>
    </w:p>
    <w:p>
      <w:pPr>
        <w:spacing w:after="0" w:line="225"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As the majority owner, the Company has call rights on the incentive units issued to the NCI. These call rights can only be executed under certain circumstances and execution is always optional at the Company's discretion. The call rights do not meet the definition of a free-standing financial instrument or derivative; thus no separate accounting is required for these call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Residual Commissions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Residual commissions consist of amounts due to ISOs and ISVs and independent sales agents based on a percentage of the net revenues generated from the Company's merchant customers referred by the respective ISO, ISV and independent sales agent. Percentages vary based on the program type and transaction volume of each merchant. Residual commission expenses were $457.5 million, $426.6 million and $415.1 million, respectively, for the years ended December 31, 2025, 2024 and 2023, and are included in costs of services in the accompanying Consolidated Statements of Operations and Comprehensive Income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 Deposit and Loss Reserve</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ISOs may partner with the Company in an exclusive partner program in which ISOs are given negotiated pricing in exchange for bearing the risk of loss. Through the arrangement, the Company accepts deposits on behalf of the ISO and a reserve account is established by the Company. All amounts maintained by the Company are included in the accompanying Consolidated Balance Sheets as other noncurrent liabilities, which are directly offset by restricted cash accounts owned by the Company of $5.6 million and $5.2 million as of December 31,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recognizes the cost resulting from all stock-based payment transactions in the financial statements at grant date fair value. Stock-based compensation expense is recognized over the requisite service period and is reflected in salary and employee benefits expense on the Company's Consolidated Statements of Operations and Comprehensive Income (Loss). Awards generally vest over three or four years and may not vest evenly over the vesting period. The effects of forfeitures are recognized as they occur. All shares issued from option exercises or vesting of PSU and RSU awards are original issuance shares and any shares withheld for taxes are repurchased by the Company.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award under a stock-based compensation payment arrangement based on the award's fair value remeasured at each reporting date until the date of settlement. Compensation cost for each period until settlement is based on the change (or a portion of the change, depending on the percentage of the requisite service that has been rendered at the reporting date) in the fair value of the instrument for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Company's 2018 Plan, the Company determines the fair value of stock options using the Black-Scholes option pricing model, which requires the use of the following subjective assumptions:</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Measure of the amount by which a stock price has fluctuated or is expected to fluctuate. In 2018, when the Company's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were granted, there was a relatively short amount of time that the Company's Common Stock (Nasdaq: PRTH) were traded on a public market, the Company utilized volatility data for the Common Stock of a peer group of comparable public companies. An increase in the expected volatility would increase the fair value of the stock option and related compensation expense.</w:t>
      </w:r>
    </w:p>
    <w:p>
      <w:pPr>
        <w:spacing w:after="0" w:line="18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U.S. Treasury rate for a stripped-principal treasury note as of the grant date having a term equal to the expected term of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An increase in the risk-free interest rate will increase the fair value of the stock option and related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Period of time over which the stock options granted are expected to remain outstanding. In 2018, when the Company's 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were granted, the Company lacked sufficient exercise information for its stock option plan since it was a newly public company. Accordingly, the Company used a method permitted by the SEC whereby the expected term was estimated to be the mid-point between the vesting dates and the expiration dates of the stock option grants. An increase in the expected term will increase the fair value of the stock option and the related compensation expense.</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an amount of zero as the Company has paid no cash or stock dividends and does not anticipate doing 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An increase in the dividend yield will decrease the fair value of the stock option and the related compensation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participant terminates employment with the Company, vested options may be exercised for a short period of time while unvested options are forfeited.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in any event, a stock option will expire ten years from the date of the grant.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Service-based restricted stock awards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time-based restricted stock awards is determined based on the quoted closing price of the Company's Common Stock on the business day prior to the grant date and is recognized as compensation expense over the vesting term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restricted stock awards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accounts for its performance-based restricted stock awards based on the quoted closing price of the Company's Common Stock on the business day prior to the grant date, adjusted for any market-based vesting criteria, and records stock-based compensation expense over the vesting term of the awards based on the probability that the performance criteria will be achieved. The performance goals may be work-related goals for the individual recipient and/or based on certain corporate performance goals. The Company reassesses the probability of vesting at each reporting period and prospectively adjusts stock-based compensation expense based on its probability assessment. Additionally, if performance goals are set or reset on an annual basis, compensation cost is recognized in any reporting period only for performance-based restricted stock awards in which the performance goals have been established and communicated to the award recipient.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Non-voting Incentive Units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issued non-voting incentive units to certain employees and partners in seven subsidiaries. These non-voting incentive units were determined to be equity and are accounted for under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The non-voting incentive units are either fully vested when granted, or vest according to the service period and/or performance measure noted in the grant agreement. As the non-voting incentive units are vested, they are recognized as NCI to the Company, who is the majority owner of the subsidiaries.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Program</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2021 Employee Stock Purchase plan authorizes the issuance of shares of the Company’s Common Stock pursuant to purchase rights granted to employees. The fair value of purchase rights issued under the Employee Stock purchase Plan is estimated using the Black-Scholes option pricing model. The model requires management to make a number of assumptions, including the fair value of the Company’s Common Stock, expected volatility, expected term, risk-free interest rate, and expected dividends. The Company records the resulting compensation expense in the Consolidated Statements of Operations and Comprehensive Income (Loss) over each three-month offering period. See </w:t>
      </w:r>
      <w:r>
        <w:rPr>
          <w:rFonts w:ascii="Times New Roman" w:cs="Times New Roman" w:eastAsia="Times New Roman" w:hAnsi="Times New Roman"/>
          <w:sz w:val="18"/>
          <w:szCs w:val="18"/>
          <w:u w:val="single" w:color="auto"/>
          <w:color w:val="0000FF"/>
        </w:rPr>
        <w:t>Note 13. Stock-based Compensation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Repurchased Stock</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ASC 505-30,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the Company has elected to apply the cost method when accounting for treasury stock resulting from the repurchase of its Common Stock. Under the cost method, the gross cost of the shares reacquired is charged to a contra equity account, treasury stock. The equity accounts that were originally credited for the original share issuance, Common Stock and additional paid-in capital, remain intact. See </w:t>
      </w:r>
      <w:r>
        <w:rPr>
          <w:rFonts w:ascii="Times New Roman" w:cs="Times New Roman" w:eastAsia="Times New Roman" w:hAnsi="Times New Roman"/>
          <w:sz w:val="18"/>
          <w:szCs w:val="18"/>
          <w:u w:val="single" w:color="auto"/>
          <w:color w:val="0000FF"/>
        </w:rPr>
        <w:t>Note 12. Stockholders' Deficit</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Basic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either the treasury stock method or if-converted method, where appropriate. Diluted EPS excludes potential shares of Common Stock if their effect is anti-dilutive. If there is a net loss in any period, basic and diluted EPS are computed in the same manner. </w:t>
      </w:r>
      <w:r>
        <w:rPr>
          <w:rFonts w:ascii="Times New Roman" w:cs="Times New Roman" w:eastAsia="Times New Roman" w:hAnsi="Times New Roman"/>
          <w:sz w:val="18"/>
          <w:szCs w:val="18"/>
          <w:color w:val="212529"/>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12. Stockholders' Deficit</w:t>
      </w:r>
      <w:r>
        <w:rPr>
          <w:rFonts w:ascii="Times New Roman" w:cs="Times New Roman" w:eastAsia="Times New Roman" w:hAnsi="Times New Roman"/>
          <w:sz w:val="18"/>
          <w:szCs w:val="18"/>
          <w:color w:val="212529"/>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or FASB, Staff has provided additional guidance to address the accounting for the effects of the provisions related to the taxation of Global Intangible Low-Tax Income noting that companies should make an accounting policy election to recognize deferred taxes for temporary basis differences expected to reverse in future years or to include the tax expense in the year it is incurred. The Company has made a policy election to recognize such taxes as current period expenses when incurred.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income tax expense. See </w:t>
      </w:r>
      <w:r>
        <w:rPr>
          <w:rFonts w:ascii="Times New Roman" w:cs="Times New Roman" w:eastAsia="Times New Roman" w:hAnsi="Times New Roman"/>
          <w:sz w:val="18"/>
          <w:szCs w:val="18"/>
          <w:u w:val="single" w:color="auto"/>
          <w:color w:val="0000FF"/>
        </w:rPr>
        <w:t>Note 11.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merchant portfolios, assets and liabilities acquired in mergers and business combinations, and contingent consideration are primarily based on Level 3 inputs and are generally estimated based upon valuation techniques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include discounted cash flow analysis based on cash flow projections or Monte Carlo simulations and, for years beyond the projection period, estimates based on assumed growth rates. Assumptions are also made regarding appropriate discount rates, perpetual growth rates, and capital expenditures, among others. In certain circumstances, the discounted cash flow analysis or Monte Carlo simulation is corroborated by a market-based approach that utilizes comparable company public trading values and, where available, values observed in public market transactions.</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The carrying values of accounts and notes receivable, accounts payable and accrued expenses, long-term debt, restricted cash and cash and cash equivalents, including settlement assets and the associated deposit liabilities, approximate their fair values due to either the short-term nature of such instruments or the fact that the interest rate of the debt is based upon current market rates. See </w:t>
      </w:r>
      <w:r>
        <w:rPr>
          <w:rFonts w:ascii="Times New Roman" w:cs="Times New Roman" w:eastAsia="Times New Roman" w:hAnsi="Times New Roman"/>
          <w:sz w:val="18"/>
          <w:szCs w:val="18"/>
          <w:u w:val="single" w:color="auto"/>
          <w:color w:val="0000FF"/>
        </w:rPr>
        <w:t>Note 17.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of the Indian subsidiaries of the Company is Indian Rupee (i.e. local currency of Republic of India). The functional currency of the Canadian subsidiaries of the Company is the Canadian Dollar. Accordingly, assets and liabilities denominated in a foreign currency are translated into U.S. dollars at the current exchange rate on the last day of the reporting period. Revenues and expenses are translated using the average exchange rate in effect during the reporting period. Translation adjustments are reported as a component of accumulated other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revenues and receivables are attributable to merchants. For the years ended December 31, 2025, 2024 and 2023, no individual merchant customer accounted for 10% or more of the Company's consolidated revenues. Most of the Company's merchant customers were referred to the Company by an ISO or other reseller partners. If the Company's agreement with an ISO allows the ISO to have merchant portability rights, the ISO can move the underlying merchant relationships to another merchant acquirer upon notice to the Company and completion of a "wind down" period. For the years ended December 31, 2025, 2024 and 2023, merchants referred by one ISO organization with merchant portability rights generated revenue within the Company's Merchant Solutions reportable segment that represented approximately 5%, 6% and 15%, respectively, of the Company's consolidated revenues.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the Company's settlement assets balance of $1.3 billion includes cash and cash equivalents of $1.3 billion related to customer account balances which are maintained in FDIC insured accounts with certain FIs. See </w:t>
      </w:r>
      <w:r>
        <w:rPr>
          <w:rFonts w:ascii="Times New Roman" w:cs="Times New Roman" w:eastAsia="Times New Roman" w:hAnsi="Times New Roman"/>
          <w:sz w:val="18"/>
          <w:szCs w:val="18"/>
          <w:u w:val="single" w:color="auto"/>
          <w:color w:val="0000FF"/>
        </w:rPr>
        <w:t>Note 4. Settlement Assets and Obligations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 majority of the Company's cash and restricted cash (including subscriber account balances) is held in certain FIs, substantially all of which is in excess of FDIC limits. On at least an annual basis, the Company reviews qualitative and quantitative factors including earnings (with emphasis on return on equity and net interest margin), capitalization (with emphasis on Tier 1 and Capital ratios), asset quality (emphasis on Net charge-offs ratios), and liquidity, evaluating the performance of these FIs with their peers. The Company may shift funds as a response to risks noted and to optimize returns and costs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The Company does not believe it is exposed to any significant credit risk from these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Interest ASU 2024-01</w:t>
      </w:r>
    </w:p>
    <w:p>
      <w:pPr>
        <w:spacing w:after="0" w:line="22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Profit Interest and Similar Awards</w:t>
      </w:r>
      <w:r>
        <w:rPr>
          <w:rFonts w:ascii="Times New Roman" w:cs="Times New Roman" w:eastAsia="Times New Roman" w:hAnsi="Times New Roman"/>
          <w:sz w:val="18"/>
          <w:szCs w:val="18"/>
          <w:color w:val="auto"/>
        </w:rPr>
        <w:t xml:space="preserve"> ("ASU 2024-01"), to improve GAAP by adding an illustrative example to demonstrate how an entity should apply the scope in paragraph 718-10-15-3 to determine whether profit interest and similar awards should be accounted for in accordance with Topic 718, Compensation-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Compensation. This guidance is effective for annual and interim periods beginning after December 15, 2024. Adoption of this standard did not have any significant impact on results of operations, financial position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2023-09</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to enhance income tax disclosures primarily related to the effective tax rate reconciliation and income taxes paid disclosures. This guidance requires disclosure of specific categories in the effective tax rate reconciliation and additional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are above a quantitative threshold. The amended guidance is effective for annual periods beginning after December 15, 2024. We adopted this guidance prospectively for the annual period ending December 31, 2025. For additional information, see </w:t>
      </w:r>
      <w:r>
        <w:rPr>
          <w:rFonts w:ascii="Times New Roman" w:cs="Times New Roman" w:eastAsia="Times New Roman" w:hAnsi="Times New Roman"/>
          <w:sz w:val="18"/>
          <w:szCs w:val="18"/>
          <w:u w:val="single" w:color="auto"/>
          <w:color w:val="0000FF"/>
        </w:rPr>
        <w:t>Note 11. Income Taxes</w:t>
      </w:r>
      <w:r>
        <w:rPr>
          <w:rFonts w:ascii="Times New Roman" w:cs="Times New Roman" w:eastAsia="Times New Roman" w:hAnsi="Times New Roman"/>
          <w:sz w:val="18"/>
          <w:szCs w:val="18"/>
          <w:color w:val="auto"/>
        </w:rPr>
        <w:t>. Adoption of this standard did not have any significant impact on results of operations, financial position or cash flows.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Pending Adoption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2024-03</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requiring additional disaggregated disclosures in the notes to financial statements for certain categories of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on the face of the income statement. The ASU is effective for fiscal years beginning after December 15, 2026 and interim periods beginning after December 15, 2027. Early adoption is permitted. The Company will adopt this guidance for the year ended December 31, 2026. This guidance is expected to only impact the disclosures with no impact on the results of operations, financial position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Internal-Use Software ASU 2025-06</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("ASU 2025-06") for targeted improvements to the accounting for internal-use software. The amendment updates guidance to consider different methods of software development, updating the requirements for capitalization of software costs. This ASU is effective for annual reporting periods beginning after December 15, 2027, with early adoption permitted. The Company is currently evaluating the impact this ASU will have on its consolidated financial statements.</w:t>
      </w:r>
    </w:p>
    <w:p>
      <w:pPr>
        <w:spacing w:after="0" w:line="200" w:lineRule="exact"/>
        <w:rPr>
          <w:sz w:val="20"/>
          <w:szCs w:val="20"/>
          <w:color w:val="auto"/>
        </w:rPr>
      </w:pPr>
    </w:p>
    <w:p>
      <w:pPr>
        <w:spacing w:after="0" w:line="221" w:lineRule="exact"/>
        <w:rPr>
          <w:sz w:val="20"/>
          <w:szCs w:val="20"/>
          <w:color w:val="auto"/>
        </w:rPr>
      </w:pPr>
    </w:p>
    <w:p>
      <w:pPr>
        <w:ind w:right="9940" w:firstLine="8"/>
        <w:spacing w:after="0" w:line="503" w:lineRule="auto"/>
        <w:tabs>
          <w:tab w:leader="none" w:pos="30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Payslate</w:t>
      </w: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January 21, 2025, Priority’s wholly owned subsidiary, Priority Canada Acquisition Company, Inc. (the "acquiring entity"),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The acquisition will provide synergy opportunities to the Company's Treasury Solutions rent payment business and expand Priority's services in Canada. The acquisition was accounted for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total purchase consideration was $8.8 million, consisting of $4.4 million in cash consideration funded by the Company’s cash flows net of cash acquired, deferred consideration of $4.3 million and contingent consideration of $0.1 million.</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deferred consideration of $4.3 million was recorded at the fair value on the acquisition date. The deferred consideration will be paid monthly equal to 40% of gross profit under the agreement and total payments will not exceed $6.5 million. Any amount remaining but unpaid will be paid in full by January 21, 2030. The Company will accrete interest expense on the deferred consideration throughout the period, which was $0.5 million for the twelve months ended December 31, 2025.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December 31, 2025, total deferred consideration was $4.7 million, $1.1 million included in accounts payable and accrued expenses and $3.6 million included in noncurrent liabilities on the Consolidated Balance Sheets.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Results for the Letus business since the acquisition are included within the Treasury Solutions segment, which includes $1.0 million in revenue and a net loss of $1.0 million for the twelve months ended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purchase price allocation is set forth in the table below:</w:t>
            </w: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r>
      <w:tr>
        <w:trPr>
          <w:trHeight w:val="229"/>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consideration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(3)</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acquired</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8,838</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9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8,838</w:t>
            </w:r>
          </w:p>
        </w:tc>
      </w:tr>
      <w:tr>
        <w:trPr>
          <w:trHeight w:val="20"/>
        </w:trPr>
        <w:tc>
          <w:tcPr>
            <w:tcW w:w="9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at closing net of working capital adjustments.</w:t>
      </w:r>
    </w:p>
    <w:p>
      <w:pPr>
        <w:spacing w:after="0" w:line="89" w:lineRule="exact"/>
        <w:rPr>
          <w:rFonts w:ascii="Times New Roman" w:cs="Times New Roman" w:eastAsia="Times New Roman" w:hAnsi="Times New Roman"/>
          <w:sz w:val="23"/>
          <w:szCs w:val="23"/>
          <w:color w:val="auto"/>
          <w:vertAlign w:val="superscript"/>
        </w:rPr>
      </w:pPr>
    </w:p>
    <w:p>
      <w:pPr>
        <w:ind w:left="660" w:right="20" w:hanging="328"/>
        <w:spacing w:after="0" w:line="23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deferred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deferred consideration payments over all iterations of the simulation.</w:t>
      </w:r>
    </w:p>
    <w:p>
      <w:pPr>
        <w:spacing w:after="0" w:line="60"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contingent consideration represents the fair value of the share of net operating loss carryforwards owed to the seller in the future.</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31"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deferred tax asset of $3.8 million which has a full valuation allowance.</w:t>
      </w:r>
    </w:p>
    <w:p>
      <w:pPr>
        <w:spacing w:after="0" w:line="3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Goodwill of $6.1 million arising from the acquisition primarily consists of the expected synergies and other benefits from combining operations. There was no goodwill deductible for income tax purposes. The goodwill was 100% allocated to the Company's Treasury Solutions reportable segment.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incurred $0.5 million in acquisition related costs, which primarily consisted of consulting, legal and accounting and valuation expenses. These expenses were recorded in selling, general and administrative expenses in the Company's Consolidated Statements of Operations and Comprehensive Income (Loss). Based on the purchase consideration and pre-acquisition operating results, this business combination did not meet the materiality requirements for pro forma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Sila</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26, 2025, Priority's wholly owned subsidiary, Priority Tech Ventures, LLC (the "acquiring entity"), through its merger subsidiary, acquired all outstanding shares, including all voting interests, in Sila Inc. ("the "Sila business" or "Sila"). Sila is a payment platform that enables ACH transfers, instant settlement, digital wallets and built-in compliance through a simple application programming interface. Technology acquired in this transaction will supplement Priority's current Treasury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Solutions reportable segment. The acquisition was accounted for under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total purchase consideration was $7.2 million, consisting of $3.4 million in cash consideration funded by the Company's cash flows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acquired, and contingent consideration of $3.8 million for contractual earn-outs and additional contingent consideration. Earn-outs will be paid as a percentage of gross profit when certain thresholds are met and additional contingent considerations will be paid based on utilization of the seller's carryforward tax losses. The purchase price is considered preliminary pending finalization of working capital adjustments.</w:t>
      </w:r>
    </w:p>
    <w:p>
      <w:pPr>
        <w:spacing w:after="0" w:line="21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contingent consideration for the contractual earn-outs was recorded at the fair value of $3.9 million on the acquisition date. The contingent consideration will be paid quarterly subject to terms and conditions noted within the agreement over a period of seven years and total payments will not exceed $17.0 million. As of December 31, 2025, total contingent consideration of $3.9 million is recorded in noncurrent liabilities on the Consolidated Balance Sheets.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Results for the Sila business since the acquisition are included within the Treasury Solutions reportable segment, which includes $0.3 million in revenue and a net loss of $0.6 million for the twelve months ended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preliminary purchase price allocation is set forth in the table below:</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7"/>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Cash</w:t>
            </w:r>
            <w:r>
              <w:rPr>
                <w:rFonts w:ascii="Times New Roman" w:cs="Times New Roman" w:eastAsia="Times New Roman" w:hAnsi="Times New Roman"/>
                <w:sz w:val="10"/>
                <w:szCs w:val="10"/>
                <w:color w:val="auto"/>
              </w:rPr>
              <w:t>(1)(4)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9"/>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(2)(4)</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acquired</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Prepaid expenses</w:t>
            </w:r>
            <w:r>
              <w:rPr>
                <w:rFonts w:ascii="Times New Roman" w:cs="Times New Roman" w:eastAsia="Times New Roman" w:hAnsi="Times New Roman"/>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noncurrent assets</w:t>
            </w:r>
            <w:r>
              <w:rPr>
                <w:rFonts w:ascii="Times New Roman" w:cs="Times New Roman" w:eastAsia="Times New Roman" w:hAnsi="Times New Roman"/>
                <w:sz w:val="23"/>
                <w:szCs w:val="23"/>
                <w:color w:val="auto"/>
                <w:vertAlign w:val="superscript"/>
              </w:rPr>
              <w:t>(3)(4)</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3"/>
                <w:szCs w:val="23"/>
                <w:color w:val="auto"/>
                <w:vertAlign w:val="superscript"/>
              </w:rPr>
              <w:t>(4)</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9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Technology</w:t>
            </w:r>
            <w:r>
              <w:rPr>
                <w:rFonts w:ascii="Times New Roman" w:cs="Times New Roman" w:eastAsia="Times New Roman" w:hAnsi="Times New Roman"/>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Accounts payable and accrued expenses</w:t>
            </w:r>
            <w:r>
              <w:rPr>
                <w:rFonts w:ascii="Times New Roman" w:cs="Times New Roman" w:eastAsia="Times New Roman" w:hAnsi="Times New Roman"/>
                <w:sz w:val="23"/>
                <w:szCs w:val="23"/>
                <w:color w:val="auto"/>
                <w:vertAlign w:val="superscript"/>
              </w:rPr>
              <w:t>(4)</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net assets acquired</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11,219</w:t>
            </w: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90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r>
      <w:tr>
        <w:trPr>
          <w:trHeight w:val="223"/>
        </w:trPr>
        <w:tc>
          <w:tcPr>
            <w:tcW w:w="90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Estimated bargain purchase gain</w:t>
            </w:r>
            <w:r>
              <w:rPr>
                <w:rFonts w:ascii="Times New Roman" w:cs="Times New Roman" w:eastAsia="Times New Roman" w:hAnsi="Times New Roman"/>
                <w:sz w:val="23"/>
                <w:szCs w:val="23"/>
                <w:color w:val="auto"/>
                <w:vertAlign w:val="superscript"/>
              </w:rPr>
              <w:t>(4)</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3,989</w:t>
            </w:r>
          </w:p>
        </w:tc>
      </w:tr>
      <w:tr>
        <w:trPr>
          <w:trHeight w:val="20"/>
        </w:trPr>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at closing net of working capital adjustments.</w:t>
      </w:r>
    </w:p>
    <w:p>
      <w:pPr>
        <w:spacing w:after="0" w:line="76" w:lineRule="exact"/>
        <w:rPr>
          <w:rFonts w:ascii="Times New Roman" w:cs="Times New Roman" w:eastAsia="Times New Roman" w:hAnsi="Times New Roman"/>
          <w:sz w:val="23"/>
          <w:szCs w:val="23"/>
          <w:color w:val="auto"/>
          <w:vertAlign w:val="superscript"/>
        </w:rPr>
      </w:pPr>
    </w:p>
    <w:p>
      <w:pPr>
        <w:ind w:left="660" w:right="20" w:hanging="328"/>
        <w:spacing w:after="0" w:line="232"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contingent consideration was determined utilizing a Monte Carlo simulation. The payments were calculated based on the path for the simulated metrics and the contractual terms of the contingent consideration payments and were discounted to present value at a rate reflecting a risk associated with the payoffs. The fair value was estimated to be the average present value of the contingent consideration payments over all iterations of the simulation. The contingent consideration represents the fair value of the contractual earn-outs and the share of net operating loss carryforwards owed to the seller in the future.</w:t>
      </w:r>
    </w:p>
    <w:p>
      <w:pPr>
        <w:spacing w:after="0" w:line="61"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deferred tax asset of $9.5 million.</w:t>
      </w:r>
    </w:p>
    <w:p>
      <w:pPr>
        <w:spacing w:after="0" w:line="76" w:lineRule="exact"/>
        <w:rPr>
          <w:rFonts w:ascii="Times New Roman" w:cs="Times New Roman" w:eastAsia="Times New Roman" w:hAnsi="Times New Roman"/>
          <w:sz w:val="23"/>
          <w:szCs w:val="23"/>
          <w:color w:val="auto"/>
          <w:vertAlign w:val="superscript"/>
        </w:rPr>
      </w:pPr>
    </w:p>
    <w:p>
      <w:pPr>
        <w:ind w:left="660" w:right="140" w:hanging="328"/>
        <w:spacing w:after="0" w:line="222"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2025, the Company recorded measurement period adjustments due to additional information received that existed on the acquisition date.</w:t>
      </w:r>
    </w:p>
    <w:p>
      <w:pPr>
        <w:spacing w:after="0" w:line="3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fair value of acquired assets and assumed liabilities exceeded the consideration paid, resulting in a bargain purchase gain. The Company reviewed its acquisition accounting methods, confirmed all assets and liabilities were properly identified, and ensured measurements reflected all consideration as of the closing date. The gain was primarily due to recognizing a deferred tax asset recorded in accordance with ASC 740 related to Sila's historical net operating losses. The estimated bargain purchase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gain is recorded in other income, net, in the Consolidated Statements of Operations and Comprehensive Income (Loss) for twelve months ended December 31, 2025.</w:t>
      </w:r>
    </w:p>
    <w:p>
      <w:pPr>
        <w:spacing w:after="0" w:line="20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incurred $0.2 million in acquisition legal expenses for the acquisition, which were recorded in selling, general and administrative expenses in the Company's Consolidated Statements of Operations and Comprehensive Income (Loss). Based on the purchase consideration and pre-acquisition operating results, this business combination did not meet the materiality requirements for pro forma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DMS</w:t>
      </w:r>
    </w:p>
    <w:p>
      <w:pPr>
        <w:spacing w:after="0" w:line="21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On October 1, 2025, Priority's subsidiary, Priority DMS, LLC, ("the Acquiring Entity") entered into the asset purchase and contribution agreement with DMSJV, LLC ("DMS"), to acquire substantially all of the assets of DMS, including all voting interests. DMS provides credit card processing solutions to automotive dealerships via marketing and selling card and ACH processing services and ancillary services including POS systems, payment gateways, payment processing and authorization, clearing, and settlement for credit card, debit and ACH transactions, which will supplement the Company's Merchant Solutions reportable segment. The acquisition was accounted for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total purchase consideration was $57.9 million, consisting of $31.5 million in cash consideration funded by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facility, deferred consideration of $2.8 million, contingent consideration of $17.1 million for contractual earn-outs and $6.6 million in non-voting subsidiary shares issued to the sellers. Earn-outs will be paid as a percentage of gross profit when certain thresholds are met. The purchase price is considered preliminary pending finalization of working capital adjustments.</w:t>
      </w:r>
    </w:p>
    <w:p>
      <w:pPr>
        <w:spacing w:after="0" w:line="2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contingent consideration for the contractual earn-outs was recorded at the fair value of $17.1 million on the acquisition date. The contingent consideration will be paid when an initial cumulative threshold for gross profit is met, subject to terms and conditions noted within the agreement, over a period of at least four years and total payments will not exceed $22.5 million. As of December 31, 2025, total contingent consideration of $17.1 million is recorded in noncurrent liabilities on the Consolidated Balance Sheets.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Results for the DMS since the acquisition are included within the Merchant Solutions reportable segment, which includes $2.8 million in revenue and a net loss of $0.3 million for the twelve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preliminary purchase price allocation is set forth in the table below:</w:t>
            </w: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9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r>
      <w:tr>
        <w:trPr>
          <w:trHeight w:val="229"/>
        </w:trPr>
        <w:tc>
          <w:tcPr>
            <w:tcW w:w="9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Common equity of the Acquiring Entity</w:t>
            </w:r>
            <w:r>
              <w:rPr>
                <w:rFonts w:ascii="Times New Roman" w:cs="Times New Roman" w:eastAsia="Times New Roman" w:hAnsi="Times New Roman"/>
                <w:sz w:val="23"/>
                <w:szCs w:val="23"/>
                <w:color w:val="auto"/>
                <w:vertAlign w:val="superscript"/>
              </w:rPr>
              <w:t>(3)</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r>
      <w:tr>
        <w:trPr>
          <w:trHeight w:val="229"/>
        </w:trPr>
        <w:tc>
          <w:tcPr>
            <w:tcW w:w="9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consideration</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 net of cash acquired</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57,929</w:t>
            </w:r>
          </w:p>
        </w:tc>
      </w:tr>
      <w:tr>
        <w:trPr>
          <w:trHeight w:val="250"/>
        </w:trPr>
        <w:tc>
          <w:tcPr>
            <w:tcW w:w="90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57,929</w:t>
            </w:r>
          </w:p>
        </w:tc>
      </w:tr>
      <w:tr>
        <w:trPr>
          <w:trHeight w:val="21"/>
        </w:trPr>
        <w:tc>
          <w:tcPr>
            <w:tcW w:w="9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right="440" w:hanging="328"/>
        <w:spacing w:after="0" w:line="222"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deferred consideration represents the fair value of the amount to be remitted upon direction of the seller no later than four years from the acquisition date.</w:t>
      </w:r>
    </w:p>
    <w:p>
      <w:pPr>
        <w:spacing w:after="0" w:line="76" w:lineRule="exact"/>
        <w:rPr>
          <w:rFonts w:ascii="Times New Roman" w:cs="Times New Roman" w:eastAsia="Times New Roman" w:hAnsi="Times New Roman"/>
          <w:sz w:val="23"/>
          <w:szCs w:val="23"/>
          <w:color w:val="auto"/>
          <w:vertAlign w:val="superscript"/>
        </w:rPr>
      </w:pPr>
    </w:p>
    <w:p>
      <w:pPr>
        <w:ind w:left="660" w:right="20" w:hanging="328"/>
        <w:spacing w:after="0" w:line="231"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contingent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contingent consideration payments over all iterations of the simulation.</w:t>
      </w:r>
    </w:p>
    <w:p>
      <w:pPr>
        <w:spacing w:after="0" w:line="92" w:lineRule="exact"/>
        <w:rPr>
          <w:rFonts w:ascii="Times New Roman" w:cs="Times New Roman" w:eastAsia="Times New Roman" w:hAnsi="Times New Roman"/>
          <w:sz w:val="23"/>
          <w:szCs w:val="23"/>
          <w:color w:val="auto"/>
          <w:vertAlign w:val="superscript"/>
        </w:rPr>
      </w:pPr>
    </w:p>
    <w:p>
      <w:pPr>
        <w:ind w:left="660" w:right="120" w:hanging="328"/>
        <w:spacing w:after="0" w:line="222"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determination for the Class B units utilized an option pricing model. The seller may request to convert 50% of the Class B Units to shares in the Company no later than five years from the acquisition date.</w:t>
      </w:r>
    </w:p>
    <w:p>
      <w:pPr>
        <w:spacing w:after="0" w:line="320"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Goodwill of $34.2 million arising from the acquisition primarily consists of the expected synergies and other benefits from combining operations. There was no goodwill deductible for income tax purposes. The goodwill was 100% allocated to the Company's Merchant Solutions reportable segment.</w:t>
      </w:r>
    </w:p>
    <w:p>
      <w:pPr>
        <w:spacing w:after="0" w:line="1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incurred $0.2 million in acquisition related costs, which primarily consisted of consulting, legal and accounting and valuation expenses. These expenses were recorded in selling, general and administrative expenses in the Company's Consolidated Statements of Operations and Comprehensive Income (Loss). Based on the purchase consideration and pre-acquisition operating results, this business combination did not meet the materiality requirements for pro forma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Boom Commerce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18, 2025, Priority Boom, LLC, a subsidiary of Priority, completed its acquisition of certain residual portfolio rights for a purchase price of</w:t>
      </w:r>
    </w:p>
    <w:p>
      <w:pPr>
        <w:ind w:right="140"/>
        <w:spacing w:after="0" w:line="246" w:lineRule="auto"/>
        <w:rPr>
          <w:sz w:val="20"/>
          <w:szCs w:val="20"/>
          <w:color w:val="auto"/>
        </w:rPr>
      </w:pPr>
      <w:r>
        <w:rPr>
          <w:rFonts w:ascii="Times New Roman" w:cs="Times New Roman" w:eastAsia="Times New Roman" w:hAnsi="Times New Roman"/>
          <w:sz w:val="18"/>
          <w:szCs w:val="18"/>
          <w:color w:val="auto"/>
        </w:rPr>
        <w:t>$73.5 million in cash, $13.5 million in Common shares of Priority and earn-out payments not to exceed $17.0 million based on meeting certain thresholds over a three-year period from the date of acquisition. The transaction did not meet the definition of a business; therefore, it was accounted for as an asset acquisition under which the cost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was allocated to the acquired assets based on relative fair values. As an asset acquisition, additional purchase price (in the form of earn-outs) is accounted for when payment to the seller becomes payable and is added to the carrying value of the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occurred in prior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Plastiq Acquisition</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23, 2023, Plastiq, Powered by Priority, LLC (the "Acquiring Entity"), a subsidiary of Priority, entered into a stalking horse equity and asset purchase agreement with Plastiq, Inc. and certain of its affiliates ("Plastiq") to acquire substantially all of the assets of Plastiq, including the equity interest in Plastiq Canada, Inc. Plastiq is a buyer funded Payables platform offering bill pay and instant access to working capital to its customers and will complement the Company's existing supplier-funded Payables business. On May 24, 2023, Plastiq filed voluntary petitions for relief under Chapter 11 of Title 11 of the United States Code in the United States Bankruptcy Court for the District of Delaware.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purchase was completed on July 31, 2023 for a total purchase consideration of approximately $37.0 million. The total purchase consideration included $28.5 million in cash and the remaining consideration is in the nature of deferred or contingent consideration and certain equity interest in the Acquiring Entity. The cash consideration for the purchase was funded by borrowings from the Company's revolving credit facility.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using the acquisition method of accounting, under which the acquired assets and assumed liabilities were recognized at their fair values as of July 31, 2023, with the excess of the fair value of consideration transferred over the fair value of the net assets acquired recognized as goodwill. The fair values of the acquired assets and assumed liabilities as of July 31, 2023 were estimated by management using the discounted cash flow method and other factors specific to certain assets and liabilities. The final purchase price allocation is set forth in the table below:</w:t>
      </w: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Contingent consideration payments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Common equity of the Acquiring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Less: cash and restricted cash acquired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purchase consideration,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2" w:lineRule="auto"/>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p>
      <w:pPr>
        <w:ind w:left="20"/>
        <w:spacing w:after="0" w:line="218" w:lineRule="auto"/>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 obligations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29"/>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4"/>
        </w:trPr>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36,971</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37"/>
        </w:trPr>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w:t>
            </w:r>
          </w:p>
        </w:tc>
      </w:tr>
      <w:tr>
        <w:trPr>
          <w:trHeight w:val="229"/>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4"/>
        </w:trPr>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36,971</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40" w:space="720"/>
            <w:col w:w="2180"/>
          </w:cols>
          <w:pgMar w:left="320" w:top="121" w:right="339" w:bottom="1440" w:gutter="0" w:footer="0" w:header="0"/>
          <w:type w:val="continuous"/>
        </w:sectPr>
      </w:pPr>
    </w:p>
    <w:p>
      <w:pPr>
        <w:spacing w:after="0" w:line="79" w:lineRule="exact"/>
        <w:rPr>
          <w:sz w:val="20"/>
          <w:szCs w:val="20"/>
          <w:color w:val="auto"/>
        </w:rPr>
      </w:pPr>
    </w:p>
    <w:p>
      <w:pPr>
        <w:ind w:left="660" w:right="20" w:hanging="328"/>
        <w:spacing w:after="0" w:line="23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 contingent consideration payments issued was determined utilizing a Monte Carlo simulation. The contingent consideration payments were calculated based on the path for the simulated metrics and the contractual terms of the contingent consideration payments and were discounted to present value at a rate reflecting the risk associated with the payoffs. The fair value was estimated to be the average present value of the contingent consideration payments over all iterations of the simulation.</w:t>
      </w:r>
    </w:p>
    <w:p>
      <w:pPr>
        <w:spacing w:after="0" w:line="90" w:lineRule="exact"/>
        <w:rPr>
          <w:rFonts w:ascii="Times New Roman" w:cs="Times New Roman" w:eastAsia="Times New Roman" w:hAnsi="Times New Roman"/>
          <w:sz w:val="23"/>
          <w:szCs w:val="23"/>
          <w:color w:val="auto"/>
          <w:vertAlign w:val="superscript"/>
        </w:rPr>
      </w:pPr>
    </w:p>
    <w:p>
      <w:pPr>
        <w:ind w:left="660" w:right="200" w:hanging="328"/>
        <w:spacing w:after="0" w:line="229" w:lineRule="auto"/>
        <w:tabs>
          <w:tab w:leader="none" w:pos="64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intangible assets acquired consist of $13.0 million for customer relationships, $7.0 million for referral partner relationships, $6.5 million for technology and $3.9 million for trade name.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right="440" w:hanging="328"/>
        <w:spacing w:after="0" w:line="235" w:lineRule="auto"/>
        <w:tabs>
          <w:tab w:leader="none" w:pos="648" w:val="left"/>
        </w:tabs>
        <w:numPr>
          <w:ilvl w:val="1"/>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and second quarters of 2024, the Company recorded immaterial measurement period adjustments due to a pre-acquisition tax accrual and security deposit which resulted in an adjustment to goodwill, accounts payable and accrued expenses, and prepaid expenses. The goodwill was 100% allocated to the Company's Payables reportable segment.</w:t>
      </w:r>
    </w:p>
    <w:p>
      <w:pPr>
        <w:spacing w:after="0" w:line="19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disaggregation of our consolidated revenues by type: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card fees</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670,411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595,205</w:t>
            </w: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transmission services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98,137</w:t>
            </w: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Outsourced services and other services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w:t>
            </w:r>
          </w:p>
        </w:tc>
      </w:tr>
      <w:tr>
        <w:trPr>
          <w:trHeight w:val="22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r>
      <w:tr>
        <w:trPr>
          <w:trHeight w:val="223"/>
        </w:trPr>
        <w:tc>
          <w:tcPr>
            <w:tcW w:w="44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revenues</w:t>
            </w:r>
            <w:r>
              <w:rPr>
                <w:rFonts w:ascii="Times New Roman" w:cs="Times New Roman" w:eastAsia="Times New Roman" w:hAnsi="Times New Roman"/>
                <w:sz w:val="23"/>
                <w:szCs w:val="23"/>
                <w:color w:val="auto"/>
                <w:vertAlign w:val="superscript"/>
              </w:rPr>
              <w:t>(1)(2)</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953,009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879,702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755,612</w:t>
            </w:r>
          </w:p>
        </w:tc>
      </w:tr>
      <w:tr>
        <w:trPr>
          <w:trHeight w:val="21"/>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30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ind w:left="660" w:right="640" w:hanging="328"/>
        <w:spacing w:after="0" w:line="21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Approximately $58.4 million, $52.3 million and $33.4 million, of interest income for the years ended December 31, 2025, 2024 and 2023, respectively, is included in outsourced services and other services revenue in the table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color w:val="212529"/>
        </w:rPr>
        <w:t>table presents a disaggregation of our consolidated revenues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186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Outsourced and</w:t>
            </w:r>
          </w:p>
        </w:tc>
        <w:tc>
          <w:tcPr>
            <w:tcW w:w="340" w:type="dxa"/>
            <w:vAlign w:val="bottom"/>
          </w:tcPr>
          <w:p>
            <w:pPr>
              <w:spacing w:after="0"/>
              <w:rPr>
                <w:sz w:val="14"/>
                <w:szCs w:val="14"/>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8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34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Solutions</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642,069</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100,872</w:t>
            </w:r>
          </w:p>
        </w:tc>
        <w:tc>
          <w:tcPr>
            <w:tcW w:w="0" w:type="dxa"/>
            <w:vAlign w:val="bottom"/>
          </w:tcPr>
          <w:p>
            <w:pPr>
              <w:spacing w:after="0"/>
              <w:rPr>
                <w:sz w:val="1"/>
                <w:szCs w:val="1"/>
                <w:color w:val="auto"/>
              </w:rPr>
            </w:pPr>
          </w:p>
        </w:tc>
      </w:tr>
      <w:tr>
        <w:trPr>
          <w:trHeight w:val="230"/>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Solutions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215,779</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710,915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70,708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12,217</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953,009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0"/>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Outsourced and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72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Solutions</w:t>
            </w:r>
          </w:p>
        </w:tc>
        <w:tc>
          <w:tcPr>
            <w:tcW w:w="6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595,104</w:t>
            </w:r>
          </w:p>
        </w:tc>
        <w:tc>
          <w:tcPr>
            <w:tcW w:w="20" w:type="dxa"/>
            <w:vAlign w:val="bottom"/>
          </w:tcPr>
          <w:p>
            <w:pPr>
              <w:spacing w:after="0"/>
              <w:rPr>
                <w:sz w:val="19"/>
                <w:szCs w:val="19"/>
                <w:color w:val="auto"/>
              </w:rPr>
            </w:pPr>
          </w:p>
        </w:tc>
        <w:tc>
          <w:tcPr>
            <w:tcW w:w="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613,547</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Payables</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89,103</w:t>
            </w: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Solutions</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180,448</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670,411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130,123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67,018</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12,150</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879,702</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14"/>
                <w:szCs w:val="14"/>
                <w:color w:val="auto"/>
              </w:rPr>
            </w:pPr>
          </w:p>
        </w:tc>
        <w:tc>
          <w:tcPr>
            <w:tcW w:w="1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Card Fees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3"/>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Money Transmission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Outsourced and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400" w:type="dxa"/>
            <w:vAlign w:val="bottom"/>
          </w:tcPr>
          <w:p>
            <w:pPr>
              <w:spacing w:after="0"/>
              <w:rPr>
                <w:sz w:val="14"/>
                <w:szCs w:val="14"/>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12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72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Other Services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Merchant Solutions</w:t>
            </w:r>
          </w:p>
        </w:tc>
        <w:tc>
          <w:tcPr>
            <w:tcW w:w="6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564,356</w:t>
            </w:r>
          </w:p>
        </w:tc>
        <w:tc>
          <w:tcPr>
            <w:tcW w:w="2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0" w:type="dxa"/>
            <w:vAlign w:val="bottom"/>
          </w:tcPr>
          <w:p>
            <w:pPr>
              <w:spacing w:after="0"/>
              <w:rPr>
                <w:sz w:val="19"/>
                <w:szCs w:val="19"/>
                <w:color w:val="auto"/>
              </w:rPr>
            </w:pPr>
          </w:p>
        </w:tc>
        <w:tc>
          <w:tcPr>
            <w:tcW w:w="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583,251</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Payables</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41,156</w:t>
            </w:r>
          </w:p>
        </w:tc>
        <w:tc>
          <w:tcPr>
            <w:tcW w:w="0" w:type="dxa"/>
            <w:vAlign w:val="bottom"/>
          </w:tcPr>
          <w:p>
            <w:pPr>
              <w:spacing w:after="0"/>
              <w:rPr>
                <w:sz w:val="1"/>
                <w:szCs w:val="1"/>
                <w:color w:val="auto"/>
              </w:rPr>
            </w:pPr>
          </w:p>
        </w:tc>
      </w:tr>
      <w:tr>
        <w:trPr>
          <w:trHeight w:val="229"/>
        </w:trPr>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Solutions</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132,186</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3"/>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20" w:type="dxa"/>
            <w:vAlign w:val="bottom"/>
            <w:tcBorders>
              <w:top w:val="single" w:sz="8" w:color="auto"/>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12,670</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755,612</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revenues were not material for the years ended December 31, 2025,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Material contract assets and liabilities are presented net at the individual contract level in the Consolidated Balance Sheets and are classified as current or noncurrent based on the nature of the underlying contractual rights and obligations.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Contract liabilities were $0.9 million, $0.2 million and $0.6 million as of December 31, 2025, 2024, and 2023, respectively. Substantially all of these balances are recognized as revenue within 12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were not material for any period presented.</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Impairment losses recognized on receivables or contract assets arising from the Company's contracts with customers were $1.1 million, $6.2 million and $0.5 million for the years ended December 31, 2025, 2024 and 2023,respectively.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Settlement Assets and Obligations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Settlement assets and obligations include, 1) funds due from merchants arising from settlement of funds for sales and credits between card issuers and merchants 2) card settlement funds due from networks due to timing and its related obligations, and 3) Customer/Subscriber account balances and related obligations resulting from licensed money transmitter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settlements due from merchants,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Merchant Solution services of the Company include settlement of funds for sales and credits between card issuers, card networks and merchants. The standards of the card networks require possession of funds during the settlement process by a member bank which controls the clearing transactions. Since settlement funds are required to be in the possession of a member bank until merchants are funded, these funds are not assets of the Company, and the associated obligations are not liabilities of the Company. Therefore, neither is recognized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Exception items that the Company is still attempting to collect from the merchants through the funds settlement process or merchant reserves are recognized as settlement assets in the Company's Consolidated Balance Sheets, with an offsetting reserve for those amounts the Company estimates it will not be able to recover. Exception items that the Company has deemed uncollectible are recorded as merchant losses, a component of cost of revenue in the Company's Consolidated Statements of Operations and Comprehensive Income (Loss). Expenses for merchant losses net of recoveries for the years ended December 31, 2025, 2024 and 2023 were $0.4 million, $0.9 million and $1.0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 settlements due from networks and Dues to Customers’ Payees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Payables service offering:</w:t>
      </w:r>
    </w:p>
    <w:p>
      <w:pPr>
        <w:spacing w:after="0" w:line="117" w:lineRule="exact"/>
        <w:rPr>
          <w:sz w:val="20"/>
          <w:szCs w:val="20"/>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accepts card payments for its customers and processes disbursements to their vendors (customers’ payees). The time lag between authorization and settlement of card transactions creates certain receivables (from card networks) and payables (to the vendors of customers). These receivables and payables arise from the settlement activities that the Company performs on behalf of its customers and therefore, are presented as settlement assets and related obligations.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processes payments to the customers’ payees wherein customers funds are received either in company-owned bank accounts controlled by the Company or bank-owned FBO accounts controlled by the banks, until such time that the transactions are settled with the customers’ payees. Balances in the bank-owned FBO accounts and related obligations are not considered assets and obligations of the Company. Therefore, neither is recognized in the Company's Consolidated Balance Sheets. Amounts due to customers’ payees that are held in company-owned bank accounts are included in restricted cash in the Company's Consolidated Balance Sheets and related obligations are presented as due to customers’ payees.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MTL Customer cash and cash equivalents (restricted in nature), short-term investments and MTL Customer account obligations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provides treasury solutions to its customers through its money transmission licenses in 46 states, the District of Columbia, and 2 territories of the United States and through agency relationships with banks in the remaining states. These services include the acceptance and disbursement of funds. While waiting for disbursement, these funds are held in bank accounts maintained by the Company on behalf of its customers. Per the money transmission regulations, the Company is allowed to invest available balances in these accounts in certain permitted investments, and returns on such investments contribute to the Company's net cash inflows. As such, the Company recognized these balances and related obligations on its balance sheet. Considering these balances are payable on demand and are related to settlement activities, they are presented as settlement assets (as part of the current assets) and the related obligations as settlement obligations (as part of the current liabilities) in the Company's Consolidated Balance Sheets. The nature of these MTL Customer cash and cash equivalent are restricted in nature and therefore these balances are presented as restricted cash on the Company's Consolidated Statement of Cash Flows. The MTL Short-term investments are included within acquisitions of assets and other investing activities on the Company's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consolidated settlement assets and obligations were as follows: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7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18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Settlement Assets, net of estimated losses</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Card settlements due from merchants </w:t>
            </w:r>
            <w:r>
              <w:rPr>
                <w:rFonts w:ascii="Times New Roman" w:cs="Times New Roman" w:eastAsia="Times New Roman" w:hAnsi="Times New Roman"/>
                <w:sz w:val="23"/>
                <w:szCs w:val="23"/>
                <w:color w:val="auto"/>
                <w:vertAlign w:val="superscript"/>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Card settlements due from networks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settlement assets</w:t>
            </w: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r>
      <w:tr>
        <w:trPr>
          <w:trHeight w:val="229"/>
        </w:trPr>
        <w:tc>
          <w:tcPr>
            <w:tcW w:w="7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MTL Customer cash and cash equivalents (restricted in nature)</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924,174</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MTL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1,295,896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940,798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Settlement Obligations: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897,497</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Subscriber account obligations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w:t>
            </w:r>
          </w:p>
        </w:tc>
      </w:tr>
      <w:tr>
        <w:trPr>
          <w:trHeight w:val="223"/>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customer/subscriber account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924,174</w:t>
            </w:r>
          </w:p>
        </w:tc>
      </w:tr>
      <w:tr>
        <w:trPr>
          <w:trHeight w:val="230"/>
        </w:trPr>
        <w:tc>
          <w:tcPr>
            <w:tcW w:w="7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Due to customer payees </w:t>
            </w:r>
            <w:r>
              <w:rPr>
                <w:rFonts w:ascii="Times New Roman" w:cs="Times New Roman" w:eastAsia="Times New Roman" w:hAnsi="Times New Roman"/>
                <w:sz w:val="23"/>
                <w:szCs w:val="23"/>
                <w:color w:val="auto"/>
                <w:vertAlign w:val="superscript"/>
              </w:rPr>
              <w:t>(4)(5)</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16,039</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settlement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940,213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(1)</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estimated losses was $7.1 million and $7.9 million as of December 31, 2025 and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Excludes merchant funds held at member banks of $103.9 million and $106.2 million on December 31, 2025 and 2024, respectively.</w:t>
      </w:r>
    </w:p>
    <w:p>
      <w:pPr>
        <w:spacing w:after="0" w:line="129" w:lineRule="exact"/>
        <w:rPr>
          <w:sz w:val="20"/>
          <w:szCs w:val="20"/>
          <w:color w:val="auto"/>
        </w:rPr>
      </w:pPr>
    </w:p>
    <w:p>
      <w:pPr>
        <w:sectPr>
          <w:pgSz w:w="11900" w:h="16838" w:orient="portrait"/>
          <w:cols w:equalWidth="0" w:num="2">
            <w:col w:w="460" w:space="180"/>
            <w:col w:w="10600"/>
          </w:cols>
          <w:pgMar w:left="320" w:top="121" w:right="339" w:bottom="1440" w:gutter="0" w:footer="0" w:header="0"/>
          <w:type w:val="continuous"/>
        </w:sectPr>
      </w:pPr>
    </w:p>
    <w:p>
      <w:pPr>
        <w:jc w:val="both"/>
        <w:ind w:left="660" w:right="360" w:hanging="328"/>
        <w:spacing w:after="0" w:line="235" w:lineRule="auto"/>
        <w:tabs>
          <w:tab w:leader="none" w:pos="648" w:val="left"/>
        </w:tabs>
        <w:numPr>
          <w:ilvl w:val="1"/>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funds held under agency arrangement with member banks (in states where the Company does not have a money transmitter license), balances remain under the control of the member banks (therefore not the assets or obligation of the Company). Agency owned accounts held $50.3 million and $22.6 million at December 31, 2025 and 2024, respectively.</w:t>
      </w:r>
    </w:p>
    <w:p>
      <w:pPr>
        <w:spacing w:after="0" w:line="91" w:lineRule="exact"/>
        <w:rPr>
          <w:rFonts w:ascii="Times New Roman" w:cs="Times New Roman" w:eastAsia="Times New Roman" w:hAnsi="Times New Roman"/>
          <w:sz w:val="23"/>
          <w:szCs w:val="23"/>
          <w:color w:val="auto"/>
          <w:vertAlign w:val="superscript"/>
        </w:rPr>
      </w:pPr>
    </w:p>
    <w:p>
      <w:pPr>
        <w:ind w:left="660" w:right="720" w:hanging="328"/>
        <w:spacing w:after="0" w:line="229" w:lineRule="auto"/>
        <w:tabs>
          <w:tab w:leader="none" w:pos="648" w:val="left"/>
        </w:tabs>
        <w:numPr>
          <w:ilvl w:val="1"/>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$16.1 million and $12.3 million as of December 31, 2025 and 2024, respectively, of card settlements due from networks and the remainder is included in restricted cash on our Consolidated Balance Sheets.</w:t>
      </w:r>
    </w:p>
    <w:p>
      <w:pPr>
        <w:spacing w:after="0" w:line="90" w:lineRule="exact"/>
        <w:rPr>
          <w:rFonts w:ascii="Times New Roman" w:cs="Times New Roman" w:eastAsia="Times New Roman" w:hAnsi="Times New Roman"/>
          <w:sz w:val="23"/>
          <w:szCs w:val="23"/>
          <w:color w:val="auto"/>
          <w:vertAlign w:val="superscript"/>
        </w:rPr>
      </w:pPr>
    </w:p>
    <w:p>
      <w:pPr>
        <w:ind w:left="660" w:right="120" w:hanging="328"/>
        <w:spacing w:after="0" w:line="235" w:lineRule="auto"/>
        <w:tabs>
          <w:tab w:leader="none" w:pos="648" w:val="left"/>
        </w:tabs>
        <w:numPr>
          <w:ilvl w:val="1"/>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due to customer payees that are held in bank-owned FBO accounts which are not assets of the Company, and the associated obligations are not liabilities of the Company. Therefore, neither is recognized in the Company's Consolidated Balance Sheets. Bank-owned FBO accounts held funds of $151.8 million and $90.3 million at December 31, 2025 and 2024, respectively.</w:t>
      </w:r>
    </w:p>
    <w:p>
      <w:pPr>
        <w:spacing w:after="0" w:line="195" w:lineRule="exact"/>
        <w:rPr>
          <w:rFonts w:ascii="Times New Roman" w:cs="Times New Roman" w:eastAsia="Times New Roman" w:hAnsi="Times New Roman"/>
          <w:sz w:val="23"/>
          <w:szCs w:val="23"/>
          <w:color w:val="auto"/>
          <w:vertAlign w:val="superscript"/>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Receivable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notes receivable of $19.7 million and $8.6 million as of December 31, 2025 and 2024, respectively, which are reported as current portion of notes receivable and notes receivable less current portion on the Company's Consolidated Balance Sheets. The notes bear a weighted-average interest rate of 13.6% and 16.9% as of December 31, 2025 and 2024, respectively. The notes receivable are comprised of notes receivable from ISOs and ISVs, and under the terms of the agreements the Company preserves the right to hold back residual payments due to the ISOs and ISVs and to apply such residuals against future payments due to the Company. As of December 31, 2025 and 2024, the Company had no allowance for doubtful notes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for activity within the notes receivable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8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during the period</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23"/>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19,691</w:t>
            </w:r>
          </w:p>
        </w:tc>
        <w:tc>
          <w:tcPr>
            <w:tcW w:w="0" w:type="dxa"/>
            <w:vAlign w:val="bottom"/>
          </w:tcPr>
          <w:p>
            <w:pPr>
              <w:spacing w:after="0"/>
              <w:rPr>
                <w:sz w:val="1"/>
                <w:szCs w:val="1"/>
                <w:color w:val="auto"/>
              </w:rPr>
            </w:pPr>
          </w:p>
        </w:tc>
      </w:tr>
      <w:tr>
        <w:trPr>
          <w:trHeight w:val="21"/>
        </w:trPr>
        <w:tc>
          <w:tcPr>
            <w:tcW w:w="7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As of December 31, 2025, the principal payments for the Company's notes receivables are due as follows:</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88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Equipment and Software</w:t>
            </w: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6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property, equipment and software, net was as follows: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2"/>
                <w:szCs w:val="22"/>
                <w:color w:val="auto"/>
              </w:rPr>
            </w:pPr>
          </w:p>
        </w:tc>
        <w:tc>
          <w:tcPr>
            <w:tcW w:w="17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8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104,683</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120,337</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(70,258)</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work in-progress</w:t>
            </w:r>
          </w:p>
        </w:tc>
        <w:tc>
          <w:tcPr>
            <w:tcW w:w="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58,636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software represents purchased software and internally developed software that is used to provide the Company's services to its customers.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Fully depreciated assets are retained in property, equipment and software, net, until removed from service. During the year ended December 31, 2025 and 2024, certain fully depreciated assets were removed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520" w:firstLine="8"/>
        <w:spacing w:after="0" w:line="503" w:lineRule="auto"/>
        <w:tabs>
          <w:tab w:leader="none" w:pos="31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Goodwill</w:t>
      </w:r>
    </w:p>
    <w:p>
      <w:pPr>
        <w:ind w:right="180"/>
        <w:spacing w:after="0" w:line="312" w:lineRule="auto"/>
        <w:rPr>
          <w:sz w:val="20"/>
          <w:szCs w:val="20"/>
          <w:color w:val="auto"/>
        </w:rPr>
      </w:pPr>
      <w:r>
        <w:rPr>
          <w:rFonts w:ascii="Times New Roman" w:cs="Times New Roman" w:eastAsia="Times New Roman" w:hAnsi="Times New Roman"/>
          <w:sz w:val="17"/>
          <w:szCs w:val="17"/>
          <w:color w:val="auto"/>
        </w:rPr>
        <w:t>The Company records goodwill upon acquisition of a business when the purchase price is greater than the fair value assigned to the underlying separately identifiable tangible and intangible assets acquired and the liabilities assumed. The Company's goodwill relates to the following reportable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Solutions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124,139</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Solutions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244,712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416,641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376,091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value of goodwill:</w:t>
            </w: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376,091</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Letus business combination</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DMS business combination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416,641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On October 1, 2025, the Company performed the quantitative assessment for goodwill impairment as provided by ASC 350 – </w:t>
      </w:r>
      <w:r>
        <w:rPr>
          <w:rFonts w:ascii="Times New Roman" w:cs="Times New Roman" w:eastAsia="Times New Roman" w:hAnsi="Times New Roman"/>
          <w:sz w:val="18"/>
          <w:szCs w:val="18"/>
          <w:i w:val="1"/>
          <w:iCs w:val="1"/>
          <w:color w:val="auto"/>
        </w:rPr>
        <w:t>Intangibles-Goodwill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for all reporting units. The quantitative assessment considered both the market approach, which estimates fair value using market multiples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companies and transaction multiples of recent transactions, and the income approach, which estimates fair value using a discounted cash flow utilizing forecasted projections discount rates based on the reporting unit’s weighted average cost of capital. These estimates change from year to year based on operating results, market conditions and other factors, and could materially impact the determination of fair value and potential goodwill impairment for each reporting unit. The quantitative assessment is sensitive to changes in estimates and assumptions utilized, the most sensitive of which is the discount rate. The results of the quantitative impairment analysis indicated the fair values of the reporting units exceeded their carrying values and therefore, there was no goodwill impairment.</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is not aware of any triggering events which have occurred since October 1, 2025. There was no impairment of goodwill for the years ended December 31,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 December 31, 2025 and 2024, intangible assets consisted of the following:</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 and referral partner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159,315</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13.8</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58,003</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6.0</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40,985</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8.5</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0" w:type="dxa"/>
            <w:vAlign w:val="bottom"/>
          </w:tcPr>
          <w:p>
            <w:pPr>
              <w:spacing w:after="0"/>
              <w:rPr>
                <w:sz w:val="1"/>
                <w:szCs w:val="1"/>
                <w:color w:val="auto"/>
              </w:rPr>
            </w:pPr>
          </w:p>
        </w:tc>
      </w:tr>
      <w:tr>
        <w:trPr>
          <w:trHeight w:val="229"/>
        </w:trPr>
        <w:tc>
          <w:tcPr>
            <w:tcW w:w="41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(387,534)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315,190</w:t>
            </w:r>
          </w:p>
        </w:tc>
        <w:tc>
          <w:tcPr>
            <w:tcW w:w="164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140" w:type="dxa"/>
            <w:vAlign w:val="bottom"/>
          </w:tcPr>
          <w:p>
            <w:pPr>
              <w:spacing w:after="0"/>
              <w:rPr>
                <w:sz w:val="14"/>
                <w:szCs w:val="14"/>
                <w:color w:val="auto"/>
              </w:rPr>
            </w:pPr>
          </w:p>
        </w:tc>
        <w:tc>
          <w:tcPr>
            <w:tcW w:w="17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4"/>
                <w:szCs w:val="14"/>
                <w:color w:val="auto"/>
              </w:rPr>
            </w:pPr>
          </w:p>
        </w:tc>
        <w:tc>
          <w:tcPr>
            <w:tcW w:w="16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Net Carrying Value</w:t>
            </w:r>
          </w:p>
        </w:tc>
        <w:tc>
          <w:tcPr>
            <w:tcW w:w="100" w:type="dxa"/>
            <w:vAlign w:val="bottom"/>
          </w:tcPr>
          <w:p>
            <w:pPr>
              <w:spacing w:after="0"/>
              <w:rPr>
                <w:sz w:val="14"/>
                <w:szCs w:val="14"/>
                <w:color w:val="auto"/>
              </w:rPr>
            </w:pPr>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18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ISO relationships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132,838</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14.6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Residual buyouts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Merchant portfolios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18,065</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31,166</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8.7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Money transmission licenses</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589,801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(348,927)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240,874</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9.5</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assets have an indefinite useful life.</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Fully amortized intangible assets are retained in intangible assets, net, until removed from service. During the year ended December 31, 2025, certain fully amortized intangible assets were removed from service.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20" w:hanging="328"/>
        <w:spacing w:after="0" w:line="229" w:lineRule="auto"/>
        <w:tabs>
          <w:tab w:leader="none" w:pos="64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amortization expense is $2.4 million, $2.0 million and $1.0 million related to the amortization of certain contract acquisition costs for the years ended December 31, 2025, 2024, or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of intangible assets as of December 31, 2025, for the next five years and thereafter is: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2"/>
                <w:szCs w:val="22"/>
                <w:color w:val="auto"/>
              </w:rPr>
            </w:pPr>
          </w:p>
        </w:tc>
        <w:tc>
          <w:tcPr>
            <w:tcW w:w="2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4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1"/>
                <w:szCs w:val="21"/>
                <w:color w:val="auto"/>
              </w:rPr>
            </w:pPr>
          </w:p>
        </w:tc>
        <w:tc>
          <w:tcPr>
            <w:tcW w:w="2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23"/>
        </w:trPr>
        <w:tc>
          <w:tcPr>
            <w:tcW w:w="8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49,572</w:t>
            </w: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41,237</w:t>
            </w: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37,464</w:t>
            </w: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r>
      <w:tr>
        <w:trPr>
          <w:trHeight w:val="229"/>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98,983</w:t>
            </w:r>
          </w:p>
        </w:tc>
      </w:tr>
      <w:tr>
        <w:trPr>
          <w:trHeight w:val="248"/>
        </w:trPr>
        <w:tc>
          <w:tcPr>
            <w:tcW w:w="88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313,090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will not agree to the intangible asset net book value due to intangible assets with indefinite useful life.</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tests intangible assets for impairment when events occur or circumstances indicate that the fair value of an intangible asset or group of intangible assets may be impaired. There were no impairment losses for the years ended December 31, 2025, 2024, or 2023.</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also considered the market conditions and other factors and concluded that there were no additional impairment indicators present at December 31, 2025.</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leases consist primarily of real estate leases for office space, which are classified as operating leases. Lease expense for the Company's operating leases is recognized on a straight-line basis over the term of the lease. The Company did not have any finance leases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ROU Assets and lease liabilities consisted of the following:</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weighted-average data)</w:t>
            </w:r>
          </w:p>
        </w:tc>
        <w:tc>
          <w:tcPr>
            <w:tcW w:w="520" w:type="dxa"/>
            <w:vAlign w:val="bottom"/>
          </w:tcPr>
          <w:p>
            <w:pPr>
              <w:spacing w:after="0"/>
              <w:rPr>
                <w:sz w:val="22"/>
                <w:szCs w:val="22"/>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ROU Assets:</w:t>
            </w:r>
          </w:p>
        </w:tc>
        <w:tc>
          <w:tcPr>
            <w:tcW w:w="5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52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0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6,586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7,305</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5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 current</w:t>
            </w:r>
          </w:p>
        </w:tc>
        <w:tc>
          <w:tcPr>
            <w:tcW w:w="520" w:type="dxa"/>
            <w:vAlign w:val="bottom"/>
          </w:tcPr>
          <w:p>
            <w:pPr>
              <w:spacing w:after="0"/>
              <w:rPr>
                <w:sz w:val="19"/>
                <w:szCs w:val="19"/>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1,072</w:t>
            </w: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 - noncurrent</w:t>
            </w:r>
          </w:p>
        </w:tc>
        <w:tc>
          <w:tcPr>
            <w:tcW w:w="5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6,707</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obligations</w:t>
            </w:r>
          </w:p>
        </w:tc>
        <w:tc>
          <w:tcPr>
            <w:tcW w:w="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7,104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7,779</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52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3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2"/>
                <w:szCs w:val="22"/>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3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r>
    </w:tbl>
    <w:p>
      <w:pPr>
        <w:spacing w:after="0" w:line="252"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expenses related to short-term leases, which was immaterial for the years ended December 31, 2025, 2024 or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Classification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513"/>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Commitments</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Future minimum lease payments for the Company's real estate operating leases at December 31, 2025 were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 Due</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lease payments</w:t>
            </w:r>
          </w:p>
        </w:tc>
        <w:tc>
          <w:tcPr>
            <w:tcW w:w="3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9,853</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representing imputed interest</w:t>
            </w:r>
          </w:p>
        </w:tc>
        <w:tc>
          <w:tcPr>
            <w:tcW w:w="3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48"/>
        </w:trPr>
        <w:tc>
          <w:tcPr>
            <w:tcW w:w="7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lease payments, net of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Accrued Expenses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accounts payable and accrued expenses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73"/>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26,787</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card network fees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Contingent/deferred consideration, current portion</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29"/>
        </w:trPr>
        <w:tc>
          <w:tcPr>
            <w:tcW w:w="7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62,149</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current portion of the operating lease obligation is included in this amount.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debt obligations consisted of the following:</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2024 Credit Agreement</w:t>
      </w:r>
    </w:p>
    <w:p>
      <w:pPr>
        <w:spacing w:after="0" w:line="23" w:lineRule="exact"/>
        <w:rPr>
          <w:sz w:val="20"/>
          <w:szCs w:val="20"/>
          <w:color w:val="auto"/>
        </w:rPr>
      </w:pPr>
    </w:p>
    <w:p>
      <w:pPr>
        <w:ind w:left="20" w:right="120"/>
        <w:spacing w:after="0" w:line="242" w:lineRule="auto"/>
        <w:rPr>
          <w:sz w:val="20"/>
          <w:szCs w:val="20"/>
          <w:color w:val="auto"/>
        </w:rPr>
      </w:pPr>
      <w:r>
        <w:rPr>
          <w:rFonts w:ascii="Times New Roman" w:cs="Times New Roman" w:eastAsia="Times New Roman" w:hAnsi="Times New Roman"/>
          <w:sz w:val="18"/>
          <w:szCs w:val="18"/>
          <w:color w:val="auto"/>
        </w:rPr>
        <w:t>Term facility - matures July 31, 2032, interest rate of 7.47% and 9.11% at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320"/>
        <w:spacing w:after="0" w:line="242" w:lineRule="auto"/>
        <w:rPr>
          <w:sz w:val="20"/>
          <w:szCs w:val="20"/>
          <w:color w:val="auto"/>
        </w:rPr>
      </w:pPr>
      <w:r>
        <w:rPr>
          <w:rFonts w:ascii="Times New Roman" w:cs="Times New Roman" w:eastAsia="Times New Roman" w:hAnsi="Times New Roman"/>
          <w:sz w:val="18"/>
          <w:szCs w:val="18"/>
          <w:color w:val="auto"/>
        </w:rPr>
        <w:t>Revolving credit facility - $100.0 million line matures July 31, 2030, interest rate of 7.22% and 8.61% at December 31, 2025 and 2024, respectively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Residual Finance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Delayed draw term facility - matures August 18, 2031, interest rate of 9.98% at December 31, 2025</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Total debt obligations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53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945,537</w:t>
            </w:r>
          </w:p>
        </w:tc>
      </w:tr>
      <w:tr>
        <w:trPr>
          <w:trHeight w:val="419"/>
        </w:trPr>
        <w:tc>
          <w:tcPr>
            <w:tcW w:w="160" w:type="dxa"/>
            <w:vAlign w:val="bottom"/>
          </w:tcPr>
          <w:p>
            <w:pPr>
              <w:spacing w:after="0"/>
              <w:rPr>
                <w:sz w:val="24"/>
                <w:szCs w:val="24"/>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53"/>
        </w:trPr>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945,537</w:t>
            </w:r>
          </w:p>
        </w:tc>
      </w:tr>
      <w:tr>
        <w:trPr>
          <w:trHeight w:val="230"/>
        </w:trPr>
        <w:tc>
          <w:tcPr>
            <w:tcW w:w="1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r>
      <w:tr>
        <w:trPr>
          <w:trHeight w:val="234"/>
        </w:trPr>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1,039,358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920,888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00" w:space="160"/>
            <w:col w:w="3880"/>
          </w:cols>
          <w:pgMar w:left="320" w:top="121"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terms and conditions existing at December 31, 2025, future minimum principal payments for long-term debt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Residual Finance credit</w:t>
            </w:r>
          </w:p>
        </w:tc>
        <w:tc>
          <w:tcPr>
            <w:tcW w:w="160" w:type="dxa"/>
            <w:vAlign w:val="bottom"/>
          </w:tcPr>
          <w:p>
            <w:pPr>
              <w:spacing w:after="0"/>
              <w:rPr>
                <w:sz w:val="21"/>
                <w:szCs w:val="21"/>
                <w:color w:val="auto"/>
              </w:rPr>
            </w:pPr>
          </w:p>
        </w:tc>
        <w:tc>
          <w:tcPr>
            <w:tcW w:w="2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2024 Credit Agreement</w:t>
            </w:r>
          </w:p>
        </w:tc>
        <w:tc>
          <w:tcPr>
            <w:tcW w:w="120" w:type="dxa"/>
            <w:vAlign w:val="bottom"/>
          </w:tcPr>
          <w:p>
            <w:pPr>
              <w:spacing w:after="0"/>
              <w:rPr>
                <w:sz w:val="21"/>
                <w:szCs w:val="2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20" w:type="dxa"/>
            <w:vAlign w:val="bottom"/>
          </w:tcPr>
          <w:p>
            <w:pPr>
              <w:spacing w:after="0"/>
              <w:rPr>
                <w:sz w:val="21"/>
                <w:szCs w:val="21"/>
                <w:color w:val="auto"/>
              </w:rPr>
            </w:pPr>
          </w:p>
        </w:tc>
        <w:tc>
          <w:tcPr>
            <w:tcW w:w="1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 Principal Due</w:t>
            </w:r>
          </w:p>
        </w:tc>
        <w:tc>
          <w:tcPr>
            <w:tcW w:w="0" w:type="dxa"/>
            <w:vAlign w:val="bottom"/>
          </w:tcPr>
          <w:p>
            <w:pPr>
              <w:spacing w:after="0"/>
              <w:rPr>
                <w:sz w:val="1"/>
                <w:szCs w:val="1"/>
                <w:color w:val="auto"/>
              </w:rPr>
            </w:pPr>
          </w:p>
        </w:tc>
      </w:tr>
      <w:tr>
        <w:trPr>
          <w:trHeight w:val="24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facility</w:t>
            </w:r>
          </w:p>
        </w:tc>
        <w:tc>
          <w:tcPr>
            <w:tcW w:w="160" w:type="dxa"/>
            <w:vAlign w:val="bottom"/>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1,016,056</w:t>
            </w:r>
          </w:p>
        </w:tc>
        <w:tc>
          <w:tcPr>
            <w:tcW w:w="0" w:type="dxa"/>
            <w:vAlign w:val="bottom"/>
          </w:tcPr>
          <w:p>
            <w:pPr>
              <w:spacing w:after="0"/>
              <w:rPr>
                <w:sz w:val="1"/>
                <w:szCs w:val="1"/>
                <w:color w:val="auto"/>
              </w:rPr>
            </w:pPr>
          </w:p>
        </w:tc>
      </w:tr>
      <w:tr>
        <w:trPr>
          <w:trHeight w:val="248"/>
        </w:trPr>
        <w:tc>
          <w:tcPr>
            <w:tcW w:w="21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8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1,055,394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Additionally, the Company may be obligated to make certain additional mandatory prepayments after the end of each year based on excess cash flow, as defined in the 2024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Credit Agreement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16, 2024, the Company entered into a Credit Agreement ("2024 Credit Agreement") which provides 1) a $835.0 million senior secured first lien term loan facility ; and 2) a $70.0 million senior secured revolving facility ("Credit facilities"). Proceeds from these Credit facilities were used to repay the outstanding balances under the 2021 Credit Agreement and redeem a portion of the Company's redeemable senior preferred stock which was fully redeemed in 2024. In accordance with ASC 470, the Company determined on a creditor-by-creditor basis that the 2024 Credit Agreement was both a debt modification and extinguishment of the 2021 Credit Agreement.</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expensed $3.9 million of previously unamortized fees and $4.8 million of debt issuance costs related to the refinancing which is reported in debt extinguishment and modification in the Company's Consolidated Statements of Operations and Comprehensive Income (Loss).</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agreement accrue interest using a base rate or a SOFR rate plus an applicable margin per year, subject to a SOFR rate floor of 0.50%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SOFR and the rate used for base-rate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Amendment to the 2024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31, 2025, the Company amended the 2024 Credit Agreement to incorporate the following:</w:t>
      </w:r>
    </w:p>
    <w:p>
      <w:pPr>
        <w:spacing w:after="0" w:line="248" w:lineRule="exact"/>
        <w:rPr>
          <w:sz w:val="20"/>
          <w:szCs w:val="20"/>
          <w:color w:val="auto"/>
        </w:rPr>
      </w:pPr>
    </w:p>
    <w:p>
      <w:pPr>
        <w:ind w:left="660" w:right="22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facility: </w:t>
      </w:r>
      <w:r>
        <w:rPr>
          <w:rFonts w:ascii="Times New Roman" w:cs="Times New Roman" w:eastAsia="Times New Roman" w:hAnsi="Times New Roman"/>
          <w:sz w:val="18"/>
          <w:szCs w:val="18"/>
          <w:color w:val="auto"/>
        </w:rPr>
        <w:t>The amendment increased the principal balance from $935.5 million to $1.0 billion, increased quarterly principal payments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 million to $2.5 million, extended the maturity date from May 2031 to July 2032 and decreased the margin rate from 4.75% to 3.75%.</w:t>
      </w:r>
    </w:p>
    <w:p>
      <w:pPr>
        <w:spacing w:after="0" w:line="46"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Revolving credit facility: </w:t>
      </w:r>
      <w:r>
        <w:rPr>
          <w:rFonts w:ascii="Times New Roman" w:cs="Times New Roman" w:eastAsia="Times New Roman" w:hAnsi="Times New Roman"/>
          <w:sz w:val="18"/>
          <w:szCs w:val="18"/>
          <w:color w:val="auto"/>
        </w:rPr>
        <w:t>The amendment increased the credit commitment from $70.0 million to $100.0 million, extended the 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May 2029 to July 2030 and decreased the margin rate from 4.25% to 3.50%.</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Proceeds from the increase in the term facility was primarily used for the acquisitions in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xml:space="preserve">. In accordance with ASC 470, the Company determined on a creditor-by-creditor basis that the amendment was both a debt extinguishment and modification. The Company expensed $2.3 million of previously unamortized fees and $4.1 million of debt issuance costs related to the refinancing which is reported in debt extinguishment and modification on the Company's Consolidated Statements of Operations and Comprehensive Income (Loss). Also reported in debt extinguishment and modification on the Company's Consolidated Statements of Operations and Comprehensive Income (Loss) is the acceleration and payout of $6.9 million of deferred consideration for Plastiq (see </w:t>
      </w:r>
      <w:r>
        <w:rPr>
          <w:rFonts w:ascii="Times New Roman" w:cs="Times New Roman" w:eastAsia="Times New Roman" w:hAnsi="Times New Roman"/>
          <w:sz w:val="18"/>
          <w:szCs w:val="18"/>
          <w:u w:val="single" w:color="auto"/>
          <w:color w:val="0000FF"/>
        </w:rPr>
        <w:t>Note 16. Commitments and Contingencies</w:t>
      </w:r>
      <w:r>
        <w:rPr>
          <w:rFonts w:ascii="Times New Roman" w:cs="Times New Roman" w:eastAsia="Times New Roman" w:hAnsi="Times New Roman"/>
          <w:sz w:val="18"/>
          <w:szCs w:val="18"/>
          <w:color w:val="auto"/>
        </w:rPr>
        <w:t>) and the $0.8 million gain on the extinguishment of a loan.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Amendment to the 2024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2025, the Company amended the 2024 Credit Agreement to incorporate the following:</w:t>
      </w:r>
    </w:p>
    <w:p>
      <w:pPr>
        <w:spacing w:after="0" w:line="221" w:lineRule="exact"/>
        <w:rPr>
          <w:sz w:val="20"/>
          <w:szCs w:val="20"/>
          <w:color w:val="auto"/>
        </w:rPr>
      </w:pPr>
    </w:p>
    <w:p>
      <w:pPr>
        <w:ind w:left="660" w:right="40" w:hanging="328"/>
        <w:spacing w:after="0" w:line="28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facility: </w:t>
      </w:r>
      <w:r>
        <w:rPr>
          <w:rFonts w:ascii="Times New Roman" w:cs="Times New Roman" w:eastAsia="Times New Roman" w:hAnsi="Times New Roman"/>
          <w:sz w:val="18"/>
          <w:szCs w:val="18"/>
          <w:color w:val="auto"/>
        </w:rPr>
        <w:t>The amendment increased the principal balance of the term loan from $1.0 billion to $1.04 billion through a single lender draw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quarterly principal payments from $2.5 million to $2.6 million. All other material terms of the term facility remained unchanged.</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Proceeds from the increase in the term facility, net of fees and accrued interest, were approximately $34.7 million and were primarily used to fund a portion of the acquisition of 100% of the assets of DMS, see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as well as related transaction fees and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470, the Company determined that the amendment represents a debt modification. As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Credit Agreement remained unchanged other than the increase in principal, previously unamortized debt issuance costs and original issue discount continue to be amortized over the remaining term of the loan. Debt issuance costs and original issue discount associated with the incremental borrowing were capitalized as a reduction of the related debt balance and are being amortized over the remaining term of the loan. The amendment was not considered a troubled debt restructuring.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Residual Finance Credit Facility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18, 2025, a wholly owned subsidiary of the Company not restricted by the 2024 Credit Agreement, Priority Finance SPV, LLC ("Finance SPV") entered into an agreement ("Residual Finance credit facility") which provides a delayed draw term loan facility with a total commitment of $50.0 million of which Finance SPV has drawn $35.4 million. The agreement also provides an accordion feature to increase the commitment by an aggregate amount not to exceed $75.0 million such that the total commitment may equal, but not exceed, $125.0 million. The purpose of this credit facility is to fund certain residual purchases and loans to ISOs and ISVs.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borrowings under the Residual Finance credit facility accrue interest using a SOFR rate plus an applicable margin per year, equal to 6.25%, subject to a SOFR rate floor of 2.0% per year. Unused commitments are subject to a unused commitment fee on any undrawn amount equal to 1.0% per year of the unused portion.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and Amortization of Deferred Loan Costs and Discounts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Deferred financing costs and debt discounts are amortized using the effective interest method over the remaining term of the respective debt and are recorded as a component of interest expense. Unamortized deferred financing costs and debt discount are included in long-term debt on the Company's 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(1)(2)</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88,948</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76,108</w:t>
            </w:r>
          </w:p>
        </w:tc>
      </w:tr>
    </w:tbl>
    <w:p>
      <w:pPr>
        <w:spacing w:after="0" w:line="292" w:lineRule="exact"/>
        <w:rPr>
          <w:sz w:val="20"/>
          <w:szCs w:val="20"/>
          <w:color w:val="auto"/>
        </w:rPr>
      </w:pPr>
    </w:p>
    <w:p>
      <w:pPr>
        <w:ind w:left="660" w:right="140" w:hanging="328"/>
        <w:spacing w:after="0" w:line="229"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this amount is $2.7 million, $4.3 million and $1.7 million of interest expense related to the accretion of deferred consideration for the years ended December 31, 2025, 2024 and 2023.</w:t>
      </w:r>
    </w:p>
    <w:p>
      <w:pPr>
        <w:spacing w:after="0" w:line="198" w:lineRule="exact"/>
        <w:rPr>
          <w:rFonts w:ascii="Times New Roman" w:cs="Times New Roman" w:eastAsia="Times New Roman" w:hAnsi="Times New Roman"/>
          <w:sz w:val="23"/>
          <w:szCs w:val="23"/>
          <w:color w:val="auto"/>
          <w:vertAlign w:val="superscript"/>
        </w:rPr>
      </w:pPr>
    </w:p>
    <w:p>
      <w:pPr>
        <w:ind w:left="660" w:right="200" w:hanging="328"/>
        <w:spacing w:after="0" w:line="229"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included amortization of deferred financing costs and debt discounts of $1.8 million, $2.7 million and $3.8 million for the years ended December 31, 2025, 2024 and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 All of the assets of the company are pledged as collateral for the credit facilities under the 2024 Credit Agreement.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aggregate principal amount of outstanding revolving loans and letters of credit under the 2024 Credit Agreement exceeds 35% of the total revolving credit facility thereunder at quarter end, the Company is required to comply with certain restrictions on its Total Net Leverage Ratio. If applicable, the maximum permitted Total Net Leverage Ratio is: 1) 6.90:1.00 at each fiscal quarter ended September 30, 2025 through March 31, 2026; 2) 6.40:1.00 at each fiscal quarter ended June 30, 2026 and each fiscal quarter thereafter. As of December 31, 2025, the Company was in compliance with the covenants in the 2024 Credit Agreement.</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Residual Finance credit facility contains customary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Company, merge or consolidate, dispose of assets, incur additional indebtedness, make certain investments or acquisitions, and enter into certain transactions (including with affiliates).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Residual Finance Credit Facility requires Finance SPV to comply with certain restrictions including minimum liquidity of $2.0 million, minimum tangible net worth of $5.0 million, maximum default ratio of 2.5%, maximum delinquency ratio of 5.0%, and a minimum excess spread ratio of 1.00 to 1.00. As of December 31, 2025, Finance SPV was in compliance with the restrictions in the agreement.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income before income taxes were as follows: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30"/>
        </w:trPr>
        <w:tc>
          <w:tcPr>
            <w:tcW w:w="5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52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consolidated income tax expense were as follows:</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current income tax expense</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r>
      <w:tr>
        <w:trPr>
          <w:trHeight w:val="23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r>
      <w:tr>
        <w:trPr>
          <w:trHeight w:val="230"/>
        </w:trPr>
        <w:tc>
          <w:tcPr>
            <w:tcW w:w="5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deferred income tax (benefit) expense</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r>
      <w:tr>
        <w:trPr>
          <w:trHeight w:val="230"/>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r>
      <w:tr>
        <w:trPr>
          <w:trHeight w:val="248"/>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The Company's consolidated effective income tax rate was (20.3)% for the year ended December 31, 2025, compared to a consolidated effective income tax rate of 35.6% for the year ended 2024. For the year ended December 31, 2023, the Company's consolidated effective income tax benefit rate was</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 xml:space="preserve">118.3%. The effective rate for December 31, 2025 differed from the statutory rate of 21% primarily due to </w:t>
      </w:r>
      <w:r>
        <w:rPr>
          <w:rFonts w:ascii="Times New Roman" w:cs="Times New Roman" w:eastAsia="Times New Roman" w:hAnsi="Times New Roman"/>
          <w:sz w:val="18"/>
          <w:szCs w:val="18"/>
          <w:color w:val="222222"/>
        </w:rPr>
        <w:t>a decrease in the valuation allowance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certain business interest carryover deferred tax assets. </w:t>
      </w:r>
      <w:r>
        <w:rPr>
          <w:rFonts w:ascii="Times New Roman" w:cs="Times New Roman" w:eastAsia="Times New Roman" w:hAnsi="Times New Roman"/>
          <w:sz w:val="18"/>
          <w:szCs w:val="18"/>
          <w:color w:val="000000"/>
        </w:rPr>
        <w:t>The effective rate for December 31, 2024 differed from the statutory federal rate of 21% primarily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due to </w:t>
      </w:r>
      <w:r>
        <w:rPr>
          <w:rFonts w:ascii="Times New Roman" w:cs="Times New Roman" w:eastAsia="Times New Roman" w:hAnsi="Times New Roman"/>
          <w:sz w:val="18"/>
          <w:szCs w:val="18"/>
          <w:color w:val="222222"/>
        </w:rPr>
        <w:t>an increase in the valuation allowance against certain business interest carryover deferred tax assets.</w:t>
      </w:r>
      <w:r>
        <w:rPr>
          <w:rFonts w:ascii="Times New Roman" w:cs="Times New Roman" w:eastAsia="Times New Roman" w:hAnsi="Times New Roman"/>
          <w:sz w:val="18"/>
          <w:szCs w:val="18"/>
          <w:color w:val="000000"/>
        </w:rPr>
        <w:t xml:space="preserve"> The effective rate for December 31, 2023, differed from the statutory federal rate of 21% primarily due to an </w:t>
      </w:r>
      <w:r>
        <w:rPr>
          <w:rFonts w:ascii="Times New Roman" w:cs="Times New Roman" w:eastAsia="Times New Roman" w:hAnsi="Times New Roman"/>
          <w:sz w:val="18"/>
          <w:szCs w:val="18"/>
          <w:color w:val="222222"/>
        </w:rPr>
        <w:t>increase in the valuation allowance against certain business interest carryover deferred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tax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The following is a reconciliation of the difference between the effective income tax rate and the federal statutory tax rate: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 Recognition</w:t>
            </w:r>
          </w:p>
        </w:tc>
        <w:tc>
          <w:tcPr>
            <w:tcW w:w="3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expense (benefit)</w:t>
            </w:r>
          </w:p>
        </w:tc>
        <w:tc>
          <w:tcPr>
            <w:tcW w:w="3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taxes, net of federal benefit</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items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Non-taxable compensation</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Bargain purchase gain</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non-taxable items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miscellaneous</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2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7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 The states that contributed to the majority (greater than 50%) of the tax effect in this category were California, Maryland, and Pennsylvania.</w:t>
      </w:r>
    </w:p>
    <w:p>
      <w:pPr>
        <w:spacing w:after="0" w:line="2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following is a reconciliation of the difference between the effective income tax rate and the federal statutory tax rate: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expense</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expense pursuant to ASU 2016-09</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items</w:t>
            </w: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The following is a summary of income taxes paid by jurisdiction (net of refunds) pursuant to disclosure requirements of ASU 2023-09 for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Income Taxes Paid</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9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India</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taxes paid, net of refunds received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consolidated deferred income taxes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partnership</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limitation carryforwards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r>
      <w:tr>
        <w:trPr>
          <w:trHeight w:val="223"/>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57,958</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w:t>
            </w:r>
          </w:p>
        </w:tc>
      </w:tr>
      <w:tr>
        <w:trPr>
          <w:trHeight w:val="223"/>
        </w:trPr>
        <w:tc>
          <w:tcPr>
            <w:tcW w:w="73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36,333</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assets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w:t>
            </w:r>
          </w:p>
        </w:tc>
      </w:tr>
      <w:tr>
        <w:trPr>
          <w:trHeight w:val="223"/>
        </w:trPr>
        <w:tc>
          <w:tcPr>
            <w:tcW w:w="7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46,350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24,697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In accordance with the provisions of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the Company provides a valuation allowance against deferred tax assets when it is more likely than not that some portion or all of the deferred tax assets will not be realized. The assessment considers all available positive and negative evidence and is measured quarterly. </w:t>
      </w:r>
      <w:r>
        <w:rPr>
          <w:rFonts w:ascii="Times New Roman" w:cs="Times New Roman" w:eastAsia="Times New Roman" w:hAnsi="Times New Roman"/>
          <w:sz w:val="17"/>
          <w:szCs w:val="17"/>
          <w:color w:val="222222"/>
        </w:rPr>
        <w:t>On July 4, 2025, the U.S. government enacted legislation known as the One Big Beautiful Bill Act ("OBBBA") into law.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 xml:space="preserve">OBBBA, among other provisions, extends or reinstates certain provisions of the 2017 Tax Cuts and Jobs Act ("TCJA"), including but not limited to, 100% bonus depreciation on eligible property, immediate expensing of domestic research and development costs, and the restoration of an EBITDA based interest expense limitation calculation. As a result of the OBBBA interest expense limitation provision changes, the Company has released its valuation allowance against its interest limitation deferred tax assets. </w:t>
      </w:r>
      <w:r>
        <w:rPr>
          <w:rFonts w:ascii="Times New Roman" w:cs="Times New Roman" w:eastAsia="Times New Roman" w:hAnsi="Times New Roman"/>
          <w:sz w:val="17"/>
          <w:szCs w:val="17"/>
          <w:color w:val="000000"/>
        </w:rPr>
        <w:t>As of December 31, 2025, the Company had a consolidated valuation allowance of approximately</w:t>
      </w:r>
    </w:p>
    <w:p>
      <w:pPr>
        <w:spacing w:after="0" w:line="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$5.1 million </w:t>
      </w:r>
      <w:r>
        <w:rPr>
          <w:rFonts w:ascii="Times New Roman" w:cs="Times New Roman" w:eastAsia="Times New Roman" w:hAnsi="Times New Roman"/>
          <w:sz w:val="18"/>
          <w:szCs w:val="18"/>
          <w:color w:val="222222"/>
        </w:rPr>
        <w:t>against certain transaction costs and net deferred tax assets acquired as part of the Payslate acquisition that the Company believes are not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than likely to be realized. As of December 31, 2024, the Company had a consolidated valuation allowance of approximately $21.6M against certain transaction costs and interest deduction limitation carryforwards that the Company believes are not more than likely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222222"/>
        </w:rPr>
        <w:t xml:space="preserve">realized. </w:t>
      </w:r>
      <w:r>
        <w:rPr>
          <w:rFonts w:ascii="Times New Roman" w:cs="Times New Roman" w:eastAsia="Times New Roman" w:hAnsi="Times New Roman"/>
          <w:sz w:val="18"/>
          <w:szCs w:val="18"/>
          <w:color w:val="000000"/>
        </w:rPr>
        <w:t>As of December 31, 2025 and December 31, 2024, the Company had interest deduction limitation carryforwards of $76.8 million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$87.6 million, respectively.</w:t>
      </w:r>
    </w:p>
    <w:p>
      <w:pPr>
        <w:spacing w:after="0" w:line="16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 reconciliation of the beginning and ending amount of unrecognized tax benefits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80</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positions of prior years</w:t>
            </w:r>
          </w:p>
        </w:tc>
        <w:tc>
          <w:tcPr>
            <w:tcW w:w="1020" w:type="dxa"/>
            <w:vAlign w:val="bottom"/>
          </w:tcPr>
          <w:p>
            <w:pPr>
              <w:spacing w:after="0"/>
              <w:rPr>
                <w:sz w:val="19"/>
                <w:szCs w:val="19"/>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65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related to lapse of the applicable statutes of limitations</w:t>
            </w:r>
          </w:p>
        </w:tc>
        <w:tc>
          <w:tcPr>
            <w:tcW w:w="10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(61)</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84</w:t>
            </w:r>
          </w:p>
        </w:tc>
      </w:tr>
      <w:tr>
        <w:trPr>
          <w:trHeight w:val="21"/>
        </w:trPr>
        <w:tc>
          <w:tcPr>
            <w:tcW w:w="9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balance of unrecognized tax benefits that, if recognized, affect our effective tax rate was immaterial. The Company continually evaluates the uncertain tax benefit associated with its uncertain tax positions.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and income tax in multiple state jurisdictions. Tax periods for December 31, 2022 and all years thereafter remain open to examination by the federal and state taxing jurisdictions and tax periods for December 31, 2021 and all years thereafter remain open for certain state taxing jurisdictions to which the Company is subject.</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federal NOL carryforwards of approximately $34.4 million and $0.0 million, respectively, with no expiration date. In addition, as of December 31, 2025 and December 31, 2024 the Company had state NOL carryforwards of approximately $53.2 million and $19.9 million, respectively, with expiration dates ranging from 2031 to 2045. Also, as of December 31, 2025 and December 31, 2024, the Company had Canadian NOL carryforwards of approximately $15.6 million and $0.0 million, respectively, with expiration dates ranging from 2037 to 2045.</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Stockholders' Deficit</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Historically, the Company has neither declared nor paid dividends. The holders of the Company's Common Stock have no conversion, preemptive or other subscription rights and there is no sinking fund or redemption provisions applicable to the Common Stock.</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with such designations, voting and other rights and preferences as may be determined from time to time by the Board of Directors. As of December 31, 2025, the Company has not issued any shares of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Priority's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has purchased 1,309,374 shares for $5.8 million under this plan as of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5, 2025, the Company's Board of Directors amended the program to increase the authorization to purchase up to 5,000,000 shares of it's outstanding common stock for a total up to $40.0 million. There have been no shares repurchased under this plan since the year ended December 31, 2022, and no shares were repurchased during the year ended December 31, 2025.</w:t>
      </w:r>
    </w:p>
    <w:p>
      <w:pPr>
        <w:spacing w:after="0" w:line="172"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2018 Plan was approved by the Company's Board of Directors and stockholders in July 2018. The 2018 Plan provided for the issuance of up to 6,685,696 shares of the Company's Common Stock, and these shares were registered on a Form S-8 during 2018. Under the 2018 Plan, the Company's compensation committee may grant awards of non-qualified stock options, incentive stock options, SARs, restricted stock awards, RSUs,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 On March 17, 2022, the Company's Board of Directors unanimously approved an amendment to the 2018 Plan which was subsequently approved by our stockholders, to increase the number of shares authorized for issuance under the plan by 2,500,000 shares, resulting in 9,185,696 shares of the Company's Common Stock authorized for issuance under the plan. These additional shares were registered on Form S-8 in December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was as follows: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3"/>
        </w:trPr>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compensation expense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compensation expense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Liability-classified compensation expense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under the 2018 Equity Incentive Plan</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units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6,768</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 Includes $2.5 million settled in cash subsequent to December 31, 2025</w:t>
      </w:r>
    </w:p>
    <w:p>
      <w:pPr>
        <w:spacing w:after="0" w:line="2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2024 and 2023 the Company's income tax expense for stock-based compensation was immaterial. No stock-based compensation has been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activity in stock units for the 2018 Plan is as follows:</w:t>
            </w:r>
          </w:p>
        </w:tc>
        <w:tc>
          <w:tcPr>
            <w:tcW w:w="1520" w:type="dxa"/>
            <w:vAlign w:val="bottom"/>
          </w:tcPr>
          <w:p>
            <w:pPr>
              <w:spacing w:after="0"/>
              <w:rPr>
                <w:sz w:val="20"/>
                <w:szCs w:val="20"/>
                <w:color w:val="auto"/>
              </w:rPr>
            </w:pPr>
          </w:p>
        </w:tc>
      </w:tr>
      <w:tr>
        <w:trPr>
          <w:trHeight w:val="243"/>
        </w:trPr>
        <w:tc>
          <w:tcPr>
            <w:tcW w:w="97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January 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3,505,286</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129,380</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(641,578)</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226,100</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29"/>
        </w:trPr>
        <w:tc>
          <w:tcPr>
            <w:tcW w:w="97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291,110</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3,547,798</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(1,132,450)</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PSUs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403,750</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97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326,282</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available for issuance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3,150,595</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30,685</w:t>
            </w:r>
          </w:p>
        </w:tc>
      </w:tr>
      <w:tr>
        <w:trPr>
          <w:trHeight w:val="230"/>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(821,620)</w:t>
            </w:r>
          </w:p>
        </w:tc>
      </w:tr>
      <w:tr>
        <w:trPr>
          <w:trHeight w:val="229"/>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(423,074)</w:t>
            </w:r>
          </w:p>
        </w:tc>
      </w:tr>
      <w:tr>
        <w:trPr>
          <w:trHeight w:val="229"/>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w:t>
            </w:r>
          </w:p>
        </w:tc>
      </w:tr>
      <w:tr>
        <w:trPr>
          <w:trHeight w:val="230"/>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PSUs 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w:t>
            </w:r>
          </w:p>
        </w:tc>
      </w:tr>
      <w:tr>
        <w:trPr>
          <w:trHeight w:val="229"/>
        </w:trPr>
        <w:tc>
          <w:tcPr>
            <w:tcW w:w="97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Shares withheld for taxes</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345,486</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available for issuance at December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2,322,821</w:t>
            </w:r>
          </w:p>
        </w:tc>
      </w:tr>
      <w:tr>
        <w:trPr>
          <w:trHeight w:val="21"/>
        </w:trPr>
        <w:tc>
          <w:tcPr>
            <w:tcW w:w="9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right="140" w:hanging="328"/>
        <w:spacing w:after="0" w:line="229"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surrendered to satisfy withholding taxes owed are subsequently added back to the shares available for grant under the 2018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about the time-based equity-classified stock options granted under the plan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4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594,826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years</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(67,220)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(1)</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(30,685)</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4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496,921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 years</w:t>
            </w: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496,921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 years</w:t>
            </w: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60" w:right="180" w:hanging="328"/>
        <w:spacing w:after="0" w:line="229" w:lineRule="auto"/>
        <w:tabs>
          <w:tab w:leader="none" w:pos="648"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Forfeited includes awards for which the participant has been terminated but has 90 days from the date of termination to exercise the award based on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There were no options granted in 2025, 2024, or 2023. The intrinsic value of options exercised in 2025 and 2024 was $0.1 million and $0.8 million, respectively. There were no options exercised in 2023. As of December 31, 2025, there were no unrecognized compensation costs related to stock options.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Equity-classified Restricted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Company's equity-classified RSUs and PSUs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Underlying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Weighted-average Grant Date</w:t>
            </w:r>
          </w:p>
        </w:tc>
      </w:tr>
      <w:tr>
        <w:trPr>
          <w:trHeight w:val="241"/>
        </w:trPr>
        <w:tc>
          <w:tcPr>
            <w:tcW w:w="66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Service-based vesting: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2,582,400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6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6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1,660,784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1,475,590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vesting:</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66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515,490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66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right="160" w:hanging="328"/>
        <w:spacing w:after="0" w:line="22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56,066 with an estimated fair value of $0.6 million, 175,720 shares with an estimated fair value of $0.6 million and 143,605 shares with an estimated fair value of $0.5 million issued to non-employees in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60" w:hanging="328"/>
        <w:spacing w:after="0" w:line="235" w:lineRule="auto"/>
        <w:tabs>
          <w:tab w:leader="none" w:pos="64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only the portions of grants for which the performance goals have been determined and communicated to the grant recipient. Any grants for which the required performance goals have not been determined and communicated to the grant recipient are not considered to have been granted for accounting purposes.</w:t>
      </w:r>
    </w:p>
    <w:p>
      <w:pPr>
        <w:spacing w:after="0" w:line="227"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As of December 31, 2025, there was $4.8 million and $2.1 million of unrecognized compensation costs for equity-classified service-based RSUs and performance-based RSUs, respectively, which are expected to be recognized over a remaining weighted-average period of 1.9 years and 2.1 years, respectively. The total fair value of RSUs and PSUs that vested in 2025, 2024, and 2023 was $10.1 million, $5.8 million and $1.3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16, 2021, the 2021 Stock Purchase Plan was authorized by the Company's Board of Directors. The maximum number of shares available for purchase under the 2021 Stock Purchase Plan is 200,000 shares. The ESPP was amended by stockholder approval on June 13, 2025, to increase the number of shares available by 200,000.The shares issued under the 2021 Stock Purchase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during the first quarter of 2022. The 2021 Stock Purchase Plan provides eligible employees the opportunity to purchase shares of the Company's Common Stock on a quarterly basis through payroll deductions at a price equal to 95% of the lesser of the fair value on the first and last trading day of each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180,617 shares available under the 2021 Stock Purchase Plan.</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The Company's contributions to the plan were $2.6 million, $2.4 million and $2.0 million for the years ended December 31, 2025, 2024 and 2023, respectively.</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February 2019, the Company's CEO contributed assets of certain businesses to PHOT (a subsidiary of the Company). In consideration, PHOT issued redeemable preferred equity interest (preferred units) to the CEO and COO of the Company. These preferred units were eligible to receive up to $4.5 million in profits earned by PHOT plus an annual preferred yield of 6% on undistributed amounts.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30, 2024, the Company approved the redemption of certain preferred units of PHOT either in cash or in exchange for shares of its common stock. The redemption value of these preferred units was $5.9 million and exchange ratio was established based on the 30 days volume weighted average close price adjusted for market illiquidity. During 2024, preferred units held by the CEO were redeemed for $2.1 million in cash and those held by the Chief Operating Officer were redeemed by issuance of 408,013 shares of the Company's common stock valued at $1.5 million. There was no subsequent activity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Annual Commitments with Third-party Processors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December 31, 2025, the Company is committed to pay minimum processing fees under these agreements as noted below:</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23,264</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18,625</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32,594</w:t>
            </w:r>
          </w:p>
        </w:tc>
      </w:tr>
      <w:tr>
        <w:trPr>
          <w:trHeight w:val="248"/>
        </w:trPr>
        <w:tc>
          <w:tcPr>
            <w:tcW w:w="9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143,262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a capital contribution commitment of $3.2 million and $12.6 million respectively, to fund operations of certain subsidiaries. The Company is obligated to make the contributions within 10 business days of receiving notice for such contribution from the subsidiary.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committed to funding notes receivables totaling $27.8 million and $11.3 million as of December 31, 2025 and 2024, respectively. The Company is obligated to fulfill requests for funding required within a certain time period once the request is received. As of December 31, 2025 and 2024, the Company funded $16.5 million and $7.1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 Settlement Assets and Obligations</w:t>
      </w:r>
      <w:r>
        <w:rPr>
          <w:rFonts w:ascii="Times New Roman" w:cs="Times New Roman" w:eastAsia="Times New Roman" w:hAnsi="Times New Roman"/>
          <w:sz w:val="18"/>
          <w:szCs w:val="18"/>
          <w:color w:val="auto"/>
        </w:rPr>
        <w:t>, for information about merchant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Contingent/Deferred Consideration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 of the Company's contingent and deferred consideration liabilities related to completed acquisitions: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7"/>
                <w:szCs w:val="17"/>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Contingent Consideration</w:t>
            </w:r>
          </w:p>
        </w:tc>
        <w:tc>
          <w:tcPr>
            <w:tcW w:w="160" w:type="dxa"/>
            <w:vAlign w:val="bottom"/>
          </w:tcPr>
          <w:p>
            <w:pPr>
              <w:spacing w:after="0"/>
              <w:rPr>
                <w:sz w:val="17"/>
                <w:szCs w:val="17"/>
                <w:color w:val="auto"/>
              </w:rPr>
            </w:pPr>
          </w:p>
        </w:tc>
        <w:tc>
          <w:tcPr>
            <w:tcW w:w="2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Deferred Consideration</w:t>
            </w:r>
          </w:p>
        </w:tc>
        <w:tc>
          <w:tcPr>
            <w:tcW w:w="0" w:type="dxa"/>
            <w:vAlign w:val="bottom"/>
          </w:tcPr>
          <w:p>
            <w:pPr>
              <w:spacing w:after="0"/>
              <w:rPr>
                <w:sz w:val="1"/>
                <w:szCs w:val="1"/>
                <w:color w:val="auto"/>
              </w:rPr>
            </w:pPr>
          </w:p>
        </w:tc>
      </w:tr>
      <w:tr>
        <w:trPr>
          <w:trHeight w:val="243"/>
        </w:trPr>
        <w:tc>
          <w:tcPr>
            <w:tcW w:w="644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21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29"/>
        </w:trPr>
        <w:tc>
          <w:tcPr>
            <w:tcW w:w="6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tcPr>
          <w:p>
            <w:pPr>
              <w:spacing w:after="0"/>
              <w:rPr>
                <w:sz w:val="19"/>
                <w:szCs w:val="19"/>
                <w:color w:val="auto"/>
              </w:rPr>
            </w:pP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30"/>
        </w:trPr>
        <w:tc>
          <w:tcPr>
            <w:tcW w:w="6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adjustments due to changes in estimates of future payments</w:t>
            </w: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6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Pr>
          <w:p>
            <w:pPr>
              <w:spacing w:after="0"/>
              <w:rPr>
                <w:sz w:val="19"/>
                <w:szCs w:val="19"/>
                <w:color w:val="auto"/>
              </w:rPr>
            </w:pP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0" w:type="dxa"/>
            <w:vAlign w:val="bottom"/>
          </w:tcPr>
          <w:p>
            <w:pPr>
              <w:spacing w:after="0"/>
              <w:rPr>
                <w:sz w:val="1"/>
                <w:szCs w:val="1"/>
                <w:color w:val="auto"/>
              </w:rPr>
            </w:pPr>
          </w:p>
        </w:tc>
      </w:tr>
      <w:tr>
        <w:trPr>
          <w:trHeight w:val="189"/>
        </w:trPr>
        <w:tc>
          <w:tcPr>
            <w:tcW w:w="64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 xml:space="preserve">Additions (Related to acquisition, see </w:t>
            </w:r>
            <w:r>
              <w:rPr>
                <w:rFonts w:ascii="Times New Roman" w:cs="Times New Roman" w:eastAsia="Times New Roman" w:hAnsi="Times New Roman"/>
                <w:sz w:val="18"/>
                <w:szCs w:val="18"/>
                <w:color w:val="0000FF"/>
              </w:rPr>
              <w:t>Note 2</w:t>
            </w: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7,310</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due to acceleration of timing payments</w:t>
            </w: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230"/>
        </w:trPr>
        <w:tc>
          <w:tcPr>
            <w:tcW w:w="6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140" w:type="dxa"/>
            <w:vAlign w:val="bottom"/>
          </w:tcPr>
          <w:p>
            <w:pPr>
              <w:spacing w:after="0"/>
              <w:rPr>
                <w:sz w:val="19"/>
                <w:szCs w:val="19"/>
                <w:color w:val="auto"/>
              </w:rPr>
            </w:pP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auto"/>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228"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Company is a party in a case filed on October 11, 2023 in the United States District Court of Northern District of California (the “Complaint”). The Complaint is a putative class action against The Credit Wholesale Company, Inc. (“Wholesale”), Priority Technology Holdings, Inc., Priority Payment</w:t>
      </w:r>
    </w:p>
    <w:p>
      <w:pPr>
        <w:spacing w:after="0" w:line="2"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Systems (“PPS”), LLC and Wells Fargo Bank, N.A. (“Wells Fargo”). The Complaint alleges that Wholesale as an agent of Priority, PPS and Wells Fargo made non-consensual recordation of telephonic communications with California businesses in violation of California Invasion of Privacy Act (the “Act”).</w:t>
      </w:r>
    </w:p>
    <w:p>
      <w:pPr>
        <w:spacing w:after="0" w:line="1"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7"/>
          <w:szCs w:val="17"/>
          <w:color w:val="auto"/>
        </w:rPr>
        <w:t>he Complaint seeks to certify a class of affected businesses and an award of $5,000 per violation of the Act. On May 23, 2025, the court approved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final settlement agreement wherein the defendants agree to pay $19.5 million to settle this litigation on a class basis. Final judgment has been entered dismissing all claims against defendants.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bankcard transactions. Because the Company is not a member bank, to process these bankcard transactions, the Company maintains sponsorship agreements with member banks which require, among other things, that the Company abide by the by-laws and regulations of the card association.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Company's contingent and deferred considerations were derived from business combinations occurring during the year ended December 31, 2025 (refer to </w:t>
      </w:r>
      <w:r>
        <w:rPr>
          <w:rFonts w:ascii="Times New Roman" w:cs="Times New Roman" w:eastAsia="Times New Roman" w:hAnsi="Times New Roman"/>
          <w:sz w:val="18"/>
          <w:szCs w:val="18"/>
          <w:u w:val="single" w:color="auto"/>
          <w:color w:val="0000FF"/>
        </w:rPr>
        <w:t>Note 2. Acquisitions</w:t>
      </w:r>
      <w:r>
        <w:rPr>
          <w:rFonts w:ascii="Times New Roman" w:cs="Times New Roman" w:eastAsia="Times New Roman" w:hAnsi="Times New Roman"/>
          <w:sz w:val="18"/>
          <w:szCs w:val="18"/>
          <w:color w:val="auto"/>
        </w:rPr>
        <w:t>). The contingent considerations are classified within Level 3 of the fair value hierarchy due to the uncertainty of the fair value measurement created by the absence of quoted market prices, the inherent lack of liquidity and unobservable inputs used to measure fair value which require judgment. The Company uses valuation techniques including Monte Carlo simulations to estimate fair value based on projection period and assumed growth rates. A change in inputs in the valuation techniques used might result in a significantly higher or lower fair value measurement than what is reported. Contingent and deferred consideration liabilities are uncertain due to the utilization of unobservable inputs and management's judgment in determining the likelihood of achieving criteria required by the respective agreements. The contingent and deferred considerations fair value of</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$28.4 million at December 31, 2025, $1.2 million included in accounts payable and accrued expenses and $27.2 million are included in other noncurrent liabilities on the Company's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was approximately $19.7 million and $8.6 million at December 31, 2025 and 2024, respectively. On the fair value hierarchy, Level 3 inputs are used to estimate the fair value of these notes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Short-term investments are certificate of deposits which have a maturity that extends beyond three months but within one year of the initial purchase date and are carried at amortized cost. The carrying value approximates fair value of $25.0 million at December 31, 2025 and is within Level 2 of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Outstanding debt obligations (see </w:t>
      </w:r>
      <w:r>
        <w:rPr>
          <w:rFonts w:ascii="Times New Roman" w:cs="Times New Roman" w:eastAsia="Times New Roman" w:hAnsi="Times New Roman"/>
          <w:sz w:val="18"/>
          <w:szCs w:val="18"/>
          <w:u w:val="single" w:color="auto"/>
          <w:color w:val="0000FF"/>
        </w:rPr>
        <w:t>Note 10. Debt Obligations</w:t>
      </w:r>
      <w:r>
        <w:rPr>
          <w:rFonts w:ascii="Times New Roman" w:cs="Times New Roman" w:eastAsia="Times New Roman" w:hAnsi="Times New Roman"/>
          <w:sz w:val="18"/>
          <w:szCs w:val="18"/>
          <w:color w:val="auto"/>
        </w:rPr>
        <w:t>) are reflected in the Company's Consolidated Balance Sheets at carrying value since the Company did not elect to remeasure debt obligations to fair value at the end of each reporting period.</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fair value of 2024 Credit Agreement's term facility was estimated to be approximately $998.3 million and $944.4 million at December 31, 2025 and 2024, respectively. The fair value was estimated using binding and non-binding quoted market prices in an active secondary market, which considers the credit risk and market related conditions, and is within Level 2 of the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incentive award</w:t>
      </w:r>
    </w:p>
    <w:p>
      <w:pPr>
        <w:spacing w:after="0" w:line="22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The Company has established a long-term incentive award for the Chief Executive Officer, which is subject to specified performance conditions. Upon satisfaction of these performance criteria, the Chief Executive Officer becomes entitled to a predetermined amount of incentive compensation, which may be settled either in cash or in shares of the Company's Common Stock. Consequently, this arrangement is accounted for as a liability award in accordance with applicable accounting standards. The fair value of these awards is remeasured at each reporting date utilizing Level 3 inputs, which encompass management's estimates regarding the anticipated achievement of relevant financial metrics. The fair value of these awards as of December 31, 2025 was $4.5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renamed its three reportable segments to align with the services offered. SMB Payments was renamed to Merchant Solutions, B2B Payments was renamed to Payables and Enterprise Payments was renamed to Treasury Solutions. There was no other change to the segments. Activities within the segment include the following:</w:t>
      </w:r>
    </w:p>
    <w:p>
      <w:pPr>
        <w:spacing w:after="0" w:line="174" w:lineRule="exact"/>
        <w:rPr>
          <w:sz w:val="20"/>
          <w:szCs w:val="20"/>
          <w:color w:val="auto"/>
        </w:rPr>
      </w:pPr>
    </w:p>
    <w:p>
      <w:pPr>
        <w:ind w:left="660" w:right="600" w:hanging="328"/>
        <w:spacing w:after="0" w:line="284" w:lineRule="auto"/>
        <w:tabs>
          <w:tab w:leader="none" w:pos="655" w:val="left"/>
        </w:tabs>
        <w:numPr>
          <w:ilvl w:val="0"/>
          <w:numId w:val="45"/>
        </w:numPr>
        <w:rPr>
          <w:rFonts w:ascii="Times New Roman" w:cs="Times New Roman" w:eastAsia="Times New Roman" w:hAnsi="Times New Roman"/>
          <w:sz w:val="18"/>
          <w:szCs w:val="18"/>
          <w:i w:val="1"/>
          <w:iCs w:val="1"/>
          <w:color w:val="212529"/>
          <w:strike w:val="1"/>
        </w:rPr>
      </w:pPr>
      <w:r>
        <w:rPr>
          <w:rFonts w:ascii="Times New Roman" w:cs="Times New Roman" w:eastAsia="Times New Roman" w:hAnsi="Times New Roman"/>
          <w:sz w:val="18"/>
          <w:szCs w:val="18"/>
          <w:i w:val="1"/>
          <w:iCs w:val="1"/>
          <w:color w:val="auto"/>
        </w:rPr>
        <w:t>Merchant Solutions</w:t>
      </w:r>
      <w:r>
        <w:rPr>
          <w:rFonts w:ascii="Times New Roman" w:cs="Times New Roman" w:eastAsia="Times New Roman" w:hAnsi="Times New Roman"/>
          <w:sz w:val="18"/>
          <w:szCs w:val="18"/>
          <w:color w:val="auto"/>
        </w:rPr>
        <w:t>: Provides full-service acquiring and payment-enabled solutions for B2C transactions, leveraging Priority's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platform, distributed through ISO, direct sales and vertically focused ISV channels.</w:t>
      </w:r>
    </w:p>
    <w:p>
      <w:pPr>
        <w:spacing w:after="0" w:line="185" w:lineRule="exact"/>
        <w:rPr>
          <w:rFonts w:ascii="Times New Roman" w:cs="Times New Roman" w:eastAsia="Times New Roman" w:hAnsi="Times New Roman"/>
          <w:sz w:val="18"/>
          <w:szCs w:val="18"/>
          <w:i w:val="1"/>
          <w:iCs w:val="1"/>
          <w:color w:val="212529"/>
          <w:strike w:val="1"/>
        </w:rPr>
      </w:pPr>
    </w:p>
    <w:p>
      <w:pPr>
        <w:ind w:left="660" w:right="140" w:hanging="328"/>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Payables</w:t>
      </w:r>
      <w:r>
        <w:rPr>
          <w:rFonts w:ascii="Times New Roman" w:cs="Times New Roman" w:eastAsia="Times New Roman" w:hAnsi="Times New Roman"/>
          <w:sz w:val="18"/>
          <w:szCs w:val="18"/>
          <w:color w:val="auto"/>
        </w:rPr>
        <w:t>: Provides market-leading AP automation solutions to corporations, software partners and industry leading FIs in addition to improving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by providing instant access to working capital.</w:t>
      </w:r>
    </w:p>
    <w:p>
      <w:pPr>
        <w:spacing w:after="0" w:line="185" w:lineRule="exact"/>
        <w:rPr>
          <w:rFonts w:ascii="Times New Roman" w:cs="Times New Roman" w:eastAsia="Times New Roman" w:hAnsi="Times New Roman"/>
          <w:sz w:val="18"/>
          <w:szCs w:val="18"/>
          <w:color w:val="auto"/>
        </w:rPr>
      </w:pPr>
    </w:p>
    <w:p>
      <w:pPr>
        <w:ind w:left="660" w:right="540" w:hanging="328"/>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Treasury Solutions</w:t>
      </w:r>
      <w:r>
        <w:rPr>
          <w:rFonts w:ascii="Times New Roman" w:cs="Times New Roman" w:eastAsia="Times New Roman" w:hAnsi="Times New Roman"/>
          <w:sz w:val="18"/>
          <w:szCs w:val="18"/>
          <w:color w:val="auto"/>
        </w:rPr>
        <w:t>: Provides embedded finance and treasury solutions to customers to modernize legacy platforms and accelerate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strategies to monetize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Company's chief operating decision makers ("CODM") are our CEO and CFO. The CODM uses adjusted earnings before interest expense, income tax and depreciation and amortization expenses ("Adjusted EBITDA") as the measure of segment profit or loss to allocate resources. Adjusted EBITDA represents EBITDA (i.e. earnings before interest, income tax, and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level assets information is not provided or subject to review by the CODM and therefore not provided.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reportable segments and reconciliations to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14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60" w:type="dxa"/>
            <w:vAlign w:val="bottom"/>
          </w:tcPr>
          <w:p>
            <w:pPr>
              <w:spacing w:after="0"/>
              <w:rPr>
                <w:sz w:val="14"/>
                <w:szCs w:val="14"/>
                <w:color w:val="auto"/>
              </w:rPr>
            </w:pPr>
          </w:p>
        </w:tc>
        <w:tc>
          <w:tcPr>
            <w:tcW w:w="11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340" w:type="dxa"/>
            <w:vAlign w:val="bottom"/>
          </w:tcPr>
          <w:p>
            <w:pPr>
              <w:spacing w:after="0"/>
              <w:rPr>
                <w:sz w:val="14"/>
                <w:szCs w:val="14"/>
                <w:color w:val="auto"/>
              </w:rPr>
            </w:pPr>
          </w:p>
        </w:tc>
        <w:tc>
          <w:tcPr>
            <w:tcW w:w="11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9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1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953,009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Intersegement revenues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958,720</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953,009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 of services (excludes depreciation and amortization)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Other operating expenses</w:t>
            </w:r>
            <w:r>
              <w:rPr>
                <w:rFonts w:ascii="Times New Roman" w:cs="Times New Roman" w:eastAsia="Times New Roman" w:hAnsi="Times New Roman"/>
                <w:sz w:val="23"/>
                <w:szCs w:val="23"/>
                <w:color w:val="auto"/>
                <w:vertAlign w:val="superscript"/>
              </w:rPr>
              <w:t>(1)(2)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Add: Other segment items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308,615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Adjustment for corporate items</w:t>
      </w:r>
      <w:r>
        <w:rPr>
          <w:rFonts w:ascii="Times New Roman" w:cs="Times New Roman" w:eastAsia="Times New Roman" w:hAnsi="Times New Roman"/>
          <w:sz w:val="23"/>
          <w:szCs w:val="23"/>
          <w:color w:val="auto"/>
          <w:vertAlign w:val="superscript"/>
        </w:rPr>
        <w:t>(4)</w:t>
      </w:r>
    </w:p>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Salary and employee benefits (non-recurring)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stock based compensation</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120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248" w:lineRule="exact"/>
        <w:rPr>
          <w:sz w:val="20"/>
          <w:szCs w:val="20"/>
          <w:color w:val="auto"/>
        </w:rPr>
      </w:pPr>
    </w:p>
    <w:p>
      <w:pPr>
        <w:ind w:left="560" w:hanging="228"/>
        <w:spacing w:after="0"/>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significant expense categories and amounts align with the segment level information regularly provided to the CODM.</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expenses include salary and employee benefits, and selling, general and administrative expenses.</w:t>
      </w:r>
    </w:p>
    <w:p>
      <w:pPr>
        <w:spacing w:after="0" w:line="113"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 other income, net of stock based compensation expense.</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corporate items include: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821" w:hanging="821"/>
        <w:spacing w:after="0"/>
        <w:tabs>
          <w:tab w:leader="none" w:pos="8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308,615</w:t>
      </w:r>
    </w:p>
    <w:p>
      <w:pPr>
        <w:spacing w:after="0" w:line="27"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(73,749)</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(5,711)</w:t>
      </w:r>
    </w:p>
    <w:p>
      <w:pPr>
        <w:spacing w:after="0" w:line="34"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(63,183)</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(90,654)</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(12,514)</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(5,718)</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(2,501)</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2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 w:lineRule="exact"/>
        <w:rPr>
          <w:sz w:val="20"/>
          <w:szCs w:val="20"/>
          <w:color w:val="auto"/>
        </w:rPr>
      </w:pPr>
    </w:p>
    <w:p>
      <w:pPr>
        <w:ind w:left="921" w:hanging="921"/>
        <w:spacing w:after="0"/>
        <w:tabs>
          <w:tab w:leader="none" w:pos="921"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46,279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512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512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9" w:lineRule="exact"/>
        <w:rPr>
          <w:sz w:val="20"/>
          <w:szCs w:val="20"/>
          <w:color w:val="auto"/>
        </w:rPr>
      </w:pPr>
    </w:p>
    <w:p>
      <w:pPr>
        <w:sectPr>
          <w:pgSz w:w="11900" w:h="16838" w:orient="portrait"/>
          <w:cols w:equalWidth="0" w:num="2">
            <w:col w:w="9039" w:space="720"/>
            <w:col w:w="1481"/>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cost of services (excludes depreciation and amortization)</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29"/>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(99,632)</w:t>
            </w:r>
          </w:p>
        </w:tc>
      </w:tr>
      <w:tr>
        <w:trPr>
          <w:trHeight w:val="230"/>
        </w:trPr>
        <w:tc>
          <w:tcPr>
            <w:tcW w:w="6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(5)</w:t>
            </w:r>
          </w:p>
        </w:tc>
        <w:tc>
          <w:tcPr>
            <w:tcW w:w="5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20,180</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(73,749)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660" w:right="160" w:hanging="328"/>
        <w:spacing w:after="0" w:line="303" w:lineRule="auto"/>
        <w:tabs>
          <w:tab w:leader="none" w:pos="56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items include other income, net, stock based compensation expense, selling, general and administrative (non-recurring expenses) and salary and employee benefits (non-recurring expenses).</w:t>
      </w:r>
    </w:p>
    <w:p>
      <w:pPr>
        <w:spacing w:after="0" w:line="34"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stock based compensation settled in cash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Other specified segment disclosure</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gridSpan w:val="7"/>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Solutions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Treasury Solutions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55,809</w:t>
            </w:r>
          </w:p>
        </w:tc>
        <w:tc>
          <w:tcPr>
            <w:tcW w:w="0" w:type="dxa"/>
            <w:vAlign w:val="bottom"/>
          </w:tcPr>
          <w:p>
            <w:pPr>
              <w:spacing w:after="0"/>
              <w:rPr>
                <w:sz w:val="1"/>
                <w:szCs w:val="1"/>
                <w:color w:val="auto"/>
              </w:rPr>
            </w:pPr>
          </w:p>
        </w:tc>
      </w:tr>
      <w:tr>
        <w:trPr>
          <w:trHeight w:val="459"/>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80" w:type="dxa"/>
            <w:vAlign w:val="bottom"/>
          </w:tcPr>
          <w:p>
            <w:pPr>
              <w:spacing w:after="0"/>
              <w:rPr>
                <w:sz w:val="14"/>
                <w:szCs w:val="14"/>
                <w:color w:val="auto"/>
              </w:rPr>
            </w:pPr>
          </w:p>
        </w:tc>
        <w:tc>
          <w:tcPr>
            <w:tcW w:w="1080" w:type="dxa"/>
            <w:vAlign w:val="bottom"/>
            <w:gridSpan w:val="4"/>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240" w:type="dxa"/>
            <w:vAlign w:val="bottom"/>
          </w:tcPr>
          <w:p>
            <w:pPr>
              <w:spacing w:after="0"/>
              <w:rPr>
                <w:sz w:val="14"/>
                <w:szCs w:val="14"/>
                <w:color w:val="auto"/>
              </w:rPr>
            </w:pPr>
          </w:p>
        </w:tc>
        <w:tc>
          <w:tcPr>
            <w:tcW w:w="12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879,702</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Intersegement revenues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613,547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883,098</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879,702</w:t>
            </w:r>
          </w:p>
        </w:tc>
        <w:tc>
          <w:tcPr>
            <w:tcW w:w="0" w:type="dxa"/>
            <w:vAlign w:val="bottom"/>
          </w:tcPr>
          <w:p>
            <w:pPr>
              <w:spacing w:after="0"/>
              <w:rPr>
                <w:sz w:val="1"/>
                <w:szCs w:val="1"/>
                <w:color w:val="auto"/>
              </w:rPr>
            </w:pPr>
          </w:p>
        </w:tc>
      </w:tr>
      <w:tr>
        <w:trPr>
          <w:trHeight w:val="230"/>
        </w:trPr>
        <w:tc>
          <w:tcPr>
            <w:tcW w:w="53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 of services (excludes depreciation and amortization)</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Other operating expenses</w:t>
            </w:r>
            <w:r>
              <w:rPr>
                <w:rFonts w:ascii="Times New Roman" w:cs="Times New Roman" w:eastAsia="Times New Roman" w:hAnsi="Times New Roman"/>
                <w:sz w:val="23"/>
                <w:szCs w:val="23"/>
                <w:color w:val="auto"/>
                <w:vertAlign w:val="superscript"/>
              </w:rPr>
              <w:t>(1)(2)</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Add: Other segment items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Adjustment for corporate items</w:t>
      </w:r>
      <w:r>
        <w:rPr>
          <w:rFonts w:ascii="Times New Roman" w:cs="Times New Roman" w:eastAsia="Times New Roman" w:hAnsi="Times New Roman"/>
          <w:sz w:val="23"/>
          <w:szCs w:val="23"/>
          <w:color w:val="auto"/>
          <w:vertAlign w:val="superscript"/>
        </w:rPr>
        <w:t>(4)</w:t>
      </w:r>
    </w:p>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20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272" w:lineRule="exact"/>
        <w:rPr>
          <w:sz w:val="20"/>
          <w:szCs w:val="20"/>
          <w:color w:val="auto"/>
        </w:rPr>
      </w:pPr>
    </w:p>
    <w:p>
      <w:pPr>
        <w:ind w:left="560" w:hanging="228"/>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significant expense categories and amounts align with the segment level information regularly provided to the CODM.</w:t>
      </w:r>
    </w:p>
    <w:p>
      <w:pPr>
        <w:spacing w:after="0" w:line="113"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expenses include salary and employee benefits, and selling, general and administrative expenses.</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 other income, net of stock based compensation expense.</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corporate items include: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821" w:hanging="821"/>
        <w:spacing w:after="0"/>
        <w:tabs>
          <w:tab w:leader="none" w:pos="8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271,454</w:t>
      </w:r>
    </w:p>
    <w:p>
      <w:pPr>
        <w:spacing w:after="0" w:line="27"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(63,791)</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(3,396)</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(58,041)</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(88,948)</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(10,369)</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(3,510)</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512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9" w:lineRule="exact"/>
        <w:rPr>
          <w:sz w:val="20"/>
          <w:szCs w:val="20"/>
          <w:color w:val="auto"/>
        </w:rPr>
      </w:pPr>
    </w:p>
    <w:p>
      <w:pPr>
        <w:ind w:left="921" w:hanging="921"/>
        <w:spacing w:after="0"/>
        <w:tabs>
          <w:tab w:leader="none" w:pos="92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37,281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512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512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9" w:lineRule="exact"/>
        <w:rPr>
          <w:sz w:val="20"/>
          <w:szCs w:val="20"/>
          <w:color w:val="auto"/>
        </w:rPr>
      </w:pPr>
    </w:p>
    <w:p>
      <w:pPr>
        <w:sectPr>
          <w:pgSz w:w="11900" w:h="16838" w:orient="portrait"/>
          <w:cols w:equalWidth="0" w:num="2">
            <w:col w:w="9039" w:space="720"/>
            <w:col w:w="1481"/>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cost of services (excludes depreciation and amortization)</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29"/>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(76,842)</w:t>
            </w:r>
          </w:p>
        </w:tc>
      </w:tr>
      <w:tr>
        <w:trPr>
          <w:trHeight w:val="230"/>
        </w:trPr>
        <w:tc>
          <w:tcPr>
            <w:tcW w:w="6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(5)</w:t>
            </w:r>
          </w:p>
        </w:tc>
        <w:tc>
          <w:tcPr>
            <w:tcW w:w="5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(63,791)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560" w:hanging="228"/>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items include other income, net, stock based compensation expense, selling, general and administrative (non-recurring expenses).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Other specified segment disclosure</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gridSpan w:val="7"/>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2024</w:t>
            </w: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Solutions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Treasury Solutions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53,051</w:t>
            </w:r>
          </w:p>
        </w:tc>
        <w:tc>
          <w:tcPr>
            <w:tcW w:w="0" w:type="dxa"/>
            <w:vAlign w:val="bottom"/>
          </w:tcPr>
          <w:p>
            <w:pPr>
              <w:spacing w:after="0"/>
              <w:rPr>
                <w:sz w:val="1"/>
                <w:szCs w:val="1"/>
                <w:color w:val="auto"/>
              </w:rPr>
            </w:pPr>
          </w:p>
        </w:tc>
      </w:tr>
      <w:tr>
        <w:trPr>
          <w:trHeight w:val="459"/>
        </w:trPr>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Merchant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80" w:type="dxa"/>
            <w:vAlign w:val="bottom"/>
          </w:tcPr>
          <w:p>
            <w:pPr>
              <w:spacing w:after="0"/>
              <w:rPr>
                <w:sz w:val="14"/>
                <w:szCs w:val="14"/>
                <w:color w:val="auto"/>
              </w:rPr>
            </w:pPr>
          </w:p>
        </w:tc>
        <w:tc>
          <w:tcPr>
            <w:tcW w:w="1080" w:type="dxa"/>
            <w:vAlign w:val="bottom"/>
            <w:gridSpan w:val="4"/>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240" w:type="dxa"/>
            <w:vAlign w:val="bottom"/>
          </w:tcPr>
          <w:p>
            <w:pPr>
              <w:spacing w:after="0"/>
              <w:rPr>
                <w:sz w:val="14"/>
                <w:szCs w:val="14"/>
                <w:color w:val="auto"/>
              </w:rPr>
            </w:pPr>
          </w:p>
        </w:tc>
        <w:tc>
          <w:tcPr>
            <w:tcW w:w="12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755,612</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Intersegement revenues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583,251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756,593</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755,612</w:t>
            </w:r>
          </w:p>
        </w:tc>
        <w:tc>
          <w:tcPr>
            <w:tcW w:w="0" w:type="dxa"/>
            <w:vAlign w:val="bottom"/>
          </w:tcPr>
          <w:p>
            <w:pPr>
              <w:spacing w:after="0"/>
              <w:rPr>
                <w:sz w:val="1"/>
                <w:szCs w:val="1"/>
                <w:color w:val="auto"/>
              </w:rPr>
            </w:pPr>
          </w:p>
        </w:tc>
      </w:tr>
      <w:tr>
        <w:trPr>
          <w:trHeight w:val="230"/>
        </w:trPr>
        <w:tc>
          <w:tcPr>
            <w:tcW w:w="53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 of services (excludes depreciation and amortization)</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Other operating expenses</w:t>
            </w:r>
            <w:r>
              <w:rPr>
                <w:rFonts w:ascii="Times New Roman" w:cs="Times New Roman" w:eastAsia="Times New Roman" w:hAnsi="Times New Roman"/>
                <w:sz w:val="23"/>
                <w:szCs w:val="23"/>
                <w:color w:val="auto"/>
                <w:vertAlign w:val="superscript"/>
              </w:rPr>
              <w:t>(1)(2)</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Add: Other segment items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EBITDA to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Adjustment for corporate items</w:t>
      </w:r>
      <w:r>
        <w:rPr>
          <w:rFonts w:ascii="Times New Roman" w:cs="Times New Roman" w:eastAsia="Times New Roman" w:hAnsi="Times New Roman"/>
          <w:sz w:val="23"/>
          <w:szCs w:val="23"/>
          <w:color w:val="auto"/>
          <w:vertAlign w:val="superscript"/>
        </w:rPr>
        <w:t>(4)</w:t>
      </w:r>
    </w:p>
    <w:p>
      <w:pPr>
        <w:ind w:left="20"/>
        <w:spacing w:after="0"/>
        <w:rPr>
          <w:sz w:val="20"/>
          <w:szCs w:val="20"/>
          <w:color w:val="auto"/>
        </w:rPr>
      </w:pPr>
      <w:r>
        <w:rPr>
          <w:rFonts w:ascii="Times New Roman" w:cs="Times New Roman" w:eastAsia="Times New Roman" w:hAnsi="Times New Roman"/>
          <w:sz w:val="18"/>
          <w:szCs w:val="18"/>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(non-recurring)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 cash other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207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p>
      <w:pPr>
        <w:spacing w:after="0" w:line="272" w:lineRule="exact"/>
        <w:rPr>
          <w:sz w:val="20"/>
          <w:szCs w:val="20"/>
          <w:color w:val="auto"/>
        </w:rPr>
      </w:pPr>
    </w:p>
    <w:p>
      <w:pPr>
        <w:ind w:left="560" w:hanging="228"/>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significant expense categories and amounts align with the segment level information regularly provided to the CODM.</w:t>
      </w:r>
    </w:p>
    <w:p>
      <w:pPr>
        <w:spacing w:after="0" w:line="113"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expenses include salary and employee benefits, and selling, general and administrative expenses.</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reportable segment include other income, net of stock based compensation expense.</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corporate items include: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821" w:hanging="821"/>
        <w:spacing w:after="0"/>
        <w:tabs>
          <w:tab w:leader="none" w:pos="8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222,628</w:t>
      </w:r>
    </w:p>
    <w:p>
      <w:pPr>
        <w:spacing w:after="0" w:line="27"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(53,315)</w:t>
      </w:r>
    </w:p>
    <w:p>
      <w:pPr>
        <w:spacing w:after="0" w:line="22" w:lineRule="exact"/>
        <w:rPr>
          <w:rFonts w:ascii="Times New Roman" w:cs="Times New Roman" w:eastAsia="Times New Roman" w:hAnsi="Times New Roman"/>
          <w:sz w:val="18"/>
          <w:szCs w:val="18"/>
          <w:color w:val="auto"/>
        </w:rPr>
      </w:pPr>
    </w:p>
    <w:p>
      <w:pPr>
        <w:ind w:left="10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(981)</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(68,395)</w:t>
      </w:r>
    </w:p>
    <w:p>
      <w:pPr>
        <w:spacing w:after="0" w:line="22" w:lineRule="exact"/>
        <w:rPr>
          <w:rFonts w:ascii="Times New Roman" w:cs="Times New Roman" w:eastAsia="Times New Roman" w:hAnsi="Times New Roman"/>
          <w:sz w:val="18"/>
          <w:szCs w:val="18"/>
          <w:color w:val="auto"/>
        </w:rPr>
      </w:pPr>
    </w:p>
    <w:p>
      <w:pPr>
        <w:ind w:left="8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(76,108)</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(9,825)</w:t>
      </w:r>
    </w:p>
    <w:p>
      <w:pPr>
        <w:spacing w:after="0" w:line="22" w:lineRule="exact"/>
        <w:rPr>
          <w:rFonts w:ascii="Times New Roman" w:cs="Times New Roman" w:eastAsia="Times New Roman" w:hAnsi="Times New Roman"/>
          <w:sz w:val="18"/>
          <w:szCs w:val="18"/>
          <w:color w:val="auto"/>
        </w:rPr>
      </w:pPr>
    </w:p>
    <w:p>
      <w:pPr>
        <w:ind w:left="9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(6,768)</w:t>
      </w:r>
    </w:p>
    <w:p>
      <w:pPr>
        <w:spacing w:after="0" w:line="22" w:lineRule="exact"/>
        <w:rPr>
          <w:rFonts w:ascii="Times New Roman" w:cs="Times New Roman" w:eastAsia="Times New Roman" w:hAnsi="Times New Roman"/>
          <w:sz w:val="18"/>
          <w:szCs w:val="18"/>
          <w:color w:val="auto"/>
        </w:rPr>
      </w:pPr>
    </w:p>
    <w:p>
      <w:pPr>
        <w:ind w:left="11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2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ind w:left="1001" w:hanging="1001"/>
        <w:spacing w:after="0"/>
        <w:tabs>
          <w:tab w:leader="none" w:pos="100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512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512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29" w:lineRule="exact"/>
        <w:rPr>
          <w:sz w:val="20"/>
          <w:szCs w:val="20"/>
          <w:color w:val="auto"/>
        </w:rPr>
      </w:pPr>
    </w:p>
    <w:p>
      <w:pPr>
        <w:sectPr>
          <w:pgSz w:w="11900" w:h="16838" w:orient="portrait"/>
          <w:cols w:equalWidth="0" w:num="2">
            <w:col w:w="9039" w:space="720"/>
            <w:col w:w="1481"/>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cost of services (excludes depreciation and amortization)</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9"/>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(69,979)</w:t>
            </w:r>
          </w:p>
        </w:tc>
      </w:tr>
      <w:tr>
        <w:trPr>
          <w:trHeight w:val="230"/>
        </w:trPr>
        <w:tc>
          <w:tcPr>
            <w:tcW w:w="6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(5)</w:t>
            </w:r>
          </w:p>
        </w:tc>
        <w:tc>
          <w:tcPr>
            <w:tcW w:w="5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15,720</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(53,315)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(4) Other items include other income, net, stock based compensation expense, selling, general and administrative (non-recurring expenses) and non-cash other losses.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Other specified segment disclosure</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9"/>
        </w:trPr>
        <w:tc>
          <w:tcPr>
            <w:tcW w:w="3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620" w:type="dxa"/>
            <w:vAlign w:val="bottom"/>
            <w:tcBorders>
              <w:bottom w:val="single" w:sz="8" w:color="auto"/>
            </w:tcBorders>
            <w:gridSpan w:val="5"/>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23"/>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Merchant Solutions</w:t>
            </w:r>
          </w:p>
        </w:tc>
        <w:tc>
          <w:tcPr>
            <w:tcW w:w="360" w:type="dxa"/>
            <w:vAlign w:val="bottom"/>
          </w:tcPr>
          <w:p>
            <w:pPr>
              <w:spacing w:after="0"/>
              <w:rPr>
                <w:sz w:val="19"/>
                <w:szCs w:val="19"/>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6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Treasury Solutions</w:t>
            </w:r>
          </w:p>
        </w:tc>
        <w:tc>
          <w:tcPr>
            <w:tcW w:w="440" w:type="dxa"/>
            <w:vAlign w:val="bottom"/>
          </w:tcPr>
          <w:p>
            <w:pPr>
              <w:spacing w:after="0"/>
              <w:rPr>
                <w:sz w:val="19"/>
                <w:szCs w:val="19"/>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60,972</w:t>
            </w:r>
          </w:p>
        </w:tc>
      </w:tr>
    </w:tbl>
    <w:p>
      <w:pPr>
        <w:spacing w:after="0" w:line="167"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earnings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184"/>
        </w:trPr>
        <w:tc>
          <w:tcPr>
            <w:tcW w:w="77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Less: Dividends, accretion, and related excise tax attributable to redeemable senior preferred</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(47,744)</w:t>
            </w: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NCI preferred unit redemptions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(49,055)</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78,333</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 average shares outstanding</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78,333</w:t>
            </w:r>
          </w:p>
        </w:tc>
      </w:tr>
      <w:tr>
        <w:trPr>
          <w:trHeight w:val="270"/>
        </w:trPr>
        <w:tc>
          <w:tcPr>
            <w:tcW w:w="7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r>
    </w:tbl>
    <w:p>
      <w:pPr>
        <w:spacing w:after="0" w:line="297" w:lineRule="exact"/>
        <w:rPr>
          <w:sz w:val="20"/>
          <w:szCs w:val="20"/>
          <w:color w:val="auto"/>
        </w:rPr>
      </w:pPr>
    </w:p>
    <w:p>
      <w:pPr>
        <w:ind w:left="660" w:right="220" w:hanging="328"/>
        <w:spacing w:after="0" w:line="280" w:lineRule="auto"/>
        <w:tabs>
          <w:tab w:leader="none" w:pos="56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periods presented, the weighted-average common shares outstanding includes 1,803,841 warrants issued in the second quarter of 2021 that were exercised during the first quarter of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Anti-dilutive securities that were excluded from earnings (loss) per common share that could potentially be dilutive in future periods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72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Common Stock Equivalents at December 31,</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Restricted stock awards</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Outstanding stock option awards</w:t>
            </w:r>
            <w:r>
              <w:rPr>
                <w:rFonts w:ascii="Times New Roman" w:cs="Times New Roman" w:eastAsia="Times New Roman" w:hAnsi="Times New Roman"/>
                <w:sz w:val="23"/>
                <w:szCs w:val="23"/>
                <w:color w:val="auto"/>
                <w:vertAlign w:val="superscript"/>
              </w:rPr>
              <w:t>(1)</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Liability-classified restricted stock awards</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2,080</w:t>
            </w:r>
          </w:p>
        </w:tc>
      </w:tr>
      <w:tr>
        <w:trPr>
          <w:trHeight w:val="20"/>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60" w:hanging="228"/>
        <w:spacing w:after="0"/>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Granted under 2018 Plan</w:t>
      </w:r>
    </w:p>
    <w:p>
      <w:pPr>
        <w:spacing w:after="0" w:line="126"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 can be settled in cash or the Company's common stock at mutual agreement of the grantee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evaluated subsequent events through the date of the issuance of the consolidated financial statements. There have been no subsequent events that occurred during such period that would require disclosure in, or would be required to be recognized in the consolidated financial statements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8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the CEO and CFO, has evaluated the effectiveness of the Company's disclosure controls and procedures as of December 31, 2025. Based on that evaluation, the Company's CEO and CFO concluded that the Company's disclosure controls and procedures were effective as of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Management on Internal Control over Financial Reporting</w:t>
      </w:r>
    </w:p>
    <w:p>
      <w:pPr>
        <w:spacing w:after="0" w:line="202"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Rules 13a-15(f) and 15d-15(f) of the Exchange Act. Under the supervision and with the participation of our management, including our CEO and CFO, we evaluated the effectiveness of our internal control over financial reporting as of the end of the most recent fiscal year, December 31, 2025, utilizing the criteria set forth by the Committee of Sponsoring Organizations of the Treadway Commission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evaluation, management, including our CEO and CFO, concluded that the Company maintained effective internal control over financial reporting as of December 31, 2025.</w:t>
      </w:r>
    </w:p>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Ernst &amp; Young LLP, an independent registered public accounting firm, has issued an attestation report on our internal control over financial reporting as of December 31, 2025 (see </w:t>
      </w: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 in Internal Control Over Financial Reporting</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previously reported in Part II, Item 9A, "Controls and Procedures" in the Company's Annual Report on Form 10-K for the year ended December 31, 2024, management identified a material weakness related to the design and operation of certain automated controls (including related information technology general controls ["ITGCs"]) for certain tools or applications involved in the transformation and ingestion of third-party processors data in the Company's control environment. The ingested data is a key input for determination of merchant revenue (and related accounts receivable) and residual expense (and related accounts payable). Consequently, automated controls and IT dependent manual business process controls that rely upon information from the affected financial applications and processes were also deemed ineffective.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remediated this material weakness as of December 31, 2025, by implementing the following measures:</w:t>
      </w:r>
    </w:p>
    <w:p>
      <w:pPr>
        <w:spacing w:after="0" w:line="198"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and scoped in additional servers and applications involved in data transformation and ingestion process for ITGCs testing purposes;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and tested automated application controls throughout the data transformation and ingestion process; and</w:t>
      </w:r>
    </w:p>
    <w:p>
      <w:pPr>
        <w:spacing w:after="0" w:line="76" w:lineRule="exact"/>
        <w:rPr>
          <w:rFonts w:ascii="Times New Roman" w:cs="Times New Roman" w:eastAsia="Times New Roman" w:hAnsi="Times New Roman"/>
          <w:sz w:val="18"/>
          <w:szCs w:val="18"/>
          <w:color w:val="auto"/>
        </w:rPr>
      </w:pPr>
    </w:p>
    <w:p>
      <w:pPr>
        <w:ind w:left="660" w:right="200" w:hanging="328"/>
        <w:spacing w:after="0" w:line="237"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ITGCs around user access reviews, change management, segregation of duties between administration and production servers, critical interface jobs and privilege user access.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Except in connection with the remediation of the material weakness as discussed above, there were no changes in the Company’s internal controls over financial reporting identified in connection with the evaluation required by Rules 13a-15(d) and 15d-15(d) of the Exchange Act that have materially affected, or are reasonably likely to materially affect, the Company’s internal control over financial reporting during the quarter ended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20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management, including our CEO and CFO, recognizes our controls and procedures, no matter how well designed and operated, can only provide reasonable assurance of achieving the the desired control objectives and will not prevent all errors and all fraud. The design of our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Director and Officer Trading Arrangements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11, 2025, Sean Kiewiet, an officer of the Company as defined in Section 16 of the Exchange Act, adopted a Rule 10b5-1 trading arrangement as defined in Item 408(a) of the SEC's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Officer or Director Name and</w:t>
            </w: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Plan Type</w:t>
            </w:r>
          </w:p>
        </w:tc>
        <w:tc>
          <w:tcPr>
            <w:tcW w:w="20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to</w:t>
            </w:r>
          </w:p>
        </w:tc>
        <w:tc>
          <w:tcPr>
            <w:tcW w:w="20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2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be sold</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Sean Kiewiet,</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Officer</w:t>
            </w: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11, 2025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21"/>
                <w:szCs w:val="21"/>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2026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called for by Item 10 is incorporated herein by reference to the definitive proxy statement relating to the Company's 2025 Annual Meeting of Stockholders. We intend to file such definitive proxy statement with the SEC pursuant to Regulation 14A within 120 days of the end of the fiscal year covered by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11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12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13 is incorporated herein by reference to the definitive proxy statement referenced above in Item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ind w:right="40" w:firstLine="8"/>
        <w:spacing w:after="0" w:line="273"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Our consolidated financial statements listed below are set forth in "</w:t>
      </w:r>
      <w:r>
        <w:rPr>
          <w:rFonts w:ascii="Times New Roman" w:cs="Times New Roman" w:eastAsia="Times New Roman" w:hAnsi="Times New Roman"/>
          <w:sz w:val="18"/>
          <w:szCs w:val="18"/>
          <w:u w:val="single" w:color="auto"/>
          <w:color w:val="0000FF"/>
        </w:rPr>
        <w:t>Item 8 - Financial Statements and Supplementary Data</w:t>
      </w:r>
      <w:r>
        <w:rPr>
          <w:rFonts w:ascii="Times New Roman" w:cs="Times New Roman" w:eastAsia="Times New Roman" w:hAnsi="Times New Roman"/>
          <w:sz w:val="18"/>
          <w:szCs w:val="18"/>
          <w:color w:val="auto"/>
        </w:rPr>
        <w:t>" of this Annual Report on Form 10-K: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353"/>
        </w:trPr>
        <w:tc>
          <w:tcPr>
            <w:tcW w:w="10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w:t>
            </w:r>
            <w:r>
              <w:rPr>
                <w:rFonts w:ascii="Times New Roman" w:cs="Times New Roman" w:eastAsia="Times New Roman" w:hAnsi="Times New Roman"/>
                <w:sz w:val="18"/>
                <w:szCs w:val="18"/>
                <w:color w:val="000000"/>
              </w:rPr>
              <w:t>EY</w:t>
            </w:r>
            <w:r>
              <w:rPr>
                <w:rFonts w:ascii="Times New Roman" w:cs="Times New Roman" w:eastAsia="Times New Roman" w:hAnsi="Times New Roman"/>
                <w:sz w:val="18"/>
                <w:szCs w:val="18"/>
                <w:color w:val="0000FF"/>
              </w:rPr>
              <w:t xml:space="preserve"> PCAOB ID: </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color w:val="0000FF"/>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29"/>
        </w:trPr>
        <w:tc>
          <w:tcPr>
            <w:tcW w:w="10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December 31, 2024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r>
      <w:tr>
        <w:trPr>
          <w:trHeight w:val="230"/>
        </w:trPr>
        <w:tc>
          <w:tcPr>
            <w:tcW w:w="10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2025, 2024 and 2023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r>
      <w:tr>
        <w:trPr>
          <w:trHeight w:val="180"/>
        </w:trPr>
        <w:tc>
          <w:tcPr>
            <w:tcW w:w="1052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0000FF"/>
              </w:rPr>
              <w:t>Consolidated Statements of Changes in Stockholders' Deficit and Non-Controlling Interest for the Years Ended December 31, 2025, 2024 and</w:t>
            </w:r>
          </w:p>
        </w:tc>
        <w:tc>
          <w:tcPr>
            <w:tcW w:w="720" w:type="dxa"/>
            <w:vAlign w:val="bottom"/>
          </w:tcPr>
          <w:p>
            <w:pPr>
              <w:spacing w:after="0"/>
              <w:rPr>
                <w:sz w:val="15"/>
                <w:szCs w:val="15"/>
                <w:color w:val="auto"/>
              </w:rPr>
            </w:pPr>
          </w:p>
        </w:tc>
      </w:tr>
      <w:tr>
        <w:trPr>
          <w:trHeight w:val="23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2023</w:t>
            </w:r>
          </w:p>
        </w:tc>
        <w:tc>
          <w:tcPr>
            <w:tcW w:w="10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r>
      <w:tr>
        <w:trPr>
          <w:trHeight w:val="229"/>
        </w:trPr>
        <w:tc>
          <w:tcPr>
            <w:tcW w:w="10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r>
      <w:tr>
        <w:trPr>
          <w:trHeight w:val="234"/>
        </w:trPr>
        <w:tc>
          <w:tcPr>
            <w:tcW w:w="10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r>
      <w:tr>
        <w:trPr>
          <w:trHeight w:val="743"/>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720" w:type="dxa"/>
            <w:vAlign w:val="bottom"/>
          </w:tcPr>
          <w:p>
            <w:pPr>
              <w:spacing w:after="0"/>
              <w:rPr>
                <w:sz w:val="24"/>
                <w:szCs w:val="24"/>
                <w:color w:val="auto"/>
              </w:rPr>
            </w:pPr>
          </w:p>
        </w:tc>
      </w:tr>
      <w:tr>
        <w:trPr>
          <w:trHeight w:val="432"/>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9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Exhibits</w:t>
            </w:r>
          </w:p>
        </w:tc>
        <w:tc>
          <w:tcPr>
            <w:tcW w:w="9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Pr>
          <w:p>
            <w:pPr>
              <w:spacing w:after="0"/>
              <w:rPr>
                <w:sz w:val="24"/>
                <w:szCs w:val="24"/>
                <w:color w:val="auto"/>
              </w:rPr>
            </w:pPr>
          </w:p>
        </w:tc>
      </w:tr>
      <w:tr>
        <w:trPr>
          <w:trHeight w:val="169"/>
        </w:trPr>
        <w:tc>
          <w:tcPr>
            <w:tcW w:w="1100" w:type="dxa"/>
            <w:vAlign w:val="bottom"/>
            <w:tcBorders>
              <w:top w:val="single" w:sz="8" w:color="auto"/>
            </w:tcBorders>
            <w:shd w:val="clear" w:color="auto" w:fill="CCEEFF"/>
          </w:tcPr>
          <w:p>
            <w:pPr>
              <w:ind w:left="20"/>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2.1</w:t>
              </w:r>
            </w:hyperlink>
          </w:p>
        </w:tc>
        <w:tc>
          <w:tcPr>
            <w:tcW w:w="10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auto"/>
            </w:tcBorders>
            <w:gridSpan w:val="2"/>
            <w:shd w:val="clear" w:color="auto" w:fill="CCEEFF"/>
          </w:tcPr>
          <w:p>
            <w:pPr>
              <w:ind w:left="20"/>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Amended and Restated Contribution Agreement, dated as of April 17, 2018, by and among Priority Investment Holdings, Priority</w:t>
              </w:r>
            </w:hyperlink>
          </w:p>
        </w:tc>
      </w:tr>
      <w:tr>
        <w:trPr>
          <w:trHeight w:val="175"/>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Incentive Equity Holdings, LLC and M I Acquisitions, Inc. (incorporated by reference to Annex A to the Company's Proxy Statement on</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Schedule 14(a), filed July 5, 2018).</w:t>
              </w:r>
            </w:hyperlink>
          </w:p>
        </w:tc>
        <w:tc>
          <w:tcPr>
            <w:tcW w:w="720" w:type="dxa"/>
            <w:vAlign w:val="bottom"/>
            <w:shd w:val="clear" w:color="auto" w:fill="CCEEFF"/>
          </w:tcPr>
          <w:p>
            <w:pPr>
              <w:spacing w:after="0"/>
              <w:rPr>
                <w:sz w:val="21"/>
                <w:szCs w:val="21"/>
                <w:color w:val="auto"/>
              </w:rPr>
            </w:pPr>
          </w:p>
        </w:tc>
      </w:tr>
      <w:tr>
        <w:trPr>
          <w:trHeight w:val="175"/>
        </w:trPr>
        <w:tc>
          <w:tcPr>
            <w:tcW w:w="120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 xml:space="preserve">2.2 </w:t>
              </w:r>
            </w:hyperlink>
            <w:r>
              <w:rPr>
                <w:rFonts w:ascii="Arial" w:cs="Arial" w:eastAsia="Arial" w:hAnsi="Arial"/>
                <w:sz w:val="18"/>
                <w:szCs w:val="18"/>
                <w:color w:val="000000"/>
              </w:rPr>
              <w:t>†</w:t>
            </w: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Agreement and Plan of Merger, dated as of March 5, 2021, by and among the Company, Finxera, Merger Sub, and the Equityholder</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Representative (incorporated by reference).</w:t>
              </w:r>
            </w:hyperlink>
          </w:p>
        </w:tc>
        <w:tc>
          <w:tcPr>
            <w:tcW w:w="720" w:type="dxa"/>
            <w:vAlign w:val="bottom"/>
          </w:tcPr>
          <w:p>
            <w:pPr>
              <w:spacing w:after="0"/>
              <w:rPr>
                <w:sz w:val="20"/>
                <w:szCs w:val="20"/>
                <w:color w:val="auto"/>
              </w:rPr>
            </w:pPr>
          </w:p>
        </w:tc>
      </w:tr>
      <w:tr>
        <w:trPr>
          <w:trHeight w:val="180"/>
        </w:trPr>
        <w:tc>
          <w:tcPr>
            <w:tcW w:w="11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2.3</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Certificate of Amendment to the Certificate of Incorporation of Priority Technology Holdings dated April 16, 2021, filed April 29, 2021</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w:t>
              </w:r>
            </w:hyperlink>
          </w:p>
        </w:tc>
        <w:tc>
          <w:tcPr>
            <w:tcW w:w="720" w:type="dxa"/>
            <w:vAlign w:val="bottom"/>
            <w:shd w:val="clear" w:color="auto" w:fill="CCEEFF"/>
          </w:tcPr>
          <w:p>
            <w:pPr>
              <w:spacing w:after="0"/>
              <w:rPr>
                <w:sz w:val="21"/>
                <w:szCs w:val="21"/>
                <w:color w:val="auto"/>
              </w:rPr>
            </w:pPr>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2.4</w:t>
              </w:r>
            </w:hyperlink>
          </w:p>
        </w:tc>
        <w:tc>
          <w:tcPr>
            <w:tcW w:w="100" w:type="dxa"/>
            <w:vAlign w:val="bottom"/>
          </w:tcPr>
          <w:p>
            <w:pPr>
              <w:spacing w:after="0"/>
              <w:rPr>
                <w:sz w:val="15"/>
                <w:szCs w:val="15"/>
                <w:color w:val="auto"/>
              </w:rPr>
            </w:pP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Agreement and Plan of Merger by and among the Company, Finxera Holdings, Inc., Prime Warrior Acquisition Corp., and Stone Point</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Capital LLC (incorporated by reference).</w:t>
              </w:r>
            </w:hyperlink>
          </w:p>
        </w:tc>
        <w:tc>
          <w:tcPr>
            <w:tcW w:w="720" w:type="dxa"/>
            <w:vAlign w:val="bottom"/>
          </w:tcPr>
          <w:p>
            <w:pPr>
              <w:spacing w:after="0"/>
              <w:rPr>
                <w:sz w:val="20"/>
                <w:szCs w:val="20"/>
                <w:color w:val="auto"/>
              </w:rPr>
            </w:pPr>
          </w:p>
        </w:tc>
      </w:tr>
      <w:tr>
        <w:trPr>
          <w:trHeight w:val="180"/>
        </w:trPr>
        <w:tc>
          <w:tcPr>
            <w:tcW w:w="11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3.1</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80"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Second Amended and Restated Certificate of Incorporation of Priority Technology Holdings, Inc. (incorporated by reference to Exhibit 3.1</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to the Company's Current Report on Form 8-K, filed July 31, 2018).</w:t>
              </w:r>
            </w:hyperlink>
          </w:p>
        </w:tc>
        <w:tc>
          <w:tcPr>
            <w:tcW w:w="720" w:type="dxa"/>
            <w:vAlign w:val="bottom"/>
            <w:shd w:val="clear" w:color="auto" w:fill="CCEEFF"/>
          </w:tcPr>
          <w:p>
            <w:pPr>
              <w:spacing w:after="0"/>
              <w:rPr>
                <w:sz w:val="21"/>
                <w:szCs w:val="21"/>
                <w:color w:val="auto"/>
              </w:rPr>
            </w:pPr>
          </w:p>
        </w:tc>
      </w:tr>
      <w:tr>
        <w:trPr>
          <w:trHeight w:val="175"/>
        </w:trPr>
        <w:tc>
          <w:tcPr>
            <w:tcW w:w="1100" w:type="dxa"/>
            <w:vAlign w:val="bottom"/>
          </w:tcPr>
          <w:p>
            <w:pPr>
              <w:ind w:left="20"/>
              <w:spacing w:after="0" w:line="17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3.2</w:t>
              </w:r>
            </w:hyperlink>
          </w:p>
        </w:tc>
        <w:tc>
          <w:tcPr>
            <w:tcW w:w="100" w:type="dxa"/>
            <w:vAlign w:val="bottom"/>
          </w:tcPr>
          <w:p>
            <w:pPr>
              <w:spacing w:after="0"/>
              <w:rPr>
                <w:sz w:val="15"/>
                <w:szCs w:val="15"/>
                <w:color w:val="auto"/>
              </w:rPr>
            </w:pP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Bylaws of Priority Technology Holdings, Inc. (incorporated by reference to Exhibit 3.2 to the Company's Current</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Report on Form 8-K, filed July 31, 2018).</w:t>
              </w:r>
            </w:hyperlink>
          </w:p>
        </w:tc>
        <w:tc>
          <w:tcPr>
            <w:tcW w:w="720" w:type="dxa"/>
            <w:vAlign w:val="bottom"/>
          </w:tcPr>
          <w:p>
            <w:pPr>
              <w:spacing w:after="0"/>
              <w:rPr>
                <w:sz w:val="20"/>
                <w:szCs w:val="20"/>
                <w:color w:val="auto"/>
              </w:rPr>
            </w:pPr>
          </w:p>
        </w:tc>
      </w:tr>
      <w:tr>
        <w:trPr>
          <w:trHeight w:val="234"/>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3.3</w:t>
              </w:r>
            </w:hyperlink>
          </w:p>
        </w:tc>
        <w:tc>
          <w:tcPr>
            <w:tcW w:w="100" w:type="dxa"/>
            <w:vAlign w:val="bottom"/>
            <w:shd w:val="clear" w:color="auto" w:fill="CCEEFF"/>
          </w:tcPr>
          <w:p>
            <w:pPr>
              <w:spacing w:after="0"/>
              <w:rPr>
                <w:sz w:val="20"/>
                <w:szCs w:val="20"/>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Certificate of Designations of Senior Preferred Stock (incorporated by reference).</w:t>
              </w:r>
            </w:hyperlink>
          </w:p>
        </w:tc>
        <w:tc>
          <w:tcPr>
            <w:tcW w:w="720" w:type="dxa"/>
            <w:vAlign w:val="bottom"/>
            <w:shd w:val="clear" w:color="auto" w:fill="CCEEFF"/>
          </w:tcPr>
          <w:p>
            <w:pPr>
              <w:spacing w:after="0"/>
              <w:rPr>
                <w:sz w:val="20"/>
                <w:szCs w:val="20"/>
                <w:color w:val="auto"/>
              </w:rPr>
            </w:pPr>
          </w:p>
        </w:tc>
      </w:tr>
      <w:tr>
        <w:trPr>
          <w:trHeight w:val="229"/>
        </w:trPr>
        <w:tc>
          <w:tcPr>
            <w:tcW w:w="1100" w:type="dxa"/>
            <w:vAlign w:val="bottom"/>
          </w:tcPr>
          <w:p>
            <w:pPr>
              <w:ind w:left="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4.1</w:t>
              </w:r>
            </w:hyperlink>
          </w:p>
        </w:tc>
        <w:tc>
          <w:tcPr>
            <w:tcW w:w="100" w:type="dxa"/>
            <w:vAlign w:val="bottom"/>
          </w:tcPr>
          <w:p>
            <w:pPr>
              <w:spacing w:after="0"/>
              <w:rPr>
                <w:sz w:val="19"/>
                <w:szCs w:val="19"/>
                <w:color w:val="auto"/>
              </w:rPr>
            </w:pPr>
          </w:p>
        </w:tc>
        <w:tc>
          <w:tcPr>
            <w:tcW w:w="10040" w:type="dxa"/>
            <w:vAlign w:val="bottom"/>
            <w:gridSpan w:val="2"/>
          </w:tcPr>
          <w:p>
            <w:pPr>
              <w:ind w:left="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Specimen Unit Certificate (incorporated by reference to Exhibit 4.1 to the Registration Statement on Form S-1, filed July 26, 2016</w:t>
              </w:r>
            </w:hyperlink>
            <w:r>
              <w:rPr>
                <w:rFonts w:ascii="Times New Roman" w:cs="Times New Roman" w:eastAsia="Times New Roman" w:hAnsi="Times New Roman"/>
                <w:sz w:val="18"/>
                <w:szCs w:val="18"/>
                <w:color w:val="000000"/>
              </w:rPr>
              <w:t>).</w:t>
            </w:r>
          </w:p>
        </w:tc>
      </w:tr>
      <w:tr>
        <w:trPr>
          <w:trHeight w:val="176"/>
        </w:trPr>
        <w:tc>
          <w:tcPr>
            <w:tcW w:w="11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4.2</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Specimen Common Stock Certificate (incorporated by reference to Exhibit 4.2 to the Registration Statement on Form S-1, filed July 26,</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2016).</w:t>
              </w:r>
            </w:hyperlink>
          </w:p>
        </w:tc>
        <w:tc>
          <w:tcPr>
            <w:tcW w:w="720" w:type="dxa"/>
            <w:vAlign w:val="bottom"/>
            <w:shd w:val="clear" w:color="auto" w:fill="CCEEFF"/>
          </w:tcPr>
          <w:p>
            <w:pPr>
              <w:spacing w:after="0"/>
              <w:rPr>
                <w:sz w:val="21"/>
                <w:szCs w:val="21"/>
                <w:color w:val="auto"/>
              </w:rPr>
            </w:pPr>
          </w:p>
        </w:tc>
      </w:tr>
      <w:tr>
        <w:trPr>
          <w:trHeight w:val="230"/>
        </w:trPr>
        <w:tc>
          <w:tcPr>
            <w:tcW w:w="1100" w:type="dxa"/>
            <w:vAlign w:val="bottom"/>
          </w:tcPr>
          <w:p>
            <w:pPr>
              <w:ind w:left="2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4.3</w:t>
              </w:r>
            </w:hyperlink>
          </w:p>
        </w:tc>
        <w:tc>
          <w:tcPr>
            <w:tcW w:w="100" w:type="dxa"/>
            <w:vAlign w:val="bottom"/>
          </w:tcPr>
          <w:p>
            <w:pPr>
              <w:spacing w:after="0"/>
              <w:rPr>
                <w:sz w:val="19"/>
                <w:szCs w:val="19"/>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Description of Securities (incorporated by reference).</w:t>
              </w:r>
            </w:hyperlink>
          </w:p>
        </w:tc>
        <w:tc>
          <w:tcPr>
            <w:tcW w:w="720" w:type="dxa"/>
            <w:vAlign w:val="bottom"/>
          </w:tcPr>
          <w:p>
            <w:pPr>
              <w:spacing w:after="0"/>
              <w:rPr>
                <w:sz w:val="19"/>
                <w:szCs w:val="19"/>
                <w:color w:val="auto"/>
              </w:rPr>
            </w:pPr>
          </w:p>
        </w:tc>
      </w:tr>
      <w:tr>
        <w:trPr>
          <w:trHeight w:val="175"/>
        </w:trPr>
        <w:tc>
          <w:tcPr>
            <w:tcW w:w="11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10.1</w:t>
              </w:r>
            </w:hyperlink>
          </w:p>
        </w:tc>
        <w:tc>
          <w:tcPr>
            <w:tcW w:w="10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20"/>
              <w:spacing w:after="0" w:line="17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Registration Rights Agreement dated as of July 25, 2018 by and among M I Acquisitions, Inc. and the other parties thereto (incorporated</w:t>
              </w:r>
            </w:hyperlink>
          </w:p>
        </w:tc>
      </w:tr>
      <w:tr>
        <w:trPr>
          <w:trHeight w:val="243"/>
        </w:trPr>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by reference to Exhibit 10.1 to the Company's Current Report on Form 8-K, filed July 31, 2018).</w:t>
              </w:r>
            </w:hyperlink>
          </w:p>
        </w:tc>
        <w:tc>
          <w:tcPr>
            <w:tcW w:w="720" w:type="dxa"/>
            <w:vAlign w:val="bottom"/>
            <w:shd w:val="clear" w:color="auto" w:fill="CCEEFF"/>
          </w:tcPr>
          <w:p>
            <w:pPr>
              <w:spacing w:after="0"/>
              <w:rPr>
                <w:sz w:val="21"/>
                <w:szCs w:val="21"/>
                <w:color w:val="auto"/>
              </w:rPr>
            </w:pPr>
          </w:p>
        </w:tc>
      </w:tr>
      <w:tr>
        <w:trPr>
          <w:trHeight w:val="175"/>
        </w:trPr>
        <w:tc>
          <w:tcPr>
            <w:tcW w:w="1200" w:type="dxa"/>
            <w:vAlign w:val="bottom"/>
            <w:gridSpan w:val="2"/>
          </w:tcPr>
          <w:p>
            <w:pPr>
              <w:ind w:left="20"/>
              <w:spacing w:after="0" w:line="175"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 xml:space="preserve">10.2 </w:t>
              </w:r>
            </w:hyperlink>
            <w:r>
              <w:rPr>
                <w:rFonts w:ascii="Arial" w:cs="Arial" w:eastAsia="Arial" w:hAnsi="Arial"/>
                <w:sz w:val="18"/>
                <w:szCs w:val="18"/>
                <w:color w:val="000000"/>
              </w:rPr>
              <w:t>†</w:t>
            </w:r>
          </w:p>
        </w:tc>
        <w:tc>
          <w:tcPr>
            <w:tcW w:w="10040" w:type="dxa"/>
            <w:vAlign w:val="bottom"/>
            <w:gridSpan w:val="2"/>
          </w:tcPr>
          <w:p>
            <w:pPr>
              <w:ind w:left="20"/>
              <w:spacing w:after="0" w:line="17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Priority Technology Holdings, Inc. 2018 Equity Incentive Plan (incorporated by reference to Exhibit 10.2 to the Company's Current</w:t>
              </w:r>
            </w:hyperlink>
          </w:p>
        </w:tc>
      </w:tr>
      <w:tr>
        <w:trPr>
          <w:trHeight w:val="239"/>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Report on Form 8-K, filed July 31, 2018).</w:t>
              </w:r>
            </w:hyperlink>
          </w:p>
        </w:tc>
        <w:tc>
          <w:tcPr>
            <w:tcW w:w="720" w:type="dxa"/>
            <w:vAlign w:val="bottom"/>
          </w:tcPr>
          <w:p>
            <w:pPr>
              <w:spacing w:after="0"/>
              <w:rPr>
                <w:sz w:val="20"/>
                <w:szCs w:val="20"/>
                <w:color w:val="auto"/>
              </w:rPr>
            </w:pPr>
          </w:p>
        </w:tc>
      </w:tr>
      <w:tr>
        <w:trPr>
          <w:trHeight w:val="234"/>
        </w:trPr>
        <w:tc>
          <w:tcPr>
            <w:tcW w:w="11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10.3</w:t>
              </w:r>
            </w:hyperlink>
          </w:p>
        </w:tc>
        <w:tc>
          <w:tcPr>
            <w:tcW w:w="100" w:type="dxa"/>
            <w:vAlign w:val="bottom"/>
            <w:shd w:val="clear" w:color="auto" w:fill="CCEEFF"/>
          </w:tcPr>
          <w:p>
            <w:pPr>
              <w:spacing w:after="0"/>
              <w:rPr>
                <w:sz w:val="20"/>
                <w:szCs w:val="20"/>
                <w:color w:val="auto"/>
              </w:rPr>
            </w:pPr>
          </w:p>
        </w:tc>
        <w:tc>
          <w:tcPr>
            <w:tcW w:w="932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Priority Technology Holdings, Inc. 2021 Employee Stock Purchase Plan (incorporated by reference).</w:t>
              </w:r>
            </w:hyperlink>
          </w:p>
        </w:tc>
        <w:tc>
          <w:tcPr>
            <w:tcW w:w="720" w:type="dxa"/>
            <w:vAlign w:val="bottom"/>
            <w:shd w:val="clear" w:color="auto" w:fill="CCEEFF"/>
          </w:tcPr>
          <w:p>
            <w:pPr>
              <w:spacing w:after="0"/>
              <w:rPr>
                <w:sz w:val="20"/>
                <w:szCs w:val="20"/>
                <w:color w:val="auto"/>
              </w:rPr>
            </w:pPr>
          </w:p>
        </w:tc>
      </w:tr>
      <w:tr>
        <w:trPr>
          <w:trHeight w:val="234"/>
        </w:trPr>
        <w:tc>
          <w:tcPr>
            <w:tcW w:w="1100" w:type="dxa"/>
            <w:vAlign w:val="bottom"/>
          </w:tcPr>
          <w:p>
            <w:pPr>
              <w:ind w:lef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10.3.1</w:t>
              </w:r>
            </w:hyperlink>
          </w:p>
        </w:tc>
        <w:tc>
          <w:tcPr>
            <w:tcW w:w="100" w:type="dxa"/>
            <w:vAlign w:val="bottom"/>
          </w:tcPr>
          <w:p>
            <w:pPr>
              <w:spacing w:after="0"/>
              <w:rPr>
                <w:sz w:val="20"/>
                <w:szCs w:val="20"/>
                <w:color w:val="auto"/>
              </w:rPr>
            </w:pPr>
          </w:p>
        </w:tc>
        <w:tc>
          <w:tcPr>
            <w:tcW w:w="9320" w:type="dxa"/>
            <w:vAlign w:val="bottom"/>
          </w:tcPr>
          <w:p>
            <w:pPr>
              <w:ind w:left="20"/>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Amendment No. 1 to Priority Technology Holdings, Inc. 2021 Employee Stock Purchase Plan (incorporated by reference).</w:t>
              </w:r>
            </w:hyperlink>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10.3.2</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No. 2 to Priority Technology Holdings, Inc. 2021 Employee Stock Purchase Plan (incorporated by reference).</w:t>
              </w:r>
            </w:hyperlink>
          </w:p>
        </w:tc>
      </w:tr>
      <w:tr>
        <w:trPr>
          <w:trHeight w:val="176"/>
        </w:trPr>
        <w:tc>
          <w:tcPr>
            <w:tcW w:w="900" w:type="dxa"/>
            <w:vAlign w:val="bottom"/>
          </w:tcPr>
          <w:p>
            <w:pPr>
              <w:ind w:left="20"/>
              <w:spacing w:after="0" w:line="175"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10.5 </w:t>
              </w:r>
            </w:hyperlink>
            <w:r>
              <w:rPr>
                <w:rFonts w:ascii="Arial" w:cs="Arial" w:eastAsia="Arial" w:hAnsi="Arial"/>
                <w:sz w:val="18"/>
                <w:szCs w:val="18"/>
                <w:color w:val="000000"/>
              </w:rPr>
              <w:t>†</w:t>
            </w:r>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Director Agreement by and among Priority Holdings LLC, Pipeline Cynergy Holdings, LLC, Priority Payment Systems Holdings, LLC</w:t>
              </w:r>
            </w:hyperlink>
          </w:p>
        </w:tc>
      </w:tr>
      <w:tr>
        <w:trPr>
          <w:trHeight w:val="184"/>
        </w:trPr>
        <w:tc>
          <w:tcPr>
            <w:tcW w:w="900" w:type="dxa"/>
            <w:vAlign w:val="bottom"/>
          </w:tcPr>
          <w:p>
            <w:pPr>
              <w:spacing w:after="0"/>
              <w:rPr>
                <w:sz w:val="16"/>
                <w:szCs w:val="16"/>
                <w:color w:val="auto"/>
              </w:rPr>
            </w:pPr>
          </w:p>
        </w:tc>
        <w:tc>
          <w:tcPr>
            <w:tcW w:w="10340" w:type="dxa"/>
            <w:vAlign w:val="bottom"/>
          </w:tcPr>
          <w:p>
            <w:pPr>
              <w:ind w:left="320"/>
              <w:spacing w:after="0" w:line="18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and Thomas C. Priore, dated May 21, 2014 (incorporated by reference to Exhibit 10.6 to the Company's Registration Statement on Form</w:t>
              </w:r>
            </w:hyperlink>
          </w:p>
        </w:tc>
      </w:tr>
      <w:tr>
        <w:trPr>
          <w:trHeight w:val="234"/>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S-4/A, filed December 26, 2018).</w:t>
              </w:r>
            </w:hyperlink>
          </w:p>
        </w:tc>
      </w:tr>
      <w:tr>
        <w:trPr>
          <w:trHeight w:val="176"/>
        </w:trPr>
        <w:tc>
          <w:tcPr>
            <w:tcW w:w="900" w:type="dxa"/>
            <w:vAlign w:val="bottom"/>
            <w:shd w:val="clear" w:color="auto" w:fill="CCEEFF"/>
          </w:tcPr>
          <w:p>
            <w:pPr>
              <w:ind w:left="20"/>
              <w:spacing w:after="0" w:line="175"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 xml:space="preserve">10.6 </w:t>
              </w:r>
            </w:hyperlink>
            <w:r>
              <w:rPr>
                <w:rFonts w:ascii="Arial" w:cs="Arial" w:eastAsia="Arial" w:hAnsi="Arial"/>
                <w:sz w:val="18"/>
                <w:szCs w:val="18"/>
                <w:color w:val="000000"/>
              </w:rPr>
              <w:t>†</w:t>
            </w:r>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Amendment No. 1 to Director Agreement by and among Priority Holdings LLC, Pipeline Cynergy Holdings, LLC, Priority Payment</w:t>
              </w:r>
            </w:hyperlink>
          </w:p>
        </w:tc>
      </w:tr>
      <w:tr>
        <w:trPr>
          <w:trHeight w:val="184"/>
        </w:trPr>
        <w:tc>
          <w:tcPr>
            <w:tcW w:w="900" w:type="dxa"/>
            <w:vAlign w:val="bottom"/>
            <w:shd w:val="clear" w:color="auto" w:fill="CCEEFF"/>
          </w:tcPr>
          <w:p>
            <w:pPr>
              <w:spacing w:after="0"/>
              <w:rPr>
                <w:sz w:val="16"/>
                <w:szCs w:val="16"/>
                <w:color w:val="auto"/>
              </w:rPr>
            </w:pPr>
          </w:p>
        </w:tc>
        <w:tc>
          <w:tcPr>
            <w:tcW w:w="10340" w:type="dxa"/>
            <w:vAlign w:val="bottom"/>
            <w:shd w:val="clear" w:color="auto" w:fill="CCEEFF"/>
          </w:tcPr>
          <w:p>
            <w:pPr>
              <w:ind w:left="320"/>
              <w:spacing w:after="0" w:line="18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Systems Holdings, LLC and Thomas C. Priore, dated April 19, 2018 (incorporated by reference to Exhibit 10.7 to the Company's</w:t>
              </w:r>
            </w:hyperlink>
          </w:p>
        </w:tc>
      </w:tr>
      <w:tr>
        <w:trPr>
          <w:trHeight w:val="234"/>
        </w:trPr>
        <w:tc>
          <w:tcPr>
            <w:tcW w:w="900" w:type="dxa"/>
            <w:vAlign w:val="bottom"/>
            <w:shd w:val="clear" w:color="auto" w:fill="CCEEFF"/>
          </w:tcPr>
          <w:p>
            <w:pPr>
              <w:spacing w:after="0"/>
              <w:rPr>
                <w:sz w:val="20"/>
                <w:szCs w:val="20"/>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Registration Statement on Form S-4/A, filed December 26, 2018).</w:t>
              </w:r>
            </w:hyperlink>
          </w:p>
        </w:tc>
      </w:tr>
      <w:tr>
        <w:trPr>
          <w:trHeight w:val="229"/>
        </w:trPr>
        <w:tc>
          <w:tcPr>
            <w:tcW w:w="900" w:type="dxa"/>
            <w:vAlign w:val="bottom"/>
          </w:tcPr>
          <w:p>
            <w:pPr>
              <w:ind w:left="20"/>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10.7</w:t>
              </w:r>
            </w:hyperlink>
          </w:p>
        </w:tc>
        <w:tc>
          <w:tcPr>
            <w:tcW w:w="10340" w:type="dxa"/>
            <w:vAlign w:val="bottom"/>
          </w:tcPr>
          <w:p>
            <w:pPr>
              <w:ind w:left="320"/>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Executive Employment Agreement of Bradley Miller dated April 15, 2022 (incorporated by reference)</w:t>
              </w:r>
            </w:hyperlink>
            <w:r>
              <w:rPr>
                <w:rFonts w:ascii="Times New Roman" w:cs="Times New Roman" w:eastAsia="Times New Roman" w:hAnsi="Times New Roman"/>
                <w:sz w:val="18"/>
                <w:szCs w:val="18"/>
                <w:color w:val="000000"/>
              </w:rPr>
              <w:t>.</w:t>
            </w:r>
          </w:p>
        </w:tc>
      </w:tr>
      <w:tr>
        <w:trPr>
          <w:trHeight w:val="230"/>
        </w:trPr>
        <w:tc>
          <w:tcPr>
            <w:tcW w:w="9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10.8</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Executive Employment Agreement of Timothy O'Leary dated September 19, 2022 (incorporated by reference)</w:t>
              </w:r>
            </w:hyperlink>
            <w:r>
              <w:rPr>
                <w:rFonts w:ascii="Times New Roman" w:cs="Times New Roman" w:eastAsia="Times New Roman" w:hAnsi="Times New Roman"/>
                <w:sz w:val="18"/>
                <w:szCs w:val="18"/>
                <w:color w:val="000000"/>
              </w:rPr>
              <w:t>.</w:t>
            </w:r>
          </w:p>
        </w:tc>
      </w:tr>
      <w:tr>
        <w:trPr>
          <w:trHeight w:val="229"/>
        </w:trPr>
        <w:tc>
          <w:tcPr>
            <w:tcW w:w="900" w:type="dxa"/>
            <w:vAlign w:val="bottom"/>
          </w:tcPr>
          <w:p>
            <w:pPr>
              <w:ind w:left="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10.9</w:t>
              </w:r>
            </w:hyperlink>
          </w:p>
        </w:tc>
        <w:tc>
          <w:tcPr>
            <w:tcW w:w="10340" w:type="dxa"/>
            <w:vAlign w:val="bottom"/>
          </w:tcPr>
          <w:p>
            <w:pPr>
              <w:ind w:left="320"/>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Restricted Stock Unit Award Agreement (incorporated by reference).</w:t>
              </w:r>
            </w:hyperlink>
          </w:p>
        </w:tc>
      </w:tr>
      <w:tr>
        <w:trPr>
          <w:trHeight w:val="176"/>
        </w:trPr>
        <w:tc>
          <w:tcPr>
            <w:tcW w:w="900" w:type="dxa"/>
            <w:vAlign w:val="bottom"/>
            <w:shd w:val="clear" w:color="auto" w:fill="CCEEFF"/>
          </w:tcPr>
          <w:p>
            <w:pPr>
              <w:ind w:left="20"/>
              <w:spacing w:after="0" w:line="175"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 xml:space="preserve">10.10 </w:t>
              </w:r>
            </w:hyperlink>
            <w:r>
              <w:rPr>
                <w:rFonts w:ascii="Arial" w:cs="Arial" w:eastAsia="Arial" w:hAnsi="Arial"/>
                <w:sz w:val="18"/>
                <w:szCs w:val="18"/>
                <w:color w:val="000000"/>
              </w:rPr>
              <w:t>†</w:t>
            </w:r>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Independent Director Agreement (incorporated by reference to Exhibit 10.19 to the Company's Annual Report on Form 10-K,</w:t>
              </w:r>
            </w:hyperlink>
          </w:p>
        </w:tc>
      </w:tr>
      <w:tr>
        <w:trPr>
          <w:trHeight w:val="243"/>
        </w:trPr>
        <w:tc>
          <w:tcPr>
            <w:tcW w:w="90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filed March 29, 2019).</w:t>
              </w:r>
            </w:hyperlink>
          </w:p>
        </w:tc>
      </w:tr>
      <w:tr>
        <w:trPr>
          <w:trHeight w:val="176"/>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10.11</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Asset Purchase Agreement by and between MRI Payments LLC, MRI Software LLC, and Priority Real Estate Technology LLC, dated</w:t>
              </w:r>
            </w:hyperlink>
          </w:p>
        </w:tc>
      </w:tr>
      <w:tr>
        <w:trPr>
          <w:trHeight w:val="239"/>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August 31, 2020 (incorporated by reference to Exhibit 10.1 to the Company's Current Report on Form 8-K filed September 1, 2020).</w:t>
              </w:r>
            </w:hyperlink>
          </w:p>
        </w:tc>
      </w:tr>
      <w:tr>
        <w:trPr>
          <w:trHeight w:val="234"/>
        </w:trPr>
        <w:tc>
          <w:tcPr>
            <w:tcW w:w="900" w:type="dxa"/>
            <w:vAlign w:val="bottom"/>
            <w:shd w:val="clear" w:color="auto" w:fill="CCEEFF"/>
          </w:tcPr>
          <w:p>
            <w:pPr>
              <w:ind w:left="20"/>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10.12</w:t>
              </w:r>
            </w:hyperlink>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Support Agreement, dated as of March 5, 2021, by and among the Shareholders' and Finxera (incorporated by reference).</w:t>
              </w:r>
            </w:hyperlink>
          </w:p>
        </w:tc>
      </w:tr>
      <w:tr>
        <w:trPr>
          <w:trHeight w:val="175"/>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13</w:t>
            </w:r>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Registration Rights Agreement, dated as of September 17, 2021 by and among Priority Technology Holdings, Inc.</w:t>
              </w:r>
            </w:hyperlink>
          </w:p>
        </w:tc>
      </w:tr>
      <w:tr>
        <w:trPr>
          <w:trHeight w:val="239"/>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and the stockholders party thereto (incorporated by reference).</w:t>
              </w:r>
            </w:hyperlink>
          </w:p>
        </w:tc>
      </w:tr>
      <w:tr>
        <w:trPr>
          <w:trHeight w:val="180"/>
        </w:trPr>
        <w:tc>
          <w:tcPr>
            <w:tcW w:w="9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14</w:t>
            </w:r>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No. 1 to Equity and Asset Purchase Agreement, dated July 31, 2023, by and among Plastiq, Powered by Priority, LLC,</w:t>
              </w:r>
            </w:hyperlink>
          </w:p>
        </w:tc>
      </w:tr>
      <w:tr>
        <w:trPr>
          <w:trHeight w:val="243"/>
        </w:trPr>
        <w:tc>
          <w:tcPr>
            <w:tcW w:w="90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Plastiq Inc., PLV Inc. and Nearside Business Corp (incorporated by reference).</w:t>
              </w:r>
            </w:hyperlink>
          </w:p>
        </w:tc>
      </w:tr>
      <w:tr>
        <w:trPr>
          <w:trHeight w:val="176"/>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15</w:t>
            </w:r>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Side Letter Agreement, dated July 28, 2023, by and between Plastiq, Powered by Priority, LLC and Colonnade Acquisition Corp. II</w:t>
              </w:r>
            </w:hyperlink>
          </w:p>
        </w:tc>
      </w:tr>
      <w:tr>
        <w:trPr>
          <w:trHeight w:val="239"/>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w:t>
              </w:r>
            </w:hyperlink>
          </w:p>
        </w:tc>
      </w:tr>
      <w:tr>
        <w:trPr>
          <w:trHeight w:val="180"/>
        </w:trPr>
        <w:tc>
          <w:tcPr>
            <w:tcW w:w="9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16</w:t>
            </w:r>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Earnout Agreement, dated July 31, 2023, by and among Plastiq, Powered by Priority, LLC, Plastiq Inc., PLV Inc., Nearside Business</w:t>
              </w:r>
            </w:hyperlink>
          </w:p>
        </w:tc>
      </w:tr>
      <w:tr>
        <w:trPr>
          <w:trHeight w:val="243"/>
        </w:trPr>
        <w:tc>
          <w:tcPr>
            <w:tcW w:w="90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Corp., Blue Torch Finance, LLC and Priority Holdings, LLC (incorporated by reference).</w:t>
              </w:r>
            </w:hyperlink>
          </w:p>
        </w:tc>
      </w:tr>
      <w:tr>
        <w:trPr>
          <w:trHeight w:val="176"/>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10.1</w:t>
              </w:r>
            </w:hyperlink>
            <w:r>
              <w:rPr>
                <w:rFonts w:ascii="Times New Roman" w:cs="Times New Roman" w:eastAsia="Times New Roman" w:hAnsi="Times New Roman"/>
                <w:sz w:val="18"/>
                <w:szCs w:val="18"/>
                <w:color w:val="000000"/>
              </w:rPr>
              <w:t>7</w:t>
            </w:r>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Priority Technology Holdings, Inc. Amended and Restated Certificate of Designations of the Powers, Preferences and Relative,</w:t>
              </w:r>
            </w:hyperlink>
          </w:p>
        </w:tc>
      </w:tr>
      <w:tr>
        <w:trPr>
          <w:trHeight w:val="184"/>
        </w:trPr>
        <w:tc>
          <w:tcPr>
            <w:tcW w:w="900" w:type="dxa"/>
            <w:vAlign w:val="bottom"/>
          </w:tcPr>
          <w:p>
            <w:pPr>
              <w:spacing w:after="0"/>
              <w:rPr>
                <w:sz w:val="16"/>
                <w:szCs w:val="16"/>
                <w:color w:val="auto"/>
              </w:rPr>
            </w:pPr>
          </w:p>
        </w:tc>
        <w:tc>
          <w:tcPr>
            <w:tcW w:w="10340" w:type="dxa"/>
            <w:vAlign w:val="bottom"/>
          </w:tcPr>
          <w:p>
            <w:pPr>
              <w:ind w:left="320"/>
              <w:spacing w:after="0" w:line="184"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Participating, Optional and Other Special Rights, and Qualifications, Limitations and Restrictions thereof, of Senior Preferred Stock</w:t>
              </w:r>
            </w:hyperlink>
          </w:p>
        </w:tc>
      </w:tr>
      <w:tr>
        <w:trPr>
          <w:trHeight w:val="234"/>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(incorporated by reference).</w:t>
              </w:r>
            </w:hyperlink>
          </w:p>
        </w:tc>
      </w:tr>
      <w:tr>
        <w:trPr>
          <w:trHeight w:val="175"/>
        </w:trPr>
        <w:tc>
          <w:tcPr>
            <w:tcW w:w="9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10.18</w:t>
              </w:r>
            </w:hyperlink>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Credit and Guaranty Agreement, dated as of May 16, 2024, by and among Priority Holdings, LLC, as the Initial Borrower, the Credit</w:t>
              </w:r>
            </w:hyperlink>
          </w:p>
        </w:tc>
      </w:tr>
      <w:tr>
        <w:trPr>
          <w:trHeight w:val="243"/>
        </w:trPr>
        <w:tc>
          <w:tcPr>
            <w:tcW w:w="90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Parties party thereto, the Lenders party thereto and Truist Bank, as Administrative Agent and Collateral Agent (incorporated by reference).</w:t>
              </w:r>
            </w:hyperlink>
          </w:p>
        </w:tc>
      </w:tr>
      <w:tr>
        <w:trPr>
          <w:trHeight w:val="176"/>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10.19</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Amendment No. 1 to the Credit and Guaranty Agreement, dated as of November 21, 2024, by and among Priority Holdings, LLC, as the</w:t>
              </w:r>
            </w:hyperlink>
          </w:p>
        </w:tc>
      </w:tr>
      <w:tr>
        <w:trPr>
          <w:trHeight w:val="184"/>
        </w:trPr>
        <w:tc>
          <w:tcPr>
            <w:tcW w:w="900" w:type="dxa"/>
            <w:vAlign w:val="bottom"/>
          </w:tcPr>
          <w:p>
            <w:pPr>
              <w:spacing w:after="0"/>
              <w:rPr>
                <w:sz w:val="16"/>
                <w:szCs w:val="16"/>
                <w:color w:val="auto"/>
              </w:rPr>
            </w:pPr>
          </w:p>
        </w:tc>
        <w:tc>
          <w:tcPr>
            <w:tcW w:w="10340" w:type="dxa"/>
            <w:vAlign w:val="bottom"/>
          </w:tcPr>
          <w:p>
            <w:pPr>
              <w:ind w:left="320"/>
              <w:spacing w:after="0" w:line="184"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Initial Borrower, the Credit Parties party thereto, the 2024-1 Incremental Term Lenders and Truist Bank, as Administrative Agent and</w:t>
              </w:r>
            </w:hyperlink>
          </w:p>
        </w:tc>
      </w:tr>
      <w:tr>
        <w:trPr>
          <w:trHeight w:val="234"/>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Collateral Agent (incorporated by reference).</w:t>
              </w:r>
            </w:hyperlink>
          </w:p>
        </w:tc>
      </w:tr>
      <w:tr>
        <w:trPr>
          <w:trHeight w:val="175"/>
        </w:trPr>
        <w:tc>
          <w:tcPr>
            <w:tcW w:w="9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10.20</w:t>
              </w:r>
            </w:hyperlink>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2 to the Credit and Guaranty Agreement, dated as of July 31, 2025, by and among Priority Holdings, LLC, as the</w:t>
              </w:r>
            </w:hyperlink>
          </w:p>
        </w:tc>
      </w:tr>
      <w:tr>
        <w:trPr>
          <w:trHeight w:val="184"/>
        </w:trPr>
        <w:tc>
          <w:tcPr>
            <w:tcW w:w="900" w:type="dxa"/>
            <w:vAlign w:val="bottom"/>
            <w:shd w:val="clear" w:color="auto" w:fill="CCEEFF"/>
          </w:tcPr>
          <w:p>
            <w:pPr>
              <w:spacing w:after="0"/>
              <w:rPr>
                <w:sz w:val="16"/>
                <w:szCs w:val="16"/>
                <w:color w:val="auto"/>
              </w:rPr>
            </w:pPr>
          </w:p>
        </w:tc>
        <w:tc>
          <w:tcPr>
            <w:tcW w:w="10340" w:type="dxa"/>
            <w:vAlign w:val="bottom"/>
            <w:shd w:val="clear" w:color="auto" w:fill="CCEEFF"/>
          </w:tcPr>
          <w:p>
            <w:pPr>
              <w:ind w:left="320"/>
              <w:spacing w:after="0" w:line="184"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Borrower Representative, the Credit Parties party thereto, each of the Lenders party thereto, each 2025-1 Converting Lender party thereto,</w:t>
              </w:r>
            </w:hyperlink>
          </w:p>
        </w:tc>
      </w:tr>
      <w:tr>
        <w:trPr>
          <w:trHeight w:val="180"/>
        </w:trPr>
        <w:tc>
          <w:tcPr>
            <w:tcW w:w="900" w:type="dxa"/>
            <w:vAlign w:val="bottom"/>
            <w:shd w:val="clear" w:color="auto" w:fill="CCEEFF"/>
          </w:tcPr>
          <w:p>
            <w:pPr>
              <w:spacing w:after="0"/>
              <w:rPr>
                <w:sz w:val="15"/>
                <w:szCs w:val="15"/>
                <w:color w:val="auto"/>
              </w:rPr>
            </w:pPr>
          </w:p>
        </w:tc>
        <w:tc>
          <w:tcPr>
            <w:tcW w:w="10340" w:type="dxa"/>
            <w:vAlign w:val="bottom"/>
            <w:shd w:val="clear" w:color="auto" w:fill="CCEEFF"/>
          </w:tcPr>
          <w:p>
            <w:pPr>
              <w:ind w:left="320"/>
              <w:spacing w:after="0" w:line="181"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each 2025-1 Incremental Revolving Credit Lender party thereto, each New 2025-1 Refinancing Term Lender party thereto and Truist</w:t>
              </w:r>
            </w:hyperlink>
          </w:p>
        </w:tc>
      </w:tr>
      <w:tr>
        <w:trPr>
          <w:trHeight w:val="175"/>
        </w:trPr>
        <w:tc>
          <w:tcPr>
            <w:tcW w:w="900" w:type="dxa"/>
            <w:vAlign w:val="bottom"/>
            <w:shd w:val="clear" w:color="auto" w:fill="CCEEFF"/>
          </w:tcPr>
          <w:p>
            <w:pPr>
              <w:spacing w:after="0"/>
              <w:rPr>
                <w:sz w:val="15"/>
                <w:szCs w:val="15"/>
                <w:color w:val="auto"/>
              </w:rPr>
            </w:pPr>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Bank, as administrative agent and collateral agent, as the Designated 2025 Fronting Lender and as the 2025-1 Incremental Term Lender</w:t>
              </w:r>
            </w:hyperlink>
          </w:p>
        </w:tc>
      </w:tr>
      <w:tr>
        <w:trPr>
          <w:trHeight w:val="243"/>
        </w:trPr>
        <w:tc>
          <w:tcPr>
            <w:tcW w:w="90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(incorporated by reference).</w:t>
              </w:r>
            </w:hyperlink>
          </w:p>
        </w:tc>
      </w:tr>
      <w:tr>
        <w:trPr>
          <w:trHeight w:val="175"/>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10.21</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Amendment No. 3 to the Credit and Guaranty Agreement, dated as of October 1, 2025, by and among Priority Holdings, LLC, as the sole</w:t>
              </w:r>
            </w:hyperlink>
          </w:p>
        </w:tc>
      </w:tr>
      <w:tr>
        <w:trPr>
          <w:trHeight w:val="184"/>
        </w:trPr>
        <w:tc>
          <w:tcPr>
            <w:tcW w:w="900" w:type="dxa"/>
            <w:vAlign w:val="bottom"/>
          </w:tcPr>
          <w:p>
            <w:pPr>
              <w:spacing w:after="0"/>
              <w:rPr>
                <w:sz w:val="16"/>
                <w:szCs w:val="16"/>
                <w:color w:val="auto"/>
              </w:rPr>
            </w:pPr>
          </w:p>
        </w:tc>
        <w:tc>
          <w:tcPr>
            <w:tcW w:w="10340" w:type="dxa"/>
            <w:vAlign w:val="bottom"/>
          </w:tcPr>
          <w:p>
            <w:pPr>
              <w:ind w:left="320"/>
              <w:spacing w:after="0" w:line="184"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Borrower Representative under the Credit Agreement, the other Credit Parties thereto, the 2025-2 Incremental Term Lender and Truist</w:t>
              </w:r>
            </w:hyperlink>
          </w:p>
        </w:tc>
      </w:tr>
      <w:tr>
        <w:trPr>
          <w:trHeight w:val="234"/>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Bank, as Administrative Agent and Collateral Agent (incorporated by reference).</w:t>
              </w:r>
            </w:hyperlink>
          </w:p>
        </w:tc>
      </w:tr>
      <w:tr>
        <w:trPr>
          <w:trHeight w:val="175"/>
        </w:trPr>
        <w:tc>
          <w:tcPr>
            <w:tcW w:w="900" w:type="dxa"/>
            <w:vAlign w:val="bottom"/>
            <w:shd w:val="clear" w:color="auto" w:fill="CCEEFF"/>
          </w:tcPr>
          <w:p>
            <w:pPr>
              <w:ind w:left="20"/>
              <w:spacing w:after="0" w:line="17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10.22</w:t>
              </w:r>
            </w:hyperlink>
          </w:p>
        </w:tc>
        <w:tc>
          <w:tcPr>
            <w:tcW w:w="10340" w:type="dxa"/>
            <w:vAlign w:val="bottom"/>
            <w:shd w:val="clear" w:color="auto" w:fill="CCEEFF"/>
          </w:tcPr>
          <w:p>
            <w:pPr>
              <w:ind w:left="320"/>
              <w:spacing w:after="0" w:line="17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Credit Agreement, dated as of August 18, 2025, by and among Priority Finance SPV, LLC, as Borrower, Priority Residual Finance, LLC,</w:t>
              </w:r>
            </w:hyperlink>
          </w:p>
        </w:tc>
      </w:tr>
      <w:tr>
        <w:trPr>
          <w:trHeight w:val="184"/>
        </w:trPr>
        <w:tc>
          <w:tcPr>
            <w:tcW w:w="900" w:type="dxa"/>
            <w:vAlign w:val="bottom"/>
            <w:shd w:val="clear" w:color="auto" w:fill="CCEEFF"/>
          </w:tcPr>
          <w:p>
            <w:pPr>
              <w:spacing w:after="0"/>
              <w:rPr>
                <w:sz w:val="16"/>
                <w:szCs w:val="16"/>
                <w:color w:val="auto"/>
              </w:rPr>
            </w:pPr>
          </w:p>
        </w:tc>
        <w:tc>
          <w:tcPr>
            <w:tcW w:w="10340" w:type="dxa"/>
            <w:vAlign w:val="bottom"/>
            <w:shd w:val="clear" w:color="auto" w:fill="CCEEFF"/>
          </w:tcPr>
          <w:p>
            <w:pPr>
              <w:ind w:left="320"/>
              <w:spacing w:after="0" w:line="184"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as Holdings, Priority Holdings, LLC, as Servicer, the Lenders party thereto and VP Capital, L.P., as Administrative Agent and Collateral</w:t>
              </w:r>
            </w:hyperlink>
          </w:p>
        </w:tc>
      </w:tr>
      <w:tr>
        <w:trPr>
          <w:trHeight w:val="234"/>
        </w:trPr>
        <w:tc>
          <w:tcPr>
            <w:tcW w:w="900" w:type="dxa"/>
            <w:vAlign w:val="bottom"/>
            <w:shd w:val="clear" w:color="auto" w:fill="CCEEFF"/>
          </w:tcPr>
          <w:p>
            <w:pPr>
              <w:spacing w:after="0"/>
              <w:rPr>
                <w:sz w:val="20"/>
                <w:szCs w:val="20"/>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Agent (incorporated by reference).</w:t>
              </w:r>
            </w:hyperlink>
          </w:p>
        </w:tc>
      </w:tr>
      <w:tr>
        <w:trPr>
          <w:trHeight w:val="175"/>
        </w:trPr>
        <w:tc>
          <w:tcPr>
            <w:tcW w:w="900" w:type="dxa"/>
            <w:vAlign w:val="bottom"/>
          </w:tcPr>
          <w:p>
            <w:pPr>
              <w:ind w:left="20"/>
              <w:spacing w:after="0" w:line="17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10.23</w:t>
              </w:r>
            </w:hyperlink>
          </w:p>
        </w:tc>
        <w:tc>
          <w:tcPr>
            <w:tcW w:w="10340" w:type="dxa"/>
            <w:vAlign w:val="bottom"/>
          </w:tcPr>
          <w:p>
            <w:pPr>
              <w:ind w:left="320"/>
              <w:spacing w:after="0" w:line="17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Asset Purchase Agreement, dated October 1, 2025, by and between Priority DMS, LLC as buyer and DMSJV, LLC as seller (incorporated</w:t>
              </w:r>
            </w:hyperlink>
          </w:p>
        </w:tc>
      </w:tr>
      <w:tr>
        <w:trPr>
          <w:trHeight w:val="239"/>
        </w:trPr>
        <w:tc>
          <w:tcPr>
            <w:tcW w:w="900" w:type="dxa"/>
            <w:vAlign w:val="bottom"/>
          </w:tcPr>
          <w:p>
            <w:pPr>
              <w:spacing w:after="0"/>
              <w:rPr>
                <w:sz w:val="20"/>
                <w:szCs w:val="20"/>
                <w:color w:val="auto"/>
              </w:rPr>
            </w:pPr>
          </w:p>
        </w:tc>
        <w:tc>
          <w:tcPr>
            <w:tcW w:w="10340" w:type="dxa"/>
            <w:vAlign w:val="bottom"/>
          </w:tcPr>
          <w:p>
            <w:pPr>
              <w:ind w:left="32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by reference).</w:t>
              </w:r>
            </w:hyperlink>
          </w:p>
        </w:tc>
      </w:tr>
      <w:tr>
        <w:trPr>
          <w:trHeight w:val="180"/>
        </w:trPr>
        <w:tc>
          <w:tcPr>
            <w:tcW w:w="90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10.24</w:t>
              </w:r>
            </w:hyperlink>
          </w:p>
        </w:tc>
        <w:tc>
          <w:tcPr>
            <w:tcW w:w="10340" w:type="dxa"/>
            <w:vAlign w:val="bottom"/>
            <w:shd w:val="clear" w:color="auto" w:fill="CCEEFF"/>
          </w:tcPr>
          <w:p>
            <w:pPr>
              <w:ind w:left="320"/>
              <w:spacing w:after="0" w:line="180"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Asset Purchase Agreement, dated as of August 18, 2025, by and between Priority Boom, LLC as buyer and Eventus Holdings, LLC,</w:t>
              </w:r>
            </w:hyperlink>
          </w:p>
        </w:tc>
      </w:tr>
      <w:tr>
        <w:trPr>
          <w:trHeight w:val="243"/>
        </w:trPr>
        <w:tc>
          <w:tcPr>
            <w:tcW w:w="900" w:type="dxa"/>
            <w:vAlign w:val="bottom"/>
            <w:shd w:val="clear" w:color="auto" w:fill="CCEEFF"/>
          </w:tcPr>
          <w:p>
            <w:pPr>
              <w:spacing w:after="0"/>
              <w:rPr>
                <w:sz w:val="21"/>
                <w:szCs w:val="21"/>
                <w:color w:val="auto"/>
              </w:rPr>
            </w:pPr>
          </w:p>
        </w:tc>
        <w:tc>
          <w:tcPr>
            <w:tcW w:w="10340" w:type="dxa"/>
            <w:vAlign w:val="bottom"/>
            <w:shd w:val="clear" w:color="auto" w:fill="CCEEFF"/>
          </w:tcPr>
          <w:p>
            <w:pPr>
              <w:ind w:left="320"/>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Riverside Management, LLC, and National Payment Systems, LLC, as sellers (incorporated by reference)</w:t>
              </w:r>
              <w:r>
                <w:rPr>
                  <w:rFonts w:ascii="Times New Roman" w:cs="Times New Roman" w:eastAsia="Times New Roman" w:hAnsi="Times New Roman"/>
                  <w:sz w:val="18"/>
                  <w:szCs w:val="18"/>
                  <w:color w:val="000000"/>
                </w:rPr>
                <w:t>.</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10.25</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Servicing Agreement, dated as of August 18, 2025, by and between Priority Finance SPV, LLC, as Borrower and Priority Holdings, LLC,</w:t>
              </w:r>
            </w:hyperlink>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as Servicer (incorporated by reference).</w:t>
              </w:r>
            </w:hyperlink>
          </w:p>
        </w:tc>
      </w:tr>
      <w:tr>
        <w:trPr>
          <w:trHeight w:val="180"/>
        </w:trPr>
        <w:tc>
          <w:tcPr>
            <w:tcW w:w="1020" w:type="dxa"/>
            <w:vAlign w:val="bottom"/>
            <w:shd w:val="clear" w:color="auto" w:fill="CCEEFF"/>
          </w:tcPr>
          <w:p>
            <w:pPr>
              <w:ind w:left="20"/>
              <w:spacing w:after="0" w:line="180"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10.26</w:t>
              </w:r>
            </w:hyperlink>
          </w:p>
        </w:tc>
        <w:tc>
          <w:tcPr>
            <w:tcW w:w="10220" w:type="dxa"/>
            <w:vAlign w:val="bottom"/>
            <w:shd w:val="clear" w:color="auto" w:fill="CCEEFF"/>
          </w:tcPr>
          <w:p>
            <w:pPr>
              <w:ind w:left="200"/>
              <w:spacing w:after="0" w:line="180"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Sale Agreement, dated as of August 18, 2025, by and among Priority Holdings, LLC, as Priority Originator and Servicer, Priority Payment</w:t>
              </w:r>
            </w:hyperlink>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Systems LLC, as PPS Originator and Priority Finance SPV, LLC (incorporated by reference).</w:t>
              </w:r>
            </w:hyperlink>
          </w:p>
        </w:tc>
      </w:tr>
      <w:tr>
        <w:trPr>
          <w:trHeight w:val="230"/>
        </w:trPr>
        <w:tc>
          <w:tcPr>
            <w:tcW w:w="1020" w:type="dxa"/>
            <w:vAlign w:val="bottom"/>
          </w:tcPr>
          <w:p>
            <w:pPr>
              <w:ind w:left="20"/>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19.1</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Insider Trading Policy (incorporated by reference).</w:t>
              </w:r>
            </w:hyperlink>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 xml:space="preserve">21.1 </w:t>
            </w:r>
            <w:r>
              <w:rPr>
                <w:rFonts w:ascii="Times New Roman" w:cs="Times New Roman" w:eastAsia="Times New Roman" w:hAnsi="Times New Roman"/>
                <w:sz w:val="18"/>
                <w:szCs w:val="18"/>
                <w:color w:val="000000"/>
              </w:rPr>
              <w:t>*</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Subsidiaries</w:t>
            </w: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 xml:space="preserve">23.1 </w:t>
            </w:r>
            <w:r>
              <w:rPr>
                <w:rFonts w:ascii="Times New Roman" w:cs="Times New Roman" w:eastAsia="Times New Roman" w:hAnsi="Times New Roman"/>
                <w:sz w:val="18"/>
                <w:szCs w:val="18"/>
                <w:color w:val="000000"/>
              </w:rPr>
              <w:t>*</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17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rPr>
              <w:t xml:space="preserve">31.1 </w:t>
            </w:r>
            <w:r>
              <w:rPr>
                <w:rFonts w:ascii="Times New Roman" w:cs="Times New Roman" w:eastAsia="Times New Roman" w:hAnsi="Times New Roman"/>
                <w:sz w:val="18"/>
                <w:szCs w:val="18"/>
                <w:color w:val="000000"/>
              </w:rPr>
              <w:t>*</w:t>
            </w:r>
          </w:p>
        </w:tc>
        <w:tc>
          <w:tcPr>
            <w:tcW w:w="102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 and Rule 15d-14(a), promulgated under the Securities and Exchange Act</w:t>
            </w:r>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of 1934, as amended.</w:t>
            </w: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0000FF"/>
              </w:rPr>
              <w:t xml:space="preserve">31.2 </w:t>
            </w:r>
            <w:r>
              <w:rPr>
                <w:rFonts w:ascii="Times New Roman" w:cs="Times New Roman" w:eastAsia="Times New Roman" w:hAnsi="Times New Roman"/>
                <w:sz w:val="18"/>
                <w:szCs w:val="18"/>
                <w:color w:val="000000"/>
              </w:rPr>
              <w:t>*</w:t>
            </w:r>
          </w:p>
        </w:tc>
        <w:tc>
          <w:tcPr>
            <w:tcW w:w="102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 13a-14(a) as adopted pursuant to Section 302 of the Sarbanes-</w:t>
            </w:r>
          </w:p>
        </w:tc>
      </w:tr>
      <w:tr>
        <w:trPr>
          <w:trHeight w:val="239"/>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Oxley Act of 2002.</w:t>
            </w:r>
          </w:p>
        </w:tc>
      </w:tr>
      <w:tr>
        <w:trPr>
          <w:trHeight w:val="180"/>
        </w:trPr>
        <w:tc>
          <w:tcPr>
            <w:tcW w:w="1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0000FF"/>
              </w:rPr>
              <w:t xml:space="preserve">32.1 </w:t>
            </w:r>
            <w:r>
              <w:rPr>
                <w:rFonts w:ascii="Times New Roman" w:cs="Times New Roman" w:eastAsia="Times New Roman" w:hAnsi="Times New Roman"/>
                <w:sz w:val="18"/>
                <w:szCs w:val="18"/>
                <w:color w:val="000000"/>
              </w:rPr>
              <w:t>*</w:t>
            </w:r>
          </w:p>
        </w:tc>
        <w:tc>
          <w:tcPr>
            <w:tcW w:w="10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29"/>
        </w:trPr>
        <w:tc>
          <w:tcPr>
            <w:tcW w:w="1020" w:type="dxa"/>
            <w:vAlign w:val="bottom"/>
          </w:tcPr>
          <w:p>
            <w:pPr>
              <w:ind w:left="2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97.1</w:t>
              </w:r>
            </w:hyperlink>
          </w:p>
        </w:tc>
        <w:tc>
          <w:tcPr>
            <w:tcW w:w="10220" w:type="dxa"/>
            <w:vAlign w:val="bottom"/>
          </w:tcPr>
          <w:p>
            <w:pPr>
              <w:ind w:left="200"/>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Priority Technology Holdings, Inc. Recoupment Policy adopted March 1, 2023 (incorporated by reference).</w:t>
              </w:r>
            </w:hyperlink>
          </w:p>
        </w:tc>
      </w:tr>
      <w:tr>
        <w:trPr>
          <w:trHeight w:val="176"/>
        </w:trPr>
        <w:tc>
          <w:tcPr>
            <w:tcW w:w="1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 *</w:t>
            </w:r>
          </w:p>
        </w:tc>
        <w:tc>
          <w:tcPr>
            <w:tcW w:w="102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43"/>
        </w:trPr>
        <w:tc>
          <w:tcPr>
            <w:tcW w:w="1020" w:type="dxa"/>
            <w:vAlign w:val="bottom"/>
            <w:shd w:val="clear" w:color="auto" w:fill="CCEEFF"/>
          </w:tcPr>
          <w:p>
            <w:pPr>
              <w:spacing w:after="0"/>
              <w:rPr>
                <w:sz w:val="21"/>
                <w:szCs w:val="21"/>
                <w:color w:val="auto"/>
              </w:rPr>
            </w:pP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 *</w:t>
            </w:r>
          </w:p>
        </w:tc>
        <w:tc>
          <w:tcPr>
            <w:tcW w:w="10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 *</w:t>
            </w: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62"/>
        </w:numPr>
        <w:rPr>
          <w:rFonts w:ascii="Arial" w:cs="Arial" w:eastAsia="Arial" w:hAnsi="Arial"/>
          <w:sz w:val="18"/>
          <w:szCs w:val="18"/>
          <w:color w:val="auto"/>
        </w:rPr>
      </w:pPr>
      <w:r>
        <w:rPr>
          <w:rFonts w:ascii="Times New Roman" w:cs="Times New Roman" w:eastAsia="Times New Roman" w:hAnsi="Times New Roman"/>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584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PRIORITY TECHNOLOGY HOLDINGS, INC.</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30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149"/>
        </w:trPr>
        <w:tc>
          <w:tcPr>
            <w:tcW w:w="2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50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7"/>
                <w:szCs w:val="17"/>
                <w:color w:val="auto"/>
              </w:rPr>
              <w:t>Thomas C. Priore</w:t>
            </w:r>
          </w:p>
        </w:tc>
        <w:tc>
          <w:tcPr>
            <w:tcW w:w="1280" w:type="dxa"/>
            <w:vAlign w:val="bottom"/>
          </w:tcPr>
          <w:p>
            <w:pPr>
              <w:spacing w:after="0"/>
              <w:rPr>
                <w:sz w:val="12"/>
                <w:szCs w:val="12"/>
                <w:color w:val="auto"/>
              </w:rPr>
            </w:pPr>
          </w:p>
        </w:tc>
      </w:tr>
      <w:tr>
        <w:trPr>
          <w:trHeight w:val="182"/>
        </w:trPr>
        <w:tc>
          <w:tcPr>
            <w:tcW w:w="2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7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 and Chairman</w:t>
            </w:r>
          </w:p>
        </w:tc>
      </w:tr>
      <w:tr>
        <w:trPr>
          <w:trHeight w:val="236"/>
        </w:trPr>
        <w:tc>
          <w:tcPr>
            <w:tcW w:w="2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3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02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8"/>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Thomas C. Priore</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Thomas C. Priore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400"/>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Timothy M. O'Leary</w:t>
            </w:r>
          </w:p>
        </w:tc>
        <w:tc>
          <w:tcPr>
            <w:tcW w:w="4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Timothy M. O'Leary</w:t>
            </w:r>
          </w:p>
        </w:tc>
        <w:tc>
          <w:tcPr>
            <w:tcW w:w="1540" w:type="dxa"/>
            <w:vAlign w:val="bottom"/>
          </w:tcPr>
          <w:p>
            <w:pPr>
              <w:spacing w:after="0"/>
              <w:rPr>
                <w:sz w:val="19"/>
                <w:szCs w:val="19"/>
                <w:color w:val="auto"/>
              </w:rPr>
            </w:pPr>
          </w:p>
        </w:tc>
        <w:tc>
          <w:tcPr>
            <w:tcW w:w="4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427"/>
        </w:trPr>
        <w:tc>
          <w:tcPr>
            <w:tcW w:w="3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/s/ Rajiv Kumar</w:t>
            </w:r>
          </w:p>
        </w:tc>
        <w:tc>
          <w:tcPr>
            <w:tcW w:w="46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Senior Vice President and</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60" w:type="dxa"/>
            <w:vAlign w:val="bottom"/>
            <w:gridSpan w:val="9"/>
            <w:vMerge w:val="continue"/>
          </w:tcPr>
          <w:p>
            <w:pPr>
              <w:spacing w:after="0"/>
              <w:rPr>
                <w:sz w:val="16"/>
                <w:szCs w:val="16"/>
                <w:color w:val="auto"/>
              </w:rPr>
            </w:pPr>
          </w:p>
        </w:tc>
        <w:tc>
          <w:tcPr>
            <w:tcW w:w="466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Chief Accounting Officer</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Rajiv Kumar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4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400"/>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Clayton Main</w:t>
            </w:r>
          </w:p>
        </w:tc>
        <w:tc>
          <w:tcPr>
            <w:tcW w:w="46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228"/>
        </w:trPr>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Clayton Main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46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Michael Passilla</w:t>
            </w:r>
          </w:p>
        </w:tc>
        <w:tc>
          <w:tcPr>
            <w:tcW w:w="46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Michael Passilla</w:t>
            </w:r>
          </w:p>
        </w:tc>
        <w:tc>
          <w:tcPr>
            <w:tcW w:w="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46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Marietta C. Davis</w:t>
            </w:r>
          </w:p>
        </w:tc>
        <w:tc>
          <w:tcPr>
            <w:tcW w:w="46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228"/>
        </w:trPr>
        <w:tc>
          <w:tcPr>
            <w:tcW w:w="15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Marietta C. Davis</w:t>
            </w:r>
          </w:p>
        </w:tc>
        <w:tc>
          <w:tcPr>
            <w:tcW w:w="16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46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Christina M. Favilla</w:t>
            </w:r>
          </w:p>
        </w:tc>
        <w:tc>
          <w:tcPr>
            <w:tcW w:w="46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Christina M. Favilla</w:t>
            </w:r>
          </w:p>
        </w:tc>
        <w:tc>
          <w:tcPr>
            <w:tcW w:w="1580" w:type="dxa"/>
            <w:vAlign w:val="bottom"/>
            <w:gridSpan w:val="2"/>
          </w:tcPr>
          <w:p>
            <w:pPr>
              <w:spacing w:after="0"/>
              <w:rPr>
                <w:sz w:val="19"/>
                <w:szCs w:val="19"/>
                <w:color w:val="auto"/>
              </w:rPr>
            </w:pPr>
          </w:p>
        </w:tc>
        <w:tc>
          <w:tcPr>
            <w:tcW w:w="46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Marc Crisafulli</w:t>
            </w:r>
          </w:p>
        </w:tc>
        <w:tc>
          <w:tcPr>
            <w:tcW w:w="46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color w:val="auto"/>
                <w:w w:val="99"/>
              </w:rPr>
              <w:t>March 10, 2026</w:t>
            </w:r>
          </w:p>
        </w:tc>
        <w:tc>
          <w:tcPr>
            <w:tcW w:w="0" w:type="dxa"/>
            <w:vAlign w:val="bottom"/>
          </w:tcPr>
          <w:p>
            <w:pPr>
              <w:spacing w:after="0"/>
              <w:rPr>
                <w:sz w:val="1"/>
                <w:szCs w:val="1"/>
                <w:color w:val="auto"/>
              </w:rPr>
            </w:pPr>
          </w:p>
        </w:tc>
      </w:tr>
      <w:tr>
        <w:trPr>
          <w:trHeight w:val="228"/>
        </w:trPr>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Marc Crisafulli</w:t>
            </w:r>
          </w:p>
        </w:tc>
        <w:tc>
          <w:tcPr>
            <w:tcW w:w="1940" w:type="dxa"/>
            <w:vAlign w:val="bottom"/>
            <w:gridSpan w:val="6"/>
          </w:tcPr>
          <w:p>
            <w:pPr>
              <w:spacing w:after="0"/>
              <w:rPr>
                <w:sz w:val="19"/>
                <w:szCs w:val="19"/>
                <w:color w:val="auto"/>
              </w:rPr>
            </w:pPr>
          </w:p>
        </w:tc>
        <w:tc>
          <w:tcPr>
            <w:tcW w:w="4660" w:type="dxa"/>
            <w:vAlign w:val="bottom"/>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Subsidiaries of Priority Technology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Technology Holdings, Inc.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Holdings,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Payment Systems,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DMS,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Booms,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Commerce Canada, Inc.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Finance,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Residual Finance,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Finance SPV,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Commercial Payments,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Plastiq, Powered by Priority,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Plastiq Canada, Inc.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Finxera Holdings,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Finxera Intermediate,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Finxera,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IDC Private Limited (India)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Enhanced Capital RETC Fund XII,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Account Administration Services, In 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Tech Ventures,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IR,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Wave,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Ambient TPA Solutions,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Build, LLC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Primsa Prop Tech,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Rollfi, LLC</w:t>
      </w:r>
    </w:p>
    <w:p>
      <w:pPr>
        <w:sectPr>
          <w:pgSz w:w="11900" w:h="16838" w:orient="portrait"/>
          <w:cols w:equalWidth="0" w:num="1">
            <w:col w:w="11240"/>
          </w:cols>
          <w:pgMar w:left="320" w:top="40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Sila,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Priority Canada Acquisition Company, Inc. (Canada)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Payslate, Inc.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Rentmoola Payment Solutions, Ltd. (UK)</w:t>
      </w:r>
    </w:p>
    <w:p>
      <w:pPr>
        <w:sectPr>
          <w:pgSz w:w="11900" w:h="16838" w:orient="portrait"/>
          <w:cols w:equalWidth="0" w:num="1">
            <w:col w:w="11240"/>
          </w:cols>
          <w:pgMar w:left="320" w:top="40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5" w:lineRule="exact"/>
        <w:rPr>
          <w:sz w:val="20"/>
          <w:szCs w:val="20"/>
          <w:color w:val="auto"/>
        </w:rPr>
      </w:pPr>
    </w:p>
    <w:p>
      <w:pPr>
        <w:ind w:left="2988"/>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348" w:hanging="348"/>
        <w:spacing w:after="0"/>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S-3 No. 333-226713) of Priority Technology Holdings, Inc.,</w:t>
      </w:r>
    </w:p>
    <w:p>
      <w:pPr>
        <w:spacing w:after="0" w:line="1" w:lineRule="exact"/>
        <w:rPr>
          <w:rFonts w:ascii="Arial" w:cs="Arial" w:eastAsia="Arial" w:hAnsi="Arial"/>
          <w:sz w:val="18"/>
          <w:szCs w:val="18"/>
          <w:color w:val="auto"/>
        </w:rPr>
      </w:pPr>
    </w:p>
    <w:p>
      <w:pPr>
        <w:ind w:left="348" w:hanging="348"/>
        <w:spacing w:after="0" w:line="218" w:lineRule="auto"/>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S-8 No. 333-230620) of Priority Technology Holdings, Inc.,</w:t>
      </w:r>
    </w:p>
    <w:p>
      <w:pPr>
        <w:ind w:left="348" w:hanging="348"/>
        <w:spacing w:after="0" w:line="218" w:lineRule="auto"/>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S-8 No. 333-264064) of Priority Technology Holdings, Inc.,</w:t>
      </w:r>
    </w:p>
    <w:p>
      <w:pPr>
        <w:ind w:left="348" w:hanging="348"/>
        <w:spacing w:after="0" w:line="233" w:lineRule="auto"/>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S-8 No. 333-268918) of Priority Technology Holdings, Inc.,</w:t>
      </w:r>
    </w:p>
    <w:p>
      <w:pPr>
        <w:ind w:left="348" w:hanging="348"/>
        <w:spacing w:after="0" w:line="218" w:lineRule="auto"/>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S-8 No. 333-268919) of Priority Technology Holdings, Inc.,</w:t>
      </w:r>
    </w:p>
    <w:p>
      <w:pPr>
        <w:ind w:left="348" w:hanging="348"/>
        <w:spacing w:after="0" w:line="218" w:lineRule="auto"/>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S-3 No. 333-283519) of Priority Technology Holdings, Inc., and</w:t>
      </w:r>
    </w:p>
    <w:p>
      <w:pPr>
        <w:ind w:left="348" w:hanging="348"/>
        <w:spacing w:after="0"/>
        <w:tabs>
          <w:tab w:leader="none" w:pos="348" w:val="left"/>
        </w:tabs>
        <w:numPr>
          <w:ilvl w:val="0"/>
          <w:numId w:val="63"/>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 (Form S-8 No. 333-288758) of Priority Technology Holdings, Inc.;</w:t>
      </w:r>
    </w:p>
    <w:p>
      <w:pPr>
        <w:spacing w:after="0" w:line="218" w:lineRule="exact"/>
        <w:rPr>
          <w:sz w:val="20"/>
          <w:szCs w:val="20"/>
          <w:color w:val="auto"/>
        </w:rPr>
      </w:pPr>
    </w:p>
    <w:p>
      <w:pPr>
        <w:jc w:val="both"/>
        <w:ind w:left="8" w:right="160"/>
        <w:spacing w:after="0" w:line="236" w:lineRule="auto"/>
        <w:rPr>
          <w:sz w:val="20"/>
          <w:szCs w:val="20"/>
          <w:color w:val="auto"/>
        </w:rPr>
      </w:pPr>
      <w:r>
        <w:rPr>
          <w:rFonts w:ascii="Times New Roman" w:cs="Times New Roman" w:eastAsia="Times New Roman" w:hAnsi="Times New Roman"/>
          <w:sz w:val="18"/>
          <w:szCs w:val="18"/>
          <w:color w:val="auto"/>
        </w:rPr>
        <w:t>of our reports dated March 10, 2026, with respect to the consolidated financial statements of Priority Technology Holdings, Inc. and the effectiveness of internal control over financial reporting of Priority Technology Holdings, Inc. included in this Annual Report (Form 10-K) of Priority Technology Holdings, Inc. for the year ended December 31, 2025.</w:t>
      </w: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Atlanta, Georgia</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March 10, 2026</w:t>
      </w:r>
    </w:p>
    <w:p>
      <w:pPr>
        <w:sectPr>
          <w:pgSz w:w="11900" w:h="16838" w:orient="portrait"/>
          <w:cols w:equalWidth="0" w:num="1">
            <w:col w:w="10908"/>
          </w:cols>
          <w:pgMar w:left="652" w:top="140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354"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333"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Priority Technology Holdings, Inc.;</w:t>
      </w:r>
    </w:p>
    <w:p>
      <w:pPr>
        <w:spacing w:after="0" w:line="319" w:lineRule="exact"/>
        <w:rPr>
          <w:rFonts w:ascii="Times New Roman" w:cs="Times New Roman" w:eastAsia="Times New Roman" w:hAnsi="Times New Roman"/>
          <w:sz w:val="18"/>
          <w:szCs w:val="18"/>
          <w:color w:val="auto"/>
        </w:rPr>
      </w:pPr>
    </w:p>
    <w:p>
      <w:pPr>
        <w:jc w:val="both"/>
        <w:ind w:left="340" w:right="440" w:hanging="332"/>
        <w:spacing w:after="0" w:line="35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Times New Roman" w:cs="Times New Roman" w:eastAsia="Times New Roman" w:hAnsi="Times New Roman"/>
          <w:sz w:val="18"/>
          <w:szCs w:val="18"/>
          <w:color w:val="auto"/>
        </w:rPr>
      </w:pPr>
    </w:p>
    <w:p>
      <w:pPr>
        <w:ind w:left="340" w:right="400" w:hanging="332"/>
        <w:spacing w:after="0" w:line="36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left="340" w:right="20" w:hanging="332"/>
        <w:spacing w:after="0" w:line="344"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Times New Roman" w:cs="Times New Roman" w:eastAsia="Times New Roman" w:hAnsi="Times New Roman"/>
          <w:sz w:val="18"/>
          <w:szCs w:val="18"/>
          <w:color w:val="auto"/>
        </w:rPr>
      </w:pPr>
    </w:p>
    <w:p>
      <w:pPr>
        <w:ind w:left="980" w:right="60" w:hanging="324"/>
        <w:spacing w:after="0" w:line="333" w:lineRule="auto"/>
        <w:tabs>
          <w:tab w:leader="none" w:pos="9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980" w:right="360" w:hanging="324"/>
        <w:spacing w:after="0" w:line="339"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80" w:right="540" w:hanging="324"/>
        <w:spacing w:after="0" w:line="356" w:lineRule="auto"/>
        <w:tabs>
          <w:tab w:leader="none" w:pos="97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344" w:lineRule="auto"/>
        <w:tabs>
          <w:tab w:leader="none" w:pos="9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left="340" w:right="340" w:hanging="332"/>
        <w:spacing w:after="0" w:line="36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64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20" w:right="780" w:hanging="324"/>
        <w:spacing w:after="0" w:line="336" w:lineRule="auto"/>
        <w:tabs>
          <w:tab w:leader="none" w:pos="9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500" w:hanging="324"/>
        <w:spacing w:after="0" w:line="360" w:lineRule="auto"/>
        <w:tabs>
          <w:tab w:leader="none" w:pos="9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C. Priore</w:t>
            </w:r>
          </w:p>
        </w:tc>
      </w:tr>
      <w:tr>
        <w:trPr>
          <w:trHeight w:val="243"/>
        </w:trPr>
        <w:tc>
          <w:tcPr>
            <w:tcW w:w="7340" w:type="dxa"/>
            <w:vAlign w:val="bottom"/>
          </w:tcPr>
          <w:p>
            <w:pPr>
              <w:spacing w:after="0"/>
              <w:rPr>
                <w:sz w:val="21"/>
                <w:szCs w:val="21"/>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C. Priore</w:t>
            </w:r>
          </w:p>
        </w:tc>
      </w:tr>
      <w:tr>
        <w:trPr>
          <w:trHeight w:val="310"/>
        </w:trPr>
        <w:tc>
          <w:tcPr>
            <w:tcW w:w="734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Chairman</w:t>
            </w:r>
          </w:p>
        </w:tc>
      </w:tr>
      <w:tr>
        <w:trPr>
          <w:trHeight w:val="311"/>
        </w:trPr>
        <w:tc>
          <w:tcPr>
            <w:tcW w:w="734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180"/>
          </w:cols>
          <w:pgMar w:left="380" w:top="64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399" w:lineRule="exact"/>
        <w:rPr>
          <w:sz w:val="20"/>
          <w:szCs w:val="20"/>
          <w:color w:val="auto"/>
        </w:rPr>
      </w:pPr>
    </w:p>
    <w:p>
      <w:pPr>
        <w:jc w:val="center"/>
        <w:ind w:left="340" w:right="2600"/>
        <w:spacing w:after="0" w:line="354"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302 OF THE SARBANES-OXLEY ACT OF 2002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O'Leary, certify that:</w:t>
      </w:r>
    </w:p>
    <w:p>
      <w:pPr>
        <w:spacing w:after="0" w:line="333"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Priority Technology Holdings, Inc.;</w:t>
      </w:r>
    </w:p>
    <w:p>
      <w:pPr>
        <w:spacing w:after="0" w:line="319" w:lineRule="exact"/>
        <w:rPr>
          <w:rFonts w:ascii="Times New Roman" w:cs="Times New Roman" w:eastAsia="Times New Roman" w:hAnsi="Times New Roman"/>
          <w:sz w:val="18"/>
          <w:szCs w:val="18"/>
          <w:color w:val="auto"/>
        </w:rPr>
      </w:pPr>
    </w:p>
    <w:p>
      <w:pPr>
        <w:jc w:val="both"/>
        <w:ind w:left="340" w:right="440" w:hanging="332"/>
        <w:spacing w:after="0" w:line="35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Times New Roman" w:cs="Times New Roman" w:eastAsia="Times New Roman" w:hAnsi="Times New Roman"/>
          <w:sz w:val="18"/>
          <w:szCs w:val="18"/>
          <w:color w:val="auto"/>
        </w:rPr>
      </w:pPr>
    </w:p>
    <w:p>
      <w:pPr>
        <w:ind w:left="340" w:right="400" w:hanging="332"/>
        <w:spacing w:after="0" w:line="3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ind w:left="340" w:right="20" w:hanging="332"/>
        <w:spacing w:after="0" w:line="344"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Times New Roman" w:cs="Times New Roman" w:eastAsia="Times New Roman" w:hAnsi="Times New Roman"/>
          <w:sz w:val="18"/>
          <w:szCs w:val="18"/>
          <w:color w:val="auto"/>
        </w:rPr>
      </w:pPr>
    </w:p>
    <w:p>
      <w:pPr>
        <w:ind w:left="980" w:right="60" w:hanging="324"/>
        <w:spacing w:after="0" w:line="333" w:lineRule="auto"/>
        <w:tabs>
          <w:tab w:leader="none" w:pos="9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980" w:right="360" w:hanging="324"/>
        <w:spacing w:after="0" w:line="339" w:lineRule="auto"/>
        <w:tabs>
          <w:tab w:leader="none" w:pos="9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80" w:right="540" w:hanging="324"/>
        <w:spacing w:after="0" w:line="356" w:lineRule="auto"/>
        <w:tabs>
          <w:tab w:leader="none" w:pos="97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344" w:lineRule="auto"/>
        <w:tabs>
          <w:tab w:leader="none" w:pos="9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ind w:left="340" w:right="340" w:hanging="332"/>
        <w:spacing w:after="0" w:line="3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0" w:right="780" w:hanging="324"/>
        <w:spacing w:after="0" w:line="336" w:lineRule="auto"/>
        <w:tabs>
          <w:tab w:leader="none" w:pos="8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0" w:right="500" w:hanging="324"/>
        <w:spacing w:after="0" w:line="360" w:lineRule="auto"/>
        <w:tabs>
          <w:tab w:leader="none" w:pos="8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O'Leary</w:t>
            </w:r>
          </w:p>
        </w:tc>
      </w:tr>
      <w:tr>
        <w:trPr>
          <w:trHeight w:val="243"/>
        </w:trPr>
        <w:tc>
          <w:tcPr>
            <w:tcW w:w="6160" w:type="dxa"/>
            <w:vAlign w:val="bottom"/>
          </w:tcPr>
          <w:p>
            <w:pPr>
              <w:spacing w:after="0"/>
              <w:rPr>
                <w:sz w:val="21"/>
                <w:szCs w:val="21"/>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O'Leary</w:t>
            </w:r>
          </w:p>
        </w:tc>
      </w:tr>
      <w:tr>
        <w:trPr>
          <w:trHeight w:val="297"/>
        </w:trPr>
        <w:tc>
          <w:tcPr>
            <w:tcW w:w="616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310"/>
        </w:trPr>
        <w:tc>
          <w:tcPr>
            <w:tcW w:w="616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120"/>
          </w:cols>
          <w:pgMar w:left="440" w:top="89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354"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In connection with the Annual Report on Form 10-K of Priority Technology Holdings, Inc. (the "Company") for the year ended December 31, 2025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6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223"/>
        </w:trPr>
        <w:tc>
          <w:tcPr>
            <w:tcW w:w="4560" w:type="dxa"/>
            <w:vAlign w:val="bottom"/>
          </w:tcPr>
          <w:p>
            <w:pPr>
              <w:spacing w:after="0"/>
              <w:rPr>
                <w:sz w:val="19"/>
                <w:szCs w:val="19"/>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Thomas C. Priore</w:t>
            </w:r>
          </w:p>
        </w:tc>
      </w:tr>
      <w:tr>
        <w:trPr>
          <w:trHeight w:val="229"/>
        </w:trPr>
        <w:tc>
          <w:tcPr>
            <w:tcW w:w="4560" w:type="dxa"/>
            <w:vAlign w:val="bottom"/>
          </w:tcPr>
          <w:p>
            <w:pPr>
              <w:spacing w:after="0"/>
              <w:rPr>
                <w:sz w:val="19"/>
                <w:szCs w:val="19"/>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tc>
      </w:tr>
      <w:tr>
        <w:trPr>
          <w:trHeight w:val="236"/>
        </w:trPr>
        <w:tc>
          <w:tcPr>
            <w:tcW w:w="4560" w:type="dxa"/>
            <w:vAlign w:val="bottom"/>
          </w:tcPr>
          <w:p>
            <w:pPr>
              <w:spacing w:after="0"/>
              <w:rPr>
                <w:sz w:val="20"/>
                <w:szCs w:val="20"/>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6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Timothy O'Leary</w:t>
            </w:r>
          </w:p>
        </w:tc>
      </w:tr>
      <w:tr>
        <w:trPr>
          <w:trHeight w:val="223"/>
        </w:trPr>
        <w:tc>
          <w:tcPr>
            <w:tcW w:w="4560" w:type="dxa"/>
            <w:vAlign w:val="bottom"/>
          </w:tcPr>
          <w:p>
            <w:pPr>
              <w:spacing w:after="0"/>
              <w:rPr>
                <w:sz w:val="19"/>
                <w:szCs w:val="19"/>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Timothy O'Leary</w:t>
            </w:r>
          </w:p>
        </w:tc>
      </w:tr>
      <w:tr>
        <w:trPr>
          <w:trHeight w:val="230"/>
        </w:trPr>
        <w:tc>
          <w:tcPr>
            <w:tcW w:w="4560" w:type="dxa"/>
            <w:vAlign w:val="bottom"/>
          </w:tcPr>
          <w:p>
            <w:pPr>
              <w:spacing w:after="0"/>
              <w:rPr>
                <w:sz w:val="19"/>
                <w:szCs w:val="19"/>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4560" w:type="dxa"/>
            <w:vAlign w:val="bottom"/>
          </w:tcPr>
          <w:p>
            <w:pPr>
              <w:spacing w:after="0"/>
              <w:rPr>
                <w:sz w:val="20"/>
                <w:szCs w:val="20"/>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360"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2"/>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decimal"/>
      <w:start w:val="2"/>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lvl w:ilvl="1">
      <w:lvlJc w:val="left"/>
      <w:lvlText w:val="(%2)"/>
      <w:numFmt w:val="decimal"/>
      <w:start w:val="3"/>
    </w:lvl>
  </w:abstractNum>
  <w:abstractNum w:abstractNumId="25">
    <w:nsid w:val="6DE91B18"/>
    <w:multiLevelType w:val="hybridMultilevel"/>
    <w:lvl w:ilvl="0">
      <w:lvlJc w:val="left"/>
      <w:lvlText w:val="%1."/>
      <w:numFmt w:val="decimal"/>
      <w:start w:val="3"/>
    </w:lvl>
    <w:lvl w:ilvl="1">
      <w:lvlJc w:val="left"/>
      <w:lvlText w:val="%2"/>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lvl w:ilvl="1">
      <w:lvlJc w:val="left"/>
      <w:lvlText w:val="(%2)"/>
      <w:numFmt w:val="decimal"/>
      <w:start w:val="3"/>
    </w:lvl>
  </w:abstractNum>
  <w:abstractNum w:abstractNumId="29">
    <w:nsid w:val="684A481A"/>
    <w:multiLevelType w:val="hybridMultilevel"/>
    <w:lvl w:ilvl="0">
      <w:lvlJc w:val="left"/>
      <w:lvlText w:val="%1."/>
      <w:numFmt w:val="decimal"/>
      <w:start w:val="5"/>
    </w:lvl>
    <w:lvl w:ilvl="1">
      <w:lvlJc w:val="left"/>
      <w:lvlText w:val="%2"/>
      <w:numFmt w:val="decimal"/>
      <w:start w:val="1"/>
    </w:lvl>
  </w:abstractNum>
  <w:abstractNum w:abstractNumId="30">
    <w:nsid w:val="579478FE"/>
    <w:multiLevelType w:val="hybridMultilevel"/>
    <w:lvl w:ilvl="0">
      <w:lvlJc w:val="left"/>
      <w:lvlText w:val="%1."/>
      <w:numFmt w:val="decimal"/>
      <w:start w:val="7"/>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3"/>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2"/>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5"/>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decimal"/>
      <w:start w:val="5"/>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9"/>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lvl w:ilvl="1">
      <w:lvlJc w:val="left"/>
      <w:lvlText w:val="(%2)"/>
      <w:numFmt w:val="lowerLetter"/>
      <w:start w:val="1"/>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76" Type="http://schemas.openxmlformats.org/officeDocument/2006/relationships/image" Target="media/image154.png"/><Relationship Id="rId199" Type="http://schemas.openxmlformats.org/officeDocument/2006/relationships/image" Target="media/image155.png"/><Relationship Id="rId204" Type="http://schemas.openxmlformats.org/officeDocument/2006/relationships/image" Target="media/image156.png"/><Relationship Id="rId46" Type="http://schemas.openxmlformats.org/officeDocument/2006/relationships/hyperlink" Target="https://www.sec.gov/ix?doc=/Archives/edgar/data/0001653558/000165355825000039/prth-20241231.htm#id8eb6099a5a24d0fb14dbeee53a41ea8_7" TargetMode="External"/><Relationship Id="rId162" Type="http://schemas.openxmlformats.org/officeDocument/2006/relationships/hyperlink" Target="https://www.sec.gov/Archives/edgar/data/1653558/000161577418006226/s111183_defm14a.htm" TargetMode="External"/><Relationship Id="rId163" Type="http://schemas.openxmlformats.org/officeDocument/2006/relationships/hyperlink" Target="https://www.sec.gov/Archives/edgar/data/1653558/000165355821000031/projectwarriorfinxera-merg.htm" TargetMode="External"/><Relationship Id="rId164" Type="http://schemas.openxmlformats.org/officeDocument/2006/relationships/hyperlink" Target="https://www.sec.gov/Archives/edgar/data/1653558/000165355821000060/annex1certificateofamendme.htm" TargetMode="External"/><Relationship Id="rId165" Type="http://schemas.openxmlformats.org/officeDocument/2006/relationships/hyperlink" Target="https://www.sec.gov/Archives/edgar/data/0001653558/000165355821000031/projectwarriorfinxera-merg.htm" TargetMode="External"/><Relationship Id="rId166" Type="http://schemas.openxmlformats.org/officeDocument/2006/relationships/hyperlink" Target="http://www.sec.gov/Archives/edgar/data/1653558/000161577418007231/s111606_ex3-1.htm" TargetMode="External"/><Relationship Id="rId167" Type="http://schemas.openxmlformats.org/officeDocument/2006/relationships/hyperlink" Target="http://www.sec.gov/Archives/edgar/data/1653558/000161577418007231/s111606_ex3-2.htm" TargetMode="External"/><Relationship Id="rId168" Type="http://schemas.openxmlformats.org/officeDocument/2006/relationships/hyperlink" Target="https://www.sec.gov/Archives/edgar/data/0001653558/000165355821000065/exhibit31-priorityxcertifi.htm" TargetMode="External"/><Relationship Id="rId169" Type="http://schemas.openxmlformats.org/officeDocument/2006/relationships/hyperlink" Target="http://www.sec.gov/Archives/edgar/data/1653558/000161577416006436/s103712_ex4-1.htm" TargetMode="External"/><Relationship Id="rId170" Type="http://schemas.openxmlformats.org/officeDocument/2006/relationships/hyperlink" Target="http://www.sec.gov/Archives/edgar/data/1653558/000161577416006436/s103712_ex4-2.htm" TargetMode="External"/><Relationship Id="rId171" Type="http://schemas.openxmlformats.org/officeDocument/2006/relationships/hyperlink" Target="https://www.sec.gov/Archives/edgar/data/1653558/000165355823000030/prioritytechnology-ex45.htm" TargetMode="External"/><Relationship Id="rId172" Type="http://schemas.openxmlformats.org/officeDocument/2006/relationships/hyperlink" Target="http://www.sec.gov/Archives/edgar/data/1653558/000161577418007231/s111606_ex10-1.htm" TargetMode="External"/><Relationship Id="rId173" Type="http://schemas.openxmlformats.org/officeDocument/2006/relationships/hyperlink" Target="http://www.sec.gov/Archives/edgar/data/1653558/000161577418007231/s111606_ex10-2.htm" TargetMode="External"/><Relationship Id="rId174" Type="http://schemas.openxmlformats.org/officeDocument/2006/relationships/hyperlink" Target="https://www.sec.gov/Archives/edgar/data/0001653558/000165355821000101/ex1021prioritytechnologyq2.htm" TargetMode="External"/><Relationship Id="rId175" Type="http://schemas.openxmlformats.org/officeDocument/2006/relationships/hyperlink" Target="https://www.sec.gov/Archives/edgar/data/1653558/000165355822000028/prioritytechnology-ex1031x.htm" TargetMode="External"/><Relationship Id="rId177" Type="http://schemas.openxmlformats.org/officeDocument/2006/relationships/hyperlink" Target="https://www.sec.gov/ix?doc=/Archives/edgar/data/0001653558/000165355825000051/prth-20250410.htm" TargetMode="External"/><Relationship Id="rId178" Type="http://schemas.openxmlformats.org/officeDocument/2006/relationships/hyperlink" Target="http://www.sec.gov/Archives/edgar/data/1653558/000161577418014981/s114881_ex10-6.htm" TargetMode="External"/><Relationship Id="rId179" Type="http://schemas.openxmlformats.org/officeDocument/2006/relationships/hyperlink" Target="http://www.sec.gov/Archives/edgar/data/1653558/000161577418014981/s114881_ex10-7.htm" TargetMode="External"/><Relationship Id="rId180" Type="http://schemas.openxmlformats.org/officeDocument/2006/relationships/hyperlink" Target="https://www.sec.gov/Archives/edgar/data/1653558/000165355823000030/prioritytechnology-ex107.htm" TargetMode="External"/><Relationship Id="rId181" Type="http://schemas.openxmlformats.org/officeDocument/2006/relationships/hyperlink" Target="https://www.sec.gov/Archives/edgar/data/1653558/000165355823000030/prioritytechnology-ex108.htm" TargetMode="External"/><Relationship Id="rId182" Type="http://schemas.openxmlformats.org/officeDocument/2006/relationships/hyperlink" Target="https://www.sec.gov/Archives/edgar/data/1653558/000165355822000064/ex1023formrestrictedstocku.htm" TargetMode="External"/><Relationship Id="rId183" Type="http://schemas.openxmlformats.org/officeDocument/2006/relationships/hyperlink" Target="http://www.sec.gov/Archives/edgar/data/1653558/000162828019003666/prioritytechnology-ex1019.htm" TargetMode="External"/><Relationship Id="rId184" Type="http://schemas.openxmlformats.org/officeDocument/2006/relationships/hyperlink" Target="https://www.sec.gov/Archives/edgar/data/1653558/000165355820000148/assetpurchaseagreement.htm" TargetMode="External"/><Relationship Id="rId185" Type="http://schemas.openxmlformats.org/officeDocument/2006/relationships/hyperlink" Target="https://www.sec.gov/Archives/edgar/data/0001653558/000165355821000031/exhibith-supportagreemente.htm" TargetMode="External"/><Relationship Id="rId186" Type="http://schemas.openxmlformats.org/officeDocument/2006/relationships/hyperlink" Target="https://www.sec.gov/Archives/edgar/data/1653558/000165355821000031/exhibith-supportagreemente.htm" TargetMode="External"/><Relationship Id="rId187" Type="http://schemas.openxmlformats.org/officeDocument/2006/relationships/hyperlink" Target="https://www.sec.gov/Archives/edgar/data/1653558/000165355825000039/ex1021amendedandrestated.htm" TargetMode="External"/><Relationship Id="rId188" Type="http://schemas.openxmlformats.org/officeDocument/2006/relationships/hyperlink" Target="https://www.sec.gov/Archives/edgar/data/1653558/000165355823000087/ex101projectbellamy-amen.htm" TargetMode="External"/><Relationship Id="rId189" Type="http://schemas.openxmlformats.org/officeDocument/2006/relationships/hyperlink" Target="https://www.sec.gov/Archives/edgar/data/1653558/000165355823000087/ex102priority-sideletter.htm" TargetMode="External"/><Relationship Id="rId190" Type="http://schemas.openxmlformats.org/officeDocument/2006/relationships/hyperlink" Target="https://www.sec.gov/Archives/edgar/data/1653558/000165355823000087/ex103projectbellamy-earnou.htm" TargetMode="External"/><Relationship Id="rId191" Type="http://schemas.openxmlformats.org/officeDocument/2006/relationships/hyperlink" Target="https://www.sec.gov/Archives/edgar/data/1653558/000165355823000100/ex1023priority-amendedandr.htm" TargetMode="External"/><Relationship Id="rId192" Type="http://schemas.openxmlformats.org/officeDocument/2006/relationships/hyperlink" Target="https://www.sec.gov/ix?doc=/Archives/edgar/data/0001653558/000165355824000073/prth-20240516.htm" TargetMode="External"/><Relationship Id="rId193" Type="http://schemas.openxmlformats.org/officeDocument/2006/relationships/hyperlink" Target="https://www.sec.gov/ix?doc=/Archives/edgar/data/0001653558/000165355824000153/prth-20241121.htm" TargetMode="External"/><Relationship Id="rId194" Type="http://schemas.openxmlformats.org/officeDocument/2006/relationships/hyperlink" Target="https://www.sec.gov/Archives/edgar/data/1653558/000165355825000091/ex101prthamendmentno2.htm" TargetMode="External"/><Relationship Id="rId195" Type="http://schemas.openxmlformats.org/officeDocument/2006/relationships/hyperlink" Target="https://www.sec.gov/Archives/edgar/data/1653558/000162828025043526/prth-ex102xcoveramendmentx.htm" TargetMode="External"/><Relationship Id="rId196" Type="http://schemas.openxmlformats.org/officeDocument/2006/relationships/hyperlink" Target="https://www.sec.gov/Archives/edgar/data/1653558/000165355825000107/prth-form8xkxexhibit101x.htm" TargetMode="External"/><Relationship Id="rId197" Type="http://schemas.openxmlformats.org/officeDocument/2006/relationships/hyperlink" Target="https://www.sec.gov/Archives/edgar/data/1653558/000162828025043526/a101assetpurchaseandcontri.htm" TargetMode="External"/><Relationship Id="rId198" Type="http://schemas.openxmlformats.org/officeDocument/2006/relationships/hyperlink" Target="https://www.sec.gov/Archives/edgar/data/1653558/000165355825000107/assetpurchaseagreement-boo.htm" TargetMode="External"/><Relationship Id="rId200" Type="http://schemas.openxmlformats.org/officeDocument/2006/relationships/hyperlink" Target="https://www.sec.gov/Archives/edgar/data/1653558/000165355825000107/prth-form8xkxexhibit103x.htm" TargetMode="External"/><Relationship Id="rId201" Type="http://schemas.openxmlformats.org/officeDocument/2006/relationships/hyperlink" Target="https://www.sec.gov/Archives/edgar/data/1653558/000165355825000107/prth-form8xkxexhibit102x.htm" TargetMode="External"/><Relationship Id="rId202" Type="http://schemas.openxmlformats.org/officeDocument/2006/relationships/hyperlink" Target="https://www.sec.gov/Archives/edgar/data/1653558/000165355825000039/ex191insidertradingpolic.htm" TargetMode="External"/><Relationship Id="rId203" Type="http://schemas.openxmlformats.org/officeDocument/2006/relationships/hyperlink" Target="https://www.sec.gov/Archives/edgar/data/1653558/000165355823000056/ex1025priorityrecoupmentc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2026-03-10T08:23:24Z</dcterms:created>
  <dcterms:modified xsi:type="dcterms:W3CDTF">2026-03-10T08:23:24Z</dcterms:modified>
</cp:coreProperties>
</file>