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520065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16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185" w:lineRule="exact"/>
        <w:rPr>
          <w:sz w:val="24"/>
          <w:szCs w:val="24"/>
          <w:color w:val="auto"/>
        </w:rPr>
      </w:pPr>
    </w:p>
    <w:p>
      <w:pPr>
        <w:jc w:val="center"/>
        <w:ind w:left="4260" w:right="2340" w:hanging="1933"/>
        <w:spacing w:after="0" w:line="281" w:lineRule="auto"/>
        <w:tabs>
          <w:tab w:leader="none" w:pos="2483"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QUARTERLY REPORT PURSUANT TO SECTION 13 OR 15(d) OF THE SECURITIES EXCHANGE ACT OF 1934 For the quarterly period ended September 30, 2023</w:t>
      </w:r>
    </w:p>
    <w:p>
      <w:pPr>
        <w:spacing w:after="0" w:line="15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22" w:lineRule="exact"/>
        <w:rPr>
          <w:sz w:val="24"/>
          <w:szCs w:val="24"/>
          <w:color w:val="auto"/>
        </w:rPr>
      </w:pPr>
    </w:p>
    <w:p>
      <w:pPr>
        <w:ind w:left="2480" w:hanging="150"/>
        <w:spacing w:after="0"/>
        <w:tabs>
          <w:tab w:leader="none" w:pos="248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4" w:lineRule="exact"/>
        <w:rPr>
          <w:sz w:val="24"/>
          <w:szCs w:val="24"/>
          <w:color w:val="auto"/>
        </w:rPr>
      </w:pPr>
    </w:p>
    <w:p>
      <w:pPr>
        <w:ind w:left="4440"/>
        <w:spacing w:after="0"/>
        <w:tabs>
          <w:tab w:leader="none" w:pos="67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FFFFFF"/>
        </w:rPr>
        <w:t>Priority Technology Holdings, Inc.</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2590165</wp:posOffset>
            </wp:positionH>
            <wp:positionV relativeFrom="paragraph">
              <wp:posOffset>41910</wp:posOffset>
            </wp:positionV>
            <wp:extent cx="1994535" cy="923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94535" cy="923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33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Priority Technology Holdings, Inc.</w:t>
            </w:r>
          </w:p>
        </w:tc>
        <w:tc>
          <w:tcPr>
            <w:tcW w:w="3820" w:type="dxa"/>
            <w:vAlign w:val="bottom"/>
          </w:tcPr>
          <w:p>
            <w:pPr>
              <w:spacing w:after="0"/>
              <w:rPr>
                <w:sz w:val="16"/>
                <w:szCs w:val="16"/>
                <w:color w:val="auto"/>
              </w:rPr>
            </w:pPr>
          </w:p>
        </w:tc>
      </w:tr>
      <w:tr>
        <w:trPr>
          <w:trHeight w:val="340"/>
        </w:trPr>
        <w:tc>
          <w:tcPr>
            <w:tcW w:w="4120" w:type="dxa"/>
            <w:vAlign w:val="bottom"/>
          </w:tcPr>
          <w:p>
            <w:pPr>
              <w:spacing w:after="0"/>
              <w:rPr>
                <w:sz w:val="24"/>
                <w:szCs w:val="24"/>
                <w:color w:val="auto"/>
              </w:rPr>
            </w:pPr>
          </w:p>
        </w:tc>
        <w:tc>
          <w:tcPr>
            <w:tcW w:w="3360" w:type="dxa"/>
            <w:vAlign w:val="bottom"/>
            <w:gridSpan w:val="3"/>
          </w:tcPr>
          <w:p>
            <w:pPr>
              <w:jc w:val="center"/>
              <w:ind w:right="320"/>
              <w:spacing w:after="0"/>
              <w:rPr>
                <w:sz w:val="20"/>
                <w:szCs w:val="20"/>
                <w:color w:val="auto"/>
              </w:rPr>
            </w:pPr>
            <w:r>
              <w:rPr>
                <w:rFonts w:ascii="Arial" w:cs="Arial" w:eastAsia="Arial" w:hAnsi="Arial"/>
                <w:sz w:val="14"/>
                <w:szCs w:val="14"/>
                <w:color w:val="auto"/>
                <w:w w:val="91"/>
              </w:rPr>
              <w:t>(Exact name of registrant as specified in its charter)</w:t>
            </w:r>
          </w:p>
        </w:tc>
        <w:tc>
          <w:tcPr>
            <w:tcW w:w="3820" w:type="dxa"/>
            <w:vAlign w:val="bottom"/>
          </w:tcPr>
          <w:p>
            <w:pPr>
              <w:spacing w:after="0"/>
              <w:rPr>
                <w:sz w:val="24"/>
                <w:szCs w:val="24"/>
                <w:color w:val="auto"/>
              </w:rPr>
            </w:pPr>
          </w:p>
        </w:tc>
      </w:tr>
      <w:tr>
        <w:trPr>
          <w:trHeight w:val="393"/>
        </w:trPr>
        <w:tc>
          <w:tcPr>
            <w:tcW w:w="4120" w:type="dxa"/>
            <w:vAlign w:val="bottom"/>
            <w:tcBorders>
              <w:bottom w:val="single" w:sz="8" w:color="auto"/>
            </w:tcBorders>
          </w:tcPr>
          <w:p>
            <w:pPr>
              <w:jc w:val="center"/>
              <w:ind w:left="2432"/>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jc w:val="right"/>
              <w:ind w:right="1932"/>
              <w:spacing w:after="0"/>
              <w:rPr>
                <w:sz w:val="20"/>
                <w:szCs w:val="20"/>
                <w:color w:val="auto"/>
              </w:rPr>
            </w:pPr>
            <w:r>
              <w:rPr>
                <w:rFonts w:ascii="Arial" w:cs="Arial" w:eastAsia="Arial" w:hAnsi="Arial"/>
                <w:sz w:val="14"/>
                <w:szCs w:val="14"/>
                <w:b w:val="1"/>
                <w:bCs w:val="1"/>
                <w:color w:val="auto"/>
              </w:rPr>
              <w:t>47-4257046</w:t>
            </w:r>
          </w:p>
        </w:tc>
      </w:tr>
      <w:tr>
        <w:trPr>
          <w:trHeight w:val="122"/>
        </w:trPr>
        <w:tc>
          <w:tcPr>
            <w:tcW w:w="4120" w:type="dxa"/>
            <w:vAlign w:val="bottom"/>
          </w:tcPr>
          <w:p>
            <w:pPr>
              <w:jc w:val="center"/>
              <w:ind w:left="2432"/>
              <w:spacing w:after="0" w:line="122" w:lineRule="exact"/>
              <w:rPr>
                <w:sz w:val="20"/>
                <w:szCs w:val="20"/>
                <w:color w:val="auto"/>
              </w:rPr>
            </w:pPr>
            <w:r>
              <w:rPr>
                <w:rFonts w:ascii="Arial" w:cs="Arial" w:eastAsia="Arial" w:hAnsi="Arial"/>
                <w:sz w:val="13"/>
                <w:szCs w:val="13"/>
                <w:color w:val="auto"/>
                <w:w w:val="89"/>
              </w:rPr>
              <w:t>(State or other jurisdiction of</w:t>
            </w:r>
          </w:p>
        </w:tc>
        <w:tc>
          <w:tcPr>
            <w:tcW w:w="7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20" w:type="dxa"/>
            <w:vAlign w:val="bottom"/>
          </w:tcPr>
          <w:p>
            <w:pPr>
              <w:jc w:val="center"/>
              <w:ind w:right="812"/>
              <w:spacing w:after="0" w:line="122" w:lineRule="exact"/>
              <w:rPr>
                <w:sz w:val="20"/>
                <w:szCs w:val="20"/>
                <w:color w:val="auto"/>
              </w:rPr>
            </w:pPr>
            <w:r>
              <w:rPr>
                <w:rFonts w:ascii="Arial" w:cs="Arial" w:eastAsia="Arial" w:hAnsi="Arial"/>
                <w:sz w:val="13"/>
                <w:szCs w:val="13"/>
                <w:color w:val="auto"/>
                <w:w w:val="90"/>
              </w:rPr>
              <w:t>(I.R.S. Employer</w:t>
            </w:r>
          </w:p>
        </w:tc>
      </w:tr>
      <w:tr>
        <w:trPr>
          <w:trHeight w:val="161"/>
        </w:trPr>
        <w:tc>
          <w:tcPr>
            <w:tcW w:w="4120" w:type="dxa"/>
            <w:vAlign w:val="bottom"/>
          </w:tcPr>
          <w:p>
            <w:pPr>
              <w:jc w:val="center"/>
              <w:ind w:left="2432"/>
              <w:spacing w:after="0"/>
              <w:rPr>
                <w:sz w:val="20"/>
                <w:szCs w:val="20"/>
                <w:color w:val="auto"/>
              </w:rPr>
            </w:pPr>
            <w:r>
              <w:rPr>
                <w:rFonts w:ascii="Arial" w:cs="Arial" w:eastAsia="Arial" w:hAnsi="Arial"/>
                <w:sz w:val="13"/>
                <w:szCs w:val="13"/>
                <w:color w:val="auto"/>
                <w:w w:val="91"/>
              </w:rPr>
              <w:t>incorporation or organization)</w:t>
            </w: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20" w:type="dxa"/>
            <w:vAlign w:val="bottom"/>
          </w:tcPr>
          <w:p>
            <w:pPr>
              <w:jc w:val="center"/>
              <w:ind w:right="812"/>
              <w:spacing w:after="0"/>
              <w:rPr>
                <w:sz w:val="20"/>
                <w:szCs w:val="20"/>
                <w:color w:val="auto"/>
              </w:rPr>
            </w:pPr>
            <w:r>
              <w:rPr>
                <w:rFonts w:ascii="Arial" w:cs="Arial" w:eastAsia="Arial" w:hAnsi="Arial"/>
                <w:sz w:val="13"/>
                <w:szCs w:val="13"/>
                <w:color w:val="auto"/>
                <w:w w:val="92"/>
              </w:rPr>
              <w:t>Identification No.)</w:t>
            </w:r>
          </w:p>
        </w:tc>
      </w:tr>
      <w:tr>
        <w:trPr>
          <w:trHeight w:val="340"/>
        </w:trPr>
        <w:tc>
          <w:tcPr>
            <w:tcW w:w="4120" w:type="dxa"/>
            <w:vAlign w:val="bottom"/>
          </w:tcPr>
          <w:p>
            <w:pPr>
              <w:jc w:val="center"/>
              <w:ind w:left="2432"/>
              <w:spacing w:after="0"/>
              <w:rPr>
                <w:sz w:val="20"/>
                <w:szCs w:val="20"/>
                <w:color w:val="auto"/>
              </w:rPr>
            </w:pPr>
            <w:r>
              <w:rPr>
                <w:rFonts w:ascii="Arial" w:cs="Arial" w:eastAsia="Arial" w:hAnsi="Arial"/>
                <w:sz w:val="14"/>
                <w:szCs w:val="14"/>
                <w:b w:val="1"/>
                <w:bCs w:val="1"/>
                <w:color w:val="auto"/>
                <w:w w:val="90"/>
              </w:rPr>
              <w:t>2001 Westside Parkway</w:t>
            </w: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80"/>
        </w:trPr>
        <w:tc>
          <w:tcPr>
            <w:tcW w:w="4120" w:type="dxa"/>
            <w:vAlign w:val="bottom"/>
          </w:tcPr>
          <w:p>
            <w:pPr>
              <w:jc w:val="center"/>
              <w:ind w:left="2432"/>
              <w:spacing w:after="0"/>
              <w:rPr>
                <w:sz w:val="20"/>
                <w:szCs w:val="20"/>
                <w:color w:val="auto"/>
              </w:rPr>
            </w:pPr>
            <w:r>
              <w:rPr>
                <w:rFonts w:ascii="Arial" w:cs="Arial" w:eastAsia="Arial" w:hAnsi="Arial"/>
                <w:sz w:val="14"/>
                <w:szCs w:val="14"/>
                <w:b w:val="1"/>
                <w:bCs w:val="1"/>
                <w:color w:val="auto"/>
                <w:w w:val="87"/>
              </w:rPr>
              <w:t>Suite 155</w:t>
            </w: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20" w:type="dxa"/>
            <w:vAlign w:val="bottom"/>
          </w:tcPr>
          <w:p>
            <w:pPr>
              <w:spacing w:after="0"/>
              <w:rPr>
                <w:sz w:val="15"/>
                <w:szCs w:val="15"/>
                <w:color w:val="auto"/>
              </w:rPr>
            </w:pPr>
          </w:p>
        </w:tc>
      </w:tr>
      <w:tr>
        <w:trPr>
          <w:trHeight w:val="184"/>
        </w:trPr>
        <w:tc>
          <w:tcPr>
            <w:tcW w:w="4120" w:type="dxa"/>
            <w:vAlign w:val="bottom"/>
            <w:tcBorders>
              <w:bottom w:val="single" w:sz="8" w:color="auto"/>
            </w:tcBorders>
          </w:tcPr>
          <w:p>
            <w:pPr>
              <w:jc w:val="center"/>
              <w:ind w:left="492"/>
              <w:spacing w:after="0"/>
              <w:rPr>
                <w:sz w:val="20"/>
                <w:szCs w:val="20"/>
                <w:color w:val="auto"/>
              </w:rPr>
            </w:pPr>
            <w:r>
              <w:rPr>
                <w:rFonts w:ascii="Arial" w:cs="Arial" w:eastAsia="Arial" w:hAnsi="Arial"/>
                <w:sz w:val="14"/>
                <w:szCs w:val="14"/>
                <w:b w:val="1"/>
                <w:bCs w:val="1"/>
                <w:color w:val="auto"/>
                <w:w w:val="92"/>
              </w:rPr>
              <w:t>Alpharetta,</w:t>
            </w:r>
          </w:p>
        </w:tc>
        <w:tc>
          <w:tcPr>
            <w:tcW w:w="7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tcPr>
          <w:p>
            <w:pPr>
              <w:jc w:val="center"/>
              <w:ind w:right="1020"/>
              <w:spacing w:after="0"/>
              <w:rPr>
                <w:sz w:val="20"/>
                <w:szCs w:val="20"/>
                <w:color w:val="auto"/>
              </w:rPr>
            </w:pPr>
            <w:r>
              <w:rPr>
                <w:rFonts w:ascii="Arial" w:cs="Arial" w:eastAsia="Arial" w:hAnsi="Arial"/>
                <w:sz w:val="14"/>
                <w:szCs w:val="14"/>
                <w:b w:val="1"/>
                <w:bCs w:val="1"/>
                <w:color w:val="auto"/>
                <w:w w:val="90"/>
              </w:rPr>
              <w:t>Georgia</w:t>
            </w:r>
          </w:p>
        </w:tc>
        <w:tc>
          <w:tcPr>
            <w:tcW w:w="3820" w:type="dxa"/>
            <w:vAlign w:val="bottom"/>
            <w:tcBorders>
              <w:bottom w:val="single" w:sz="8" w:color="auto"/>
            </w:tcBorders>
          </w:tcPr>
          <w:p>
            <w:pPr>
              <w:jc w:val="right"/>
              <w:ind w:right="2112"/>
              <w:spacing w:after="0"/>
              <w:rPr>
                <w:sz w:val="20"/>
                <w:szCs w:val="20"/>
                <w:color w:val="auto"/>
              </w:rPr>
            </w:pPr>
            <w:r>
              <w:rPr>
                <w:rFonts w:ascii="Arial" w:cs="Arial" w:eastAsia="Arial" w:hAnsi="Arial"/>
                <w:sz w:val="14"/>
                <w:szCs w:val="14"/>
                <w:b w:val="1"/>
                <w:bCs w:val="1"/>
                <w:color w:val="auto"/>
              </w:rPr>
              <w:t>30004</w:t>
            </w:r>
          </w:p>
        </w:tc>
      </w:tr>
      <w:tr>
        <w:trPr>
          <w:trHeight w:val="156"/>
        </w:trPr>
        <w:tc>
          <w:tcPr>
            <w:tcW w:w="4120" w:type="dxa"/>
            <w:vAlign w:val="bottom"/>
          </w:tcPr>
          <w:p>
            <w:pPr>
              <w:jc w:val="center"/>
              <w:ind w:left="472"/>
              <w:spacing w:after="0"/>
              <w:rPr>
                <w:sz w:val="20"/>
                <w:szCs w:val="20"/>
                <w:color w:val="auto"/>
              </w:rPr>
            </w:pPr>
            <w:r>
              <w:rPr>
                <w:rFonts w:ascii="Arial" w:cs="Arial" w:eastAsia="Arial" w:hAnsi="Arial"/>
                <w:sz w:val="13"/>
                <w:szCs w:val="13"/>
                <w:color w:val="auto"/>
                <w:w w:val="90"/>
              </w:rPr>
              <w:t>(Address of principal executive offices)</w:t>
            </w: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20" w:type="dxa"/>
            <w:vAlign w:val="bottom"/>
          </w:tcPr>
          <w:p>
            <w:pPr>
              <w:jc w:val="center"/>
              <w:ind w:right="812"/>
              <w:spacing w:after="0"/>
              <w:rPr>
                <w:sz w:val="20"/>
                <w:szCs w:val="20"/>
                <w:color w:val="auto"/>
              </w:rPr>
            </w:pPr>
            <w:r>
              <w:rPr>
                <w:rFonts w:ascii="Arial" w:cs="Arial" w:eastAsia="Arial" w:hAnsi="Arial"/>
                <w:sz w:val="13"/>
                <w:szCs w:val="13"/>
                <w:color w:val="auto"/>
                <w:w w:val="94"/>
              </w:rPr>
              <w:t>(Zip Code)</w:t>
            </w:r>
          </w:p>
        </w:tc>
      </w:tr>
      <w:tr>
        <w:trPr>
          <w:trHeight w:val="384"/>
        </w:trPr>
        <w:tc>
          <w:tcPr>
            <w:tcW w:w="7480" w:type="dxa"/>
            <w:vAlign w:val="bottom"/>
            <w:tcBorders>
              <w:bottom w:val="single" w:sz="8" w:color="auto"/>
            </w:tcBorders>
            <w:gridSpan w:val="4"/>
          </w:tcPr>
          <w:p>
            <w:pPr>
              <w:jc w:val="center"/>
              <w:ind w:left="3752"/>
              <w:spacing w:after="0"/>
              <w:rPr>
                <w:sz w:val="20"/>
                <w:szCs w:val="20"/>
                <w:color w:val="auto"/>
              </w:rPr>
            </w:pPr>
            <w:r>
              <w:rPr>
                <w:rFonts w:ascii="Arial" w:cs="Arial" w:eastAsia="Arial" w:hAnsi="Arial"/>
                <w:sz w:val="13"/>
                <w:szCs w:val="13"/>
                <w:color w:val="auto"/>
                <w:w w:val="88"/>
              </w:rPr>
              <w:t>Registrant's telephone number, including area code: (404) 952-2107</w:t>
            </w:r>
          </w:p>
        </w:tc>
        <w:tc>
          <w:tcPr>
            <w:tcW w:w="3820" w:type="dxa"/>
            <w:vAlign w:val="bottom"/>
            <w:tcBorders>
              <w:bottom w:val="single" w:sz="8" w:color="auto"/>
            </w:tcBorders>
          </w:tcPr>
          <w:p>
            <w:pPr>
              <w:spacing w:after="0"/>
              <w:rPr>
                <w:sz w:val="24"/>
                <w:szCs w:val="24"/>
                <w:color w:val="auto"/>
              </w:rPr>
            </w:pPr>
          </w:p>
        </w:tc>
      </w:tr>
      <w:tr>
        <w:trPr>
          <w:trHeight w:val="320"/>
        </w:trPr>
        <w:tc>
          <w:tcPr>
            <w:tcW w:w="4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center"/>
              <w:ind w:right="1000"/>
              <w:spacing w:after="0"/>
              <w:rPr>
                <w:sz w:val="20"/>
                <w:szCs w:val="20"/>
                <w:color w:val="auto"/>
              </w:rPr>
            </w:pPr>
            <w:r>
              <w:rPr>
                <w:rFonts w:ascii="Arial" w:cs="Arial" w:eastAsia="Arial" w:hAnsi="Arial"/>
                <w:sz w:val="13"/>
                <w:szCs w:val="13"/>
                <w:color w:val="auto"/>
                <w:w w:val="89"/>
              </w:rPr>
              <w:t>Not applicable</w:t>
            </w:r>
          </w:p>
        </w:tc>
        <w:tc>
          <w:tcPr>
            <w:tcW w:w="3820" w:type="dxa"/>
            <w:vAlign w:val="bottom"/>
            <w:tcBorders>
              <w:bottom w:val="single" w:sz="8" w:color="auto"/>
            </w:tcBorders>
          </w:tcPr>
          <w:p>
            <w:pPr>
              <w:spacing w:after="0"/>
              <w:rPr>
                <w:sz w:val="24"/>
                <w:szCs w:val="24"/>
                <w:color w:val="auto"/>
              </w:rPr>
            </w:pPr>
          </w:p>
        </w:tc>
      </w:tr>
      <w:tr>
        <w:trPr>
          <w:trHeight w:val="158"/>
        </w:trPr>
        <w:tc>
          <w:tcPr>
            <w:tcW w:w="11300" w:type="dxa"/>
            <w:vAlign w:val="bottom"/>
            <w:gridSpan w:val="5"/>
          </w:tcPr>
          <w:p>
            <w:pPr>
              <w:jc w:val="center"/>
              <w:spacing w:after="0"/>
              <w:rPr>
                <w:sz w:val="20"/>
                <w:szCs w:val="20"/>
                <w:color w:val="auto"/>
              </w:rPr>
            </w:pPr>
            <w:r>
              <w:rPr>
                <w:rFonts w:ascii="Arial" w:cs="Arial" w:eastAsia="Arial" w:hAnsi="Arial"/>
                <w:sz w:val="13"/>
                <w:szCs w:val="13"/>
                <w:color w:val="auto"/>
                <w:w w:val="88"/>
              </w:rPr>
              <w:t>(Former name, former address and former fiscal year, if changed since last report)</w:t>
            </w:r>
          </w:p>
        </w:tc>
      </w:tr>
      <w:tr>
        <w:trPr>
          <w:trHeight w:val="503"/>
        </w:trPr>
        <w:tc>
          <w:tcPr>
            <w:tcW w:w="41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96"/>
        </w:trPr>
        <w:tc>
          <w:tcPr>
            <w:tcW w:w="4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r>
      <w:tr>
        <w:trPr>
          <w:trHeight w:val="171"/>
        </w:trPr>
        <w:tc>
          <w:tcPr>
            <w:tcW w:w="4120" w:type="dxa"/>
            <w:vAlign w:val="bottom"/>
            <w:tcBorders>
              <w:left w:val="single" w:sz="8" w:color="auto"/>
              <w:bottom w:val="single" w:sz="8" w:color="auto"/>
            </w:tcBorders>
          </w:tcPr>
          <w:p>
            <w:pPr>
              <w:jc w:val="center"/>
              <w:ind w:left="632"/>
              <w:spacing w:after="0"/>
              <w:rPr>
                <w:sz w:val="20"/>
                <w:szCs w:val="20"/>
                <w:color w:val="auto"/>
              </w:rPr>
            </w:pPr>
            <w:r>
              <w:rPr>
                <w:rFonts w:ascii="Arial" w:cs="Arial" w:eastAsia="Arial" w:hAnsi="Arial"/>
                <w:sz w:val="14"/>
                <w:szCs w:val="14"/>
                <w:b w:val="1"/>
                <w:bCs w:val="1"/>
                <w:color w:val="auto"/>
                <w:w w:val="87"/>
              </w:rPr>
              <w:t>Title of each class</w:t>
            </w:r>
          </w:p>
        </w:tc>
        <w:tc>
          <w:tcPr>
            <w:tcW w:w="70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98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932"/>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1"/>
        </w:trPr>
        <w:tc>
          <w:tcPr>
            <w:tcW w:w="4120" w:type="dxa"/>
            <w:vAlign w:val="bottom"/>
            <w:tcBorders>
              <w:left w:val="single" w:sz="8" w:color="auto"/>
              <w:bottom w:val="single" w:sz="8" w:color="auto"/>
            </w:tcBorders>
          </w:tcPr>
          <w:p>
            <w:pPr>
              <w:jc w:val="center"/>
              <w:ind w:left="632"/>
              <w:spacing w:after="0"/>
              <w:rPr>
                <w:sz w:val="20"/>
                <w:szCs w:val="20"/>
                <w:color w:val="auto"/>
              </w:rPr>
            </w:pPr>
            <w:r>
              <w:rPr>
                <w:rFonts w:ascii="Arial" w:cs="Arial" w:eastAsia="Arial" w:hAnsi="Arial"/>
                <w:sz w:val="14"/>
                <w:szCs w:val="14"/>
                <w:color w:val="auto"/>
                <w:w w:val="91"/>
              </w:rPr>
              <w:t>Common Stock, par value $0.001</w:t>
            </w:r>
          </w:p>
        </w:tc>
        <w:tc>
          <w:tcPr>
            <w:tcW w:w="70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PRTH</w:t>
            </w:r>
          </w:p>
        </w:tc>
        <w:tc>
          <w:tcPr>
            <w:tcW w:w="98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952"/>
              <w:spacing w:after="0"/>
              <w:rPr>
                <w:sz w:val="20"/>
                <w:szCs w:val="20"/>
                <w:color w:val="auto"/>
              </w:rPr>
            </w:pPr>
            <w:r>
              <w:rPr>
                <w:rFonts w:ascii="Arial" w:cs="Arial" w:eastAsia="Arial" w:hAnsi="Arial"/>
                <w:sz w:val="14"/>
                <w:szCs w:val="14"/>
                <w:color w:val="auto"/>
                <w:w w:val="91"/>
              </w:rPr>
              <w:t>Nasdaq Global Market</w:t>
            </w:r>
          </w:p>
        </w:tc>
      </w:tr>
    </w:tbl>
    <w:p>
      <w:pPr>
        <w:spacing w:after="0" w:line="255" w:lineRule="exact"/>
        <w:rPr>
          <w:sz w:val="24"/>
          <w:szCs w:val="24"/>
          <w:color w:val="auto"/>
        </w:rPr>
      </w:pPr>
    </w:p>
    <w:p>
      <w:pPr>
        <w:ind w:right="18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w:t>
      </w:r>
    </w:p>
    <w:p>
      <w:pPr>
        <w:spacing w:after="0" w:line="16" w:lineRule="exact"/>
        <w:rPr>
          <w:sz w:val="24"/>
          <w:szCs w:val="24"/>
          <w:color w:val="auto"/>
        </w:rPr>
      </w:pPr>
    </w:p>
    <w:p>
      <w:pPr>
        <w:spacing w:after="0" w:line="161" w:lineRule="exact"/>
        <w:tabs>
          <w:tab w:leader="none" w:pos="10240" w:val="left"/>
          <w:tab w:leader="none" w:pos="10820" w:val="left"/>
        </w:tabs>
        <w:rPr>
          <w:sz w:val="20"/>
          <w:szCs w:val="20"/>
          <w:color w:val="auto"/>
        </w:rPr>
      </w:pPr>
      <w:r>
        <w:rPr>
          <w:rFonts w:ascii="Arial" w:cs="Arial" w:eastAsia="Arial" w:hAnsi="Arial"/>
          <w:sz w:val="13"/>
          <w:szCs w:val="13"/>
          <w:color w:val="auto"/>
        </w:rPr>
        <w:t>pursuant to Rule 405 of Regulation S-T (§232.405 of this chapter) during the preceding 12 months (or for such shorter period that the registrant was required to submit such files).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w:t>
      </w:r>
    </w:p>
    <w:p>
      <w:pPr>
        <w:spacing w:after="0" w:line="19" w:lineRule="exact"/>
        <w:rPr>
          <w:sz w:val="24"/>
          <w:szCs w:val="24"/>
          <w:color w:val="auto"/>
        </w:rPr>
      </w:pPr>
    </w:p>
    <w:p>
      <w:pPr>
        <w:ind w:right="140"/>
        <w:spacing w:after="0" w:line="266" w:lineRule="auto"/>
        <w:rPr>
          <w:sz w:val="20"/>
          <w:szCs w:val="20"/>
          <w:color w:val="auto"/>
        </w:rPr>
      </w:pPr>
      <w:r>
        <w:rPr>
          <w:rFonts w:ascii="Arial" w:cs="Arial" w:eastAsia="Arial" w:hAnsi="Arial"/>
          <w:sz w:val="14"/>
          <w:szCs w:val="14"/>
          <w:color w:val="auto"/>
        </w:rPr>
        <w:t>reporting company, or an emerging growth company. See the definitions of "large accelerated filer," "accelerated filer," "smaller reporting company," and "emerging growth company" in Rule 12b-2 of the Exchange Act.</w:t>
      </w:r>
    </w:p>
    <w:p>
      <w:pPr>
        <w:spacing w:after="0" w:line="234"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2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2520" w:type="dxa"/>
            <w:vAlign w:val="bottom"/>
          </w:tcPr>
          <w:p>
            <w:pPr>
              <w:ind w:left="840"/>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12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2520" w:type="dxa"/>
            <w:vAlign w:val="bottom"/>
          </w:tcPr>
          <w:p>
            <w:pPr>
              <w:ind w:left="840"/>
              <w:spacing w:after="0"/>
              <w:rPr>
                <w:sz w:val="20"/>
                <w:szCs w:val="20"/>
                <w:color w:val="auto"/>
              </w:rPr>
            </w:pPr>
            <w:r>
              <w:rPr>
                <w:rFonts w:ascii="Arial" w:cs="Arial" w:eastAsia="Arial" w:hAnsi="Arial"/>
                <w:sz w:val="14"/>
                <w:szCs w:val="14"/>
                <w:color w:val="auto"/>
                <w:w w:val="99"/>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520" w:type="dxa"/>
            <w:vAlign w:val="bottom"/>
          </w:tcPr>
          <w:p>
            <w:pPr>
              <w:ind w:left="840"/>
              <w:spacing w:after="0"/>
              <w:rPr>
                <w:sz w:val="20"/>
                <w:szCs w:val="20"/>
                <w:color w:val="auto"/>
              </w:rPr>
            </w:pPr>
            <w:r>
              <w:rPr>
                <w:rFonts w:ascii="Arial" w:cs="Arial" w:eastAsia="Arial" w:hAnsi="Arial"/>
                <w:sz w:val="14"/>
                <w:szCs w:val="14"/>
                <w:color w:val="auto"/>
                <w:w w:val="99"/>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12" w:lineRule="exact"/>
        <w:rPr>
          <w:sz w:val="24"/>
          <w:szCs w:val="24"/>
          <w:color w:val="auto"/>
        </w:rPr>
      </w:pPr>
    </w:p>
    <w:p>
      <w:pPr>
        <w:ind w:right="24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6" w:lineRule="exact"/>
        <w:rPr>
          <w:sz w:val="24"/>
          <w:szCs w:val="24"/>
          <w:color w:val="auto"/>
        </w:rPr>
      </w:pPr>
    </w:p>
    <w:p>
      <w:pPr>
        <w:ind w:left="40"/>
        <w:spacing w:after="0" w:line="161" w:lineRule="exact"/>
        <w:tabs>
          <w:tab w:leader="none" w:pos="5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3, 2023, the number of the registrant's Common Stock outstanding was 76,722,581.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377190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99"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780" w:type="dxa"/>
            <w:vAlign w:val="bottom"/>
            <w:gridSpan w:val="2"/>
          </w:tcPr>
          <w:p>
            <w:pPr>
              <w:ind w:left="60"/>
              <w:spacing w:after="0"/>
              <w:rPr>
                <w:sz w:val="20"/>
                <w:szCs w:val="20"/>
                <w:color w:val="auto"/>
              </w:rPr>
            </w:pPr>
            <w:r>
              <w:rPr>
                <w:rFonts w:ascii="Arial" w:cs="Arial" w:eastAsia="Arial" w:hAnsi="Arial"/>
                <w:sz w:val="14"/>
                <w:szCs w:val="14"/>
                <w:b w:val="1"/>
                <w:bCs w:val="1"/>
                <w:color w:val="auto"/>
              </w:rPr>
              <w:t>Table of Contents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42"/>
        </w:trPr>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78"/>
              </w:rPr>
              <w:t>Page</w:t>
            </w:r>
          </w:p>
        </w:tc>
      </w:tr>
      <w:tr>
        <w:trPr>
          <w:trHeight w:val="150"/>
        </w:trPr>
        <w:tc>
          <w:tcPr>
            <w:tcW w:w="1800" w:type="dxa"/>
            <w:vAlign w:val="bottom"/>
            <w:gridSpan w:val="15"/>
          </w:tcPr>
          <w:p>
            <w:pPr>
              <w:spacing w:after="0"/>
              <w:rPr>
                <w:sz w:val="20"/>
                <w:szCs w:val="20"/>
                <w:color w:val="auto"/>
              </w:rPr>
            </w:pPr>
            <w:r>
              <w:rPr>
                <w:rFonts w:ascii="Arial" w:cs="Arial" w:eastAsia="Arial" w:hAnsi="Arial"/>
                <w:sz w:val="13"/>
                <w:szCs w:val="13"/>
                <w:color w:val="0000FF"/>
                <w:w w:val="88"/>
              </w:rPr>
              <w:t>Commonly Used or Defined Terms</w:t>
            </w:r>
          </w:p>
        </w:tc>
        <w:tc>
          <w:tcPr>
            <w:tcW w:w="9020" w:type="dxa"/>
            <w:vAlign w:val="bottom"/>
            <w:gridSpan w:val="12"/>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jc w:val="center"/>
              <w:ind w:right="100"/>
              <w:spacing w:after="0"/>
              <w:rPr>
                <w:sz w:val="20"/>
                <w:szCs w:val="20"/>
                <w:color w:val="auto"/>
              </w:rPr>
            </w:pPr>
            <w:r>
              <w:rPr>
                <w:rFonts w:ascii="Arial" w:cs="Arial" w:eastAsia="Arial" w:hAnsi="Arial"/>
                <w:sz w:val="13"/>
                <w:szCs w:val="13"/>
                <w:color w:val="0000FF"/>
              </w:rPr>
              <w:t>ii</w:t>
            </w: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0"/>
        </w:trPr>
        <w:tc>
          <w:tcPr>
            <w:tcW w:w="2060" w:type="dxa"/>
            <w:vAlign w:val="bottom"/>
            <w:tcBorders>
              <w:bottom w:val="single" w:sz="8" w:color="0000FF"/>
            </w:tcBorders>
            <w:gridSpan w:val="17"/>
          </w:tcPr>
          <w:p>
            <w:pPr>
              <w:spacing w:after="0"/>
              <w:rPr>
                <w:sz w:val="20"/>
                <w:szCs w:val="20"/>
                <w:color w:val="auto"/>
              </w:rPr>
            </w:pPr>
            <w:r>
              <w:rPr>
                <w:rFonts w:ascii="Arial" w:cs="Arial" w:eastAsia="Arial" w:hAnsi="Arial"/>
                <w:sz w:val="13"/>
                <w:szCs w:val="13"/>
                <w:color w:val="0000FF"/>
                <w:w w:val="95"/>
              </w:rPr>
              <w:t>PART I. FINANCIAL INFORMATION</w:t>
            </w:r>
          </w:p>
        </w:tc>
        <w:tc>
          <w:tcPr>
            <w:tcW w:w="8760" w:type="dxa"/>
            <w:vAlign w:val="bottom"/>
            <w:gridSpan w:val="10"/>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w w:val="82"/>
              </w:rPr>
              <w:t>1</w:t>
            </w:r>
          </w:p>
        </w:tc>
        <w:tc>
          <w:tcPr>
            <w:tcW w:w="100" w:type="dxa"/>
            <w:vAlign w:val="bottom"/>
          </w:tcPr>
          <w:p>
            <w:pPr>
              <w:spacing w:after="0"/>
              <w:rPr>
                <w:sz w:val="13"/>
                <w:szCs w:val="13"/>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6"/>
          </w:tcPr>
          <w:p>
            <w:pPr>
              <w:spacing w:after="0"/>
              <w:rPr>
                <w:sz w:val="20"/>
                <w:szCs w:val="20"/>
                <w:color w:val="auto"/>
              </w:rPr>
            </w:pPr>
            <w:r>
              <w:rPr>
                <w:rFonts w:ascii="Arial" w:cs="Arial" w:eastAsia="Arial" w:hAnsi="Arial"/>
                <w:sz w:val="13"/>
                <w:szCs w:val="13"/>
                <w:color w:val="0000FF"/>
              </w:rPr>
              <w:t>Item 1. Financial Statements</w:t>
            </w:r>
          </w:p>
        </w:tc>
        <w:tc>
          <w:tcPr>
            <w:tcW w:w="140" w:type="dxa"/>
            <w:vAlign w:val="bottom"/>
            <w:gridSpan w:val="2"/>
          </w:tcPr>
          <w:p>
            <w:pPr>
              <w:jc w:val="center"/>
              <w:ind w:left="16"/>
              <w:spacing w:after="0"/>
              <w:rPr>
                <w:sz w:val="20"/>
                <w:szCs w:val="20"/>
                <w:color w:val="auto"/>
              </w:rPr>
            </w:pPr>
            <w:r>
              <w:rPr>
                <w:rFonts w:ascii="Arial" w:cs="Arial" w:eastAsia="Arial" w:hAnsi="Arial"/>
                <w:sz w:val="13"/>
                <w:szCs w:val="13"/>
                <w:color w:val="0000FF"/>
                <w:w w:val="82"/>
              </w:rPr>
              <w:t>1</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6"/>
          </w:tcPr>
          <w:p>
            <w:pPr>
              <w:spacing w:after="0"/>
              <w:rPr>
                <w:sz w:val="20"/>
                <w:szCs w:val="20"/>
                <w:color w:val="auto"/>
              </w:rPr>
            </w:pPr>
            <w:r>
              <w:rPr>
                <w:rFonts w:ascii="Arial" w:cs="Arial" w:eastAsia="Arial" w:hAnsi="Arial"/>
                <w:sz w:val="13"/>
                <w:szCs w:val="13"/>
                <w:color w:val="0000FF"/>
              </w:rPr>
              <w:t>Unaudited Consolidated Balance Sheets</w:t>
            </w:r>
          </w:p>
        </w:tc>
        <w:tc>
          <w:tcPr>
            <w:tcW w:w="140" w:type="dxa"/>
            <w:vAlign w:val="bottom"/>
            <w:gridSpan w:val="2"/>
          </w:tcPr>
          <w:p>
            <w:pPr>
              <w:jc w:val="center"/>
              <w:ind w:left="16"/>
              <w:spacing w:after="0"/>
              <w:rPr>
                <w:sz w:val="20"/>
                <w:szCs w:val="20"/>
                <w:color w:val="auto"/>
              </w:rPr>
            </w:pPr>
            <w:r>
              <w:rPr>
                <w:rFonts w:ascii="Arial" w:cs="Arial" w:eastAsia="Arial" w:hAnsi="Arial"/>
                <w:sz w:val="13"/>
                <w:szCs w:val="13"/>
                <w:color w:val="0000FF"/>
                <w:w w:val="82"/>
              </w:rPr>
              <w:t>1</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3800" w:type="dxa"/>
            <w:vAlign w:val="bottom"/>
            <w:tcBorders>
              <w:bottom w:val="single" w:sz="8" w:color="0000FF"/>
            </w:tcBorders>
            <w:gridSpan w:val="23"/>
          </w:tcPr>
          <w:p>
            <w:pPr>
              <w:spacing w:after="0"/>
              <w:rPr>
                <w:sz w:val="20"/>
                <w:szCs w:val="20"/>
                <w:color w:val="auto"/>
              </w:rPr>
            </w:pPr>
            <w:r>
              <w:rPr>
                <w:rFonts w:ascii="Arial" w:cs="Arial" w:eastAsia="Arial" w:hAnsi="Arial"/>
                <w:sz w:val="13"/>
                <w:szCs w:val="13"/>
                <w:color w:val="0000FF"/>
                <w:w w:val="85"/>
              </w:rPr>
              <w:t>Unaudited Consolidated Statements of Operations and Comprehensive Loss</w:t>
            </w:r>
          </w:p>
        </w:tc>
        <w:tc>
          <w:tcPr>
            <w:tcW w:w="68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w w:val="82"/>
              </w:rPr>
              <w:t>2</w:t>
            </w:r>
          </w:p>
        </w:tc>
        <w:tc>
          <w:tcPr>
            <w:tcW w:w="100" w:type="dxa"/>
            <w:vAlign w:val="bottom"/>
          </w:tcPr>
          <w:p>
            <w:pPr>
              <w:spacing w:after="0"/>
              <w:rPr>
                <w:sz w:val="13"/>
                <w:szCs w:val="13"/>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6"/>
          </w:tcPr>
          <w:p>
            <w:pPr>
              <w:spacing w:after="0"/>
              <w:rPr>
                <w:sz w:val="20"/>
                <w:szCs w:val="20"/>
                <w:color w:val="auto"/>
              </w:rPr>
            </w:pPr>
            <w:r>
              <w:rPr>
                <w:rFonts w:ascii="Arial" w:cs="Arial" w:eastAsia="Arial" w:hAnsi="Arial"/>
                <w:sz w:val="13"/>
                <w:szCs w:val="13"/>
                <w:color w:val="0000FF"/>
              </w:rPr>
              <w:t>Unaudited Consolidated Statements of Changes in Stockholders' Deficit and Non-Controlling Interest</w:t>
            </w:r>
          </w:p>
        </w:tc>
        <w:tc>
          <w:tcPr>
            <w:tcW w:w="140" w:type="dxa"/>
            <w:vAlign w:val="bottom"/>
            <w:gridSpan w:val="2"/>
          </w:tcPr>
          <w:p>
            <w:pPr>
              <w:jc w:val="center"/>
              <w:ind w:left="16"/>
              <w:spacing w:after="0"/>
              <w:rPr>
                <w:sz w:val="20"/>
                <w:szCs w:val="20"/>
                <w:color w:val="auto"/>
              </w:rPr>
            </w:pPr>
            <w:r>
              <w:rPr>
                <w:rFonts w:ascii="Arial" w:cs="Arial" w:eastAsia="Arial" w:hAnsi="Arial"/>
                <w:sz w:val="13"/>
                <w:szCs w:val="13"/>
                <w:color w:val="0000FF"/>
                <w:w w:val="82"/>
              </w:rPr>
              <w:t>3</w:t>
            </w:r>
          </w:p>
        </w:tc>
        <w:tc>
          <w:tcPr>
            <w:tcW w:w="100" w:type="dxa"/>
            <w:vAlign w:val="bottom"/>
          </w:tcPr>
          <w:p>
            <w:pPr>
              <w:spacing w:after="0"/>
              <w:rPr>
                <w:sz w:val="13"/>
                <w:szCs w:val="13"/>
                <w:color w:val="auto"/>
              </w:rPr>
            </w:pPr>
          </w:p>
        </w:tc>
      </w:tr>
      <w:tr>
        <w:trPr>
          <w:trHeight w:val="150"/>
        </w:trPr>
        <w:tc>
          <w:tcPr>
            <w:tcW w:w="16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3"/>
                <w:szCs w:val="13"/>
                <w:color w:val="0000FF"/>
                <w:w w:val="84"/>
              </w:rPr>
              <w:t>Unaudited Consolidated Statements of Cash Flows</w:t>
            </w:r>
          </w:p>
        </w:tc>
        <w:tc>
          <w:tcPr>
            <w:tcW w:w="2580" w:type="dxa"/>
            <w:vAlign w:val="bottom"/>
            <w:tcBorders>
              <w:top w:val="single" w:sz="8" w:color="0000FF"/>
            </w:tcBorders>
            <w:gridSpan w:val="7"/>
          </w:tcPr>
          <w:p>
            <w:pPr>
              <w:spacing w:after="0"/>
              <w:rPr>
                <w:sz w:val="13"/>
                <w:szCs w:val="13"/>
                <w:color w:val="auto"/>
              </w:rPr>
            </w:pPr>
          </w:p>
        </w:tc>
        <w:tc>
          <w:tcPr>
            <w:tcW w:w="5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3"/>
                <w:szCs w:val="13"/>
                <w:color w:val="0000FF"/>
                <w:w w:val="82"/>
              </w:rPr>
              <w:t>6</w:t>
            </w:r>
          </w:p>
        </w:tc>
        <w:tc>
          <w:tcPr>
            <w:tcW w:w="100" w:type="dxa"/>
            <w:vAlign w:val="bottom"/>
          </w:tcPr>
          <w:p>
            <w:pPr>
              <w:spacing w:after="0"/>
              <w:rPr>
                <w:sz w:val="13"/>
                <w:szCs w:val="13"/>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6"/>
          </w:tcPr>
          <w:p>
            <w:pPr>
              <w:spacing w:after="0"/>
              <w:rPr>
                <w:sz w:val="20"/>
                <w:szCs w:val="20"/>
                <w:color w:val="auto"/>
              </w:rPr>
            </w:pPr>
            <w:r>
              <w:rPr>
                <w:rFonts w:ascii="Arial" w:cs="Arial" w:eastAsia="Arial" w:hAnsi="Arial"/>
                <w:sz w:val="13"/>
                <w:szCs w:val="13"/>
                <w:color w:val="0000FF"/>
              </w:rPr>
              <w:t>Notes to Unaudited Consolidated Financial Statements</w:t>
            </w:r>
            <w:r>
              <w:rPr>
                <w:rFonts w:ascii="Arial" w:cs="Arial" w:eastAsia="Arial" w:hAnsi="Arial"/>
                <w:sz w:val="13"/>
                <w:szCs w:val="13"/>
                <w:color w:val="000000"/>
              </w:rPr>
              <w:t>:</w:t>
            </w:r>
          </w:p>
        </w:tc>
        <w:tc>
          <w:tcPr>
            <w:tcW w:w="140" w:type="dxa"/>
            <w:vAlign w:val="bottom"/>
            <w:gridSpan w:val="2"/>
          </w:tcPr>
          <w:p>
            <w:pPr>
              <w:jc w:val="center"/>
              <w:ind w:left="16"/>
              <w:spacing w:after="0"/>
              <w:rPr>
                <w:sz w:val="20"/>
                <w:szCs w:val="20"/>
                <w:color w:val="auto"/>
              </w:rPr>
            </w:pPr>
            <w:r>
              <w:rPr>
                <w:rFonts w:ascii="Arial" w:cs="Arial" w:eastAsia="Arial" w:hAnsi="Arial"/>
                <w:sz w:val="13"/>
                <w:szCs w:val="13"/>
                <w:color w:val="0000FF"/>
                <w:w w:val="82"/>
              </w:rPr>
              <w:t>8</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1"/>
              </w:rPr>
              <w:t>1.</w:t>
            </w:r>
          </w:p>
        </w:tc>
        <w:tc>
          <w:tcPr>
            <w:tcW w:w="2960" w:type="dxa"/>
            <w:vAlign w:val="bottom"/>
            <w:tcBorders>
              <w:bottom w:val="single" w:sz="8" w:color="0000FF"/>
            </w:tcBorders>
            <w:gridSpan w:val="19"/>
          </w:tcPr>
          <w:p>
            <w:pPr>
              <w:ind w:left="20"/>
              <w:spacing w:after="0"/>
              <w:rPr>
                <w:sz w:val="20"/>
                <w:szCs w:val="20"/>
                <w:color w:val="auto"/>
              </w:rPr>
            </w:pPr>
            <w:r>
              <w:rPr>
                <w:rFonts w:ascii="Arial" w:cs="Arial" w:eastAsia="Arial" w:hAnsi="Arial"/>
                <w:sz w:val="13"/>
                <w:szCs w:val="13"/>
                <w:color w:val="0000FF"/>
                <w:w w:val="88"/>
              </w:rPr>
              <w:t>Basis of Presentation and Significant Accounting Policies</w:t>
            </w:r>
          </w:p>
        </w:tc>
        <w:tc>
          <w:tcPr>
            <w:tcW w:w="7580" w:type="dxa"/>
            <w:vAlign w:val="bottom"/>
            <w:gridSpan w:val="6"/>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w w:val="82"/>
              </w:rPr>
              <w:t>8</w:t>
            </w:r>
          </w:p>
        </w:tc>
        <w:tc>
          <w:tcPr>
            <w:tcW w:w="100" w:type="dxa"/>
            <w:vAlign w:val="bottom"/>
          </w:tcPr>
          <w:p>
            <w:pPr>
              <w:spacing w:after="0"/>
              <w:rPr>
                <w:sz w:val="13"/>
                <w:szCs w:val="13"/>
                <w:color w:val="auto"/>
              </w:rPr>
            </w:pPr>
          </w:p>
        </w:tc>
      </w:tr>
      <w:tr>
        <w:trPr>
          <w:trHeight w:val="150"/>
        </w:trPr>
        <w:tc>
          <w:tcPr>
            <w:tcW w:w="160" w:type="dxa"/>
            <w:vAlign w:val="bottom"/>
          </w:tcPr>
          <w:p>
            <w:pPr>
              <w:spacing w:after="0"/>
              <w:rPr>
                <w:sz w:val="13"/>
                <w:szCs w:val="13"/>
                <w:color w:val="auto"/>
              </w:rPr>
            </w:pPr>
          </w:p>
        </w:tc>
        <w:tc>
          <w:tcPr>
            <w:tcW w:w="12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1"/>
              </w:rPr>
              <w:t>2.</w:t>
            </w:r>
          </w:p>
        </w:tc>
        <w:tc>
          <w:tcPr>
            <w:tcW w:w="660" w:type="dxa"/>
            <w:vAlign w:val="bottom"/>
            <w:tcBorders>
              <w:bottom w:val="single" w:sz="8" w:color="0000FF"/>
            </w:tcBorders>
            <w:gridSpan w:val="5"/>
          </w:tcPr>
          <w:p>
            <w:pPr>
              <w:ind w:left="20"/>
              <w:spacing w:after="0"/>
              <w:rPr>
                <w:sz w:val="20"/>
                <w:szCs w:val="20"/>
                <w:color w:val="auto"/>
              </w:rPr>
            </w:pPr>
            <w:r>
              <w:rPr>
                <w:rFonts w:ascii="Arial" w:cs="Arial" w:eastAsia="Arial" w:hAnsi="Arial"/>
                <w:sz w:val="13"/>
                <w:szCs w:val="13"/>
                <w:color w:val="0000FF"/>
                <w:w w:val="89"/>
              </w:rPr>
              <w:t>Acquisitions</w:t>
            </w:r>
          </w:p>
        </w:tc>
        <w:tc>
          <w:tcPr>
            <w:tcW w:w="9880" w:type="dxa"/>
            <w:vAlign w:val="bottom"/>
            <w:gridSpan w:val="20"/>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w w:val="82"/>
              </w:rPr>
              <w:t>9</w:t>
            </w:r>
          </w:p>
        </w:tc>
        <w:tc>
          <w:tcPr>
            <w:tcW w:w="100" w:type="dxa"/>
            <w:vAlign w:val="bottom"/>
          </w:tcPr>
          <w:p>
            <w:pPr>
              <w:spacing w:after="0"/>
              <w:rPr>
                <w:sz w:val="13"/>
                <w:szCs w:val="13"/>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0000FF"/>
                <w:w w:val="91"/>
              </w:rPr>
              <w:t>3.</w:t>
            </w:r>
          </w:p>
        </w:tc>
        <w:tc>
          <w:tcPr>
            <w:tcW w:w="520" w:type="dxa"/>
            <w:vAlign w:val="bottom"/>
            <w:gridSpan w:val="2"/>
          </w:tcPr>
          <w:p>
            <w:pPr>
              <w:ind w:left="20"/>
              <w:spacing w:after="0"/>
              <w:rPr>
                <w:sz w:val="20"/>
                <w:szCs w:val="20"/>
                <w:color w:val="auto"/>
              </w:rPr>
            </w:pPr>
            <w:r>
              <w:rPr>
                <w:rFonts w:ascii="Arial" w:cs="Arial" w:eastAsia="Arial" w:hAnsi="Arial"/>
                <w:sz w:val="13"/>
                <w:szCs w:val="13"/>
                <w:color w:val="0000FF"/>
                <w:w w:val="81"/>
              </w:rPr>
              <w:t>Revenues</w:t>
            </w:r>
          </w:p>
        </w:tc>
        <w:tc>
          <w:tcPr>
            <w:tcW w:w="10020" w:type="dxa"/>
            <w:vAlign w:val="bottom"/>
            <w:gridSpan w:val="23"/>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12</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0000FF"/>
                <w:w w:val="91"/>
              </w:rPr>
              <w:t>4.</w:t>
            </w:r>
          </w:p>
        </w:tc>
        <w:tc>
          <w:tcPr>
            <w:tcW w:w="3340" w:type="dxa"/>
            <w:vAlign w:val="bottom"/>
            <w:gridSpan w:val="21"/>
          </w:tcPr>
          <w:p>
            <w:pPr>
              <w:ind w:left="20"/>
              <w:spacing w:after="0"/>
              <w:rPr>
                <w:sz w:val="20"/>
                <w:szCs w:val="20"/>
                <w:color w:val="auto"/>
              </w:rPr>
            </w:pPr>
            <w:r>
              <w:rPr>
                <w:rFonts w:ascii="Arial" w:cs="Arial" w:eastAsia="Arial" w:hAnsi="Arial"/>
                <w:sz w:val="13"/>
                <w:szCs w:val="13"/>
                <w:color w:val="0000FF"/>
                <w:w w:val="87"/>
              </w:rPr>
              <w:t>Settlement Assets and Customer/Subscriber Account Obligations</w:t>
            </w:r>
          </w:p>
        </w:tc>
        <w:tc>
          <w:tcPr>
            <w:tcW w:w="7200" w:type="dxa"/>
            <w:vAlign w:val="bottom"/>
            <w:gridSpan w:val="4"/>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14</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0000FF"/>
                <w:w w:val="91"/>
              </w:rPr>
              <w:t>5.</w:t>
            </w:r>
          </w:p>
        </w:tc>
        <w:tc>
          <w:tcPr>
            <w:tcW w:w="880" w:type="dxa"/>
            <w:vAlign w:val="bottom"/>
            <w:gridSpan w:val="7"/>
          </w:tcPr>
          <w:p>
            <w:pPr>
              <w:ind w:left="20"/>
              <w:spacing w:after="0"/>
              <w:rPr>
                <w:sz w:val="20"/>
                <w:szCs w:val="20"/>
                <w:color w:val="auto"/>
              </w:rPr>
            </w:pPr>
            <w:r>
              <w:rPr>
                <w:rFonts w:ascii="Arial" w:cs="Arial" w:eastAsia="Arial" w:hAnsi="Arial"/>
                <w:sz w:val="13"/>
                <w:szCs w:val="13"/>
                <w:color w:val="0000FF"/>
                <w:w w:val="80"/>
              </w:rPr>
              <w:t>Notes Receivable</w:t>
            </w:r>
          </w:p>
        </w:tc>
        <w:tc>
          <w:tcPr>
            <w:tcW w:w="2460" w:type="dxa"/>
            <w:vAlign w:val="bottom"/>
            <w:gridSpan w:val="14"/>
          </w:tcPr>
          <w:p>
            <w:pPr>
              <w:spacing w:after="0"/>
              <w:rPr>
                <w:sz w:val="13"/>
                <w:szCs w:val="13"/>
                <w:color w:val="auto"/>
              </w:rPr>
            </w:pPr>
          </w:p>
        </w:tc>
        <w:tc>
          <w:tcPr>
            <w:tcW w:w="7200" w:type="dxa"/>
            <w:vAlign w:val="bottom"/>
            <w:gridSpan w:val="4"/>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15</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0000FF"/>
                <w:w w:val="91"/>
              </w:rPr>
              <w:t>6.</w:t>
            </w:r>
          </w:p>
        </w:tc>
        <w:tc>
          <w:tcPr>
            <w:tcW w:w="1780" w:type="dxa"/>
            <w:vAlign w:val="bottom"/>
            <w:gridSpan w:val="15"/>
          </w:tcPr>
          <w:p>
            <w:pPr>
              <w:ind w:left="20"/>
              <w:spacing w:after="0"/>
              <w:rPr>
                <w:sz w:val="20"/>
                <w:szCs w:val="20"/>
                <w:color w:val="auto"/>
              </w:rPr>
            </w:pPr>
            <w:r>
              <w:rPr>
                <w:rFonts w:ascii="Arial" w:cs="Arial" w:eastAsia="Arial" w:hAnsi="Arial"/>
                <w:sz w:val="13"/>
                <w:szCs w:val="13"/>
                <w:color w:val="0000FF"/>
                <w:w w:val="86"/>
              </w:rPr>
              <w:t>Property, Equipment and Software</w:t>
            </w:r>
          </w:p>
        </w:tc>
        <w:tc>
          <w:tcPr>
            <w:tcW w:w="8760" w:type="dxa"/>
            <w:vAlign w:val="bottom"/>
            <w:gridSpan w:val="10"/>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16</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0000FF"/>
                <w:w w:val="91"/>
              </w:rPr>
              <w:t>7.</w:t>
            </w:r>
          </w:p>
        </w:tc>
        <w:tc>
          <w:tcPr>
            <w:tcW w:w="10540" w:type="dxa"/>
            <w:vAlign w:val="bottom"/>
            <w:gridSpan w:val="25"/>
          </w:tcPr>
          <w:p>
            <w:pPr>
              <w:ind w:left="20"/>
              <w:spacing w:after="0"/>
              <w:rPr>
                <w:sz w:val="20"/>
                <w:szCs w:val="20"/>
                <w:color w:val="auto"/>
              </w:rPr>
            </w:pPr>
            <w:r>
              <w:rPr>
                <w:rFonts w:ascii="Arial" w:cs="Arial" w:eastAsia="Arial" w:hAnsi="Arial"/>
                <w:sz w:val="13"/>
                <w:szCs w:val="13"/>
                <w:color w:val="0000FF"/>
              </w:rPr>
              <w:t>Goodwill and Other Intangible Assets</w:t>
            </w: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17</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0000FF"/>
                <w:w w:val="91"/>
              </w:rPr>
              <w:t>8.</w:t>
            </w:r>
          </w:p>
        </w:tc>
        <w:tc>
          <w:tcPr>
            <w:tcW w:w="1940" w:type="dxa"/>
            <w:vAlign w:val="bottom"/>
            <w:gridSpan w:val="16"/>
          </w:tcPr>
          <w:p>
            <w:pPr>
              <w:ind w:left="20"/>
              <w:spacing w:after="0"/>
              <w:rPr>
                <w:sz w:val="20"/>
                <w:szCs w:val="20"/>
                <w:color w:val="auto"/>
              </w:rPr>
            </w:pPr>
            <w:r>
              <w:rPr>
                <w:rFonts w:ascii="Arial" w:cs="Arial" w:eastAsia="Arial" w:hAnsi="Arial"/>
                <w:sz w:val="13"/>
                <w:szCs w:val="13"/>
                <w:color w:val="0000FF"/>
              </w:rPr>
              <w:t>Debt Obligations</w:t>
            </w:r>
          </w:p>
        </w:tc>
        <w:tc>
          <w:tcPr>
            <w:tcW w:w="8600" w:type="dxa"/>
            <w:vAlign w:val="bottom"/>
            <w:gridSpan w:val="9"/>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18</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0000FF"/>
                <w:w w:val="91"/>
              </w:rPr>
              <w:t>9.</w:t>
            </w:r>
          </w:p>
        </w:tc>
        <w:tc>
          <w:tcPr>
            <w:tcW w:w="10540" w:type="dxa"/>
            <w:vAlign w:val="bottom"/>
            <w:gridSpan w:val="25"/>
          </w:tcPr>
          <w:p>
            <w:pPr>
              <w:ind w:left="20"/>
              <w:spacing w:after="0"/>
              <w:rPr>
                <w:sz w:val="20"/>
                <w:szCs w:val="20"/>
                <w:color w:val="auto"/>
              </w:rPr>
            </w:pPr>
            <w:r>
              <w:rPr>
                <w:rFonts w:ascii="Arial" w:cs="Arial" w:eastAsia="Arial" w:hAnsi="Arial"/>
                <w:sz w:val="13"/>
                <w:szCs w:val="13"/>
                <w:color w:val="0000FF"/>
              </w:rPr>
              <w:t>Redeemable Senior Preferred Stock and Warrants</w:t>
            </w: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20</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2660" w:type="dxa"/>
            <w:vAlign w:val="bottom"/>
            <w:gridSpan w:val="19"/>
          </w:tcPr>
          <w:p>
            <w:pPr>
              <w:spacing w:after="0"/>
              <w:rPr>
                <w:sz w:val="20"/>
                <w:szCs w:val="20"/>
                <w:color w:val="auto"/>
              </w:rPr>
            </w:pPr>
            <w:r>
              <w:rPr>
                <w:rFonts w:ascii="Arial" w:cs="Arial" w:eastAsia="Arial" w:hAnsi="Arial"/>
                <w:sz w:val="13"/>
                <w:szCs w:val="13"/>
                <w:color w:val="0000FF"/>
              </w:rPr>
              <w:t>10. Income Taxes</w:t>
            </w:r>
          </w:p>
        </w:tc>
        <w:tc>
          <w:tcPr>
            <w:tcW w:w="8000" w:type="dxa"/>
            <w:vAlign w:val="bottom"/>
            <w:gridSpan w:val="7"/>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21</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6"/>
          </w:tcPr>
          <w:p>
            <w:pPr>
              <w:spacing w:after="0"/>
              <w:rPr>
                <w:sz w:val="20"/>
                <w:szCs w:val="20"/>
                <w:color w:val="auto"/>
              </w:rPr>
            </w:pPr>
            <w:r>
              <w:rPr>
                <w:rFonts w:ascii="Arial" w:cs="Arial" w:eastAsia="Arial" w:hAnsi="Arial"/>
                <w:sz w:val="13"/>
                <w:szCs w:val="13"/>
                <w:color w:val="0000FF"/>
              </w:rPr>
              <w:t>11. Stockholders' Deficit</w:t>
            </w: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21</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560" w:type="dxa"/>
            <w:vAlign w:val="bottom"/>
            <w:gridSpan w:val="13"/>
          </w:tcPr>
          <w:p>
            <w:pPr>
              <w:spacing w:after="0"/>
              <w:rPr>
                <w:sz w:val="20"/>
                <w:szCs w:val="20"/>
                <w:color w:val="auto"/>
              </w:rPr>
            </w:pPr>
            <w:r>
              <w:rPr>
                <w:rFonts w:ascii="Arial" w:cs="Arial" w:eastAsia="Arial" w:hAnsi="Arial"/>
                <w:sz w:val="13"/>
                <w:szCs w:val="13"/>
                <w:color w:val="0000FF"/>
                <w:w w:val="83"/>
              </w:rPr>
              <w:t>12. Stock-based Compensation</w:t>
            </w:r>
          </w:p>
        </w:tc>
        <w:tc>
          <w:tcPr>
            <w:tcW w:w="9100" w:type="dxa"/>
            <w:vAlign w:val="bottom"/>
            <w:gridSpan w:val="13"/>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22</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900" w:type="dxa"/>
            <w:vAlign w:val="bottom"/>
            <w:gridSpan w:val="16"/>
          </w:tcPr>
          <w:p>
            <w:pPr>
              <w:spacing w:after="0"/>
              <w:rPr>
                <w:sz w:val="20"/>
                <w:szCs w:val="20"/>
                <w:color w:val="auto"/>
              </w:rPr>
            </w:pPr>
            <w:r>
              <w:rPr>
                <w:rFonts w:ascii="Arial" w:cs="Arial" w:eastAsia="Arial" w:hAnsi="Arial"/>
                <w:sz w:val="13"/>
                <w:szCs w:val="13"/>
                <w:color w:val="0000FF"/>
                <w:w w:val="87"/>
              </w:rPr>
              <w:t>13. Commitments and Contingencies</w:t>
            </w:r>
          </w:p>
        </w:tc>
        <w:tc>
          <w:tcPr>
            <w:tcW w:w="8760" w:type="dxa"/>
            <w:vAlign w:val="bottom"/>
            <w:gridSpan w:val="10"/>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22</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900" w:type="dxa"/>
            <w:vAlign w:val="bottom"/>
            <w:gridSpan w:val="16"/>
          </w:tcPr>
          <w:p>
            <w:pPr>
              <w:spacing w:after="0"/>
              <w:rPr>
                <w:sz w:val="20"/>
                <w:szCs w:val="20"/>
                <w:color w:val="auto"/>
              </w:rPr>
            </w:pPr>
            <w:r>
              <w:rPr>
                <w:rFonts w:ascii="Arial" w:cs="Arial" w:eastAsia="Arial" w:hAnsi="Arial"/>
                <w:sz w:val="13"/>
                <w:szCs w:val="13"/>
                <w:color w:val="0000FF"/>
              </w:rPr>
              <w:t>14. Fair Value</w:t>
            </w:r>
          </w:p>
        </w:tc>
        <w:tc>
          <w:tcPr>
            <w:tcW w:w="8760" w:type="dxa"/>
            <w:vAlign w:val="bottom"/>
            <w:gridSpan w:val="10"/>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24</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6"/>
          </w:tcPr>
          <w:p>
            <w:pPr>
              <w:spacing w:after="0"/>
              <w:rPr>
                <w:sz w:val="20"/>
                <w:szCs w:val="20"/>
                <w:color w:val="auto"/>
              </w:rPr>
            </w:pPr>
            <w:r>
              <w:rPr>
                <w:rFonts w:ascii="Arial" w:cs="Arial" w:eastAsia="Arial" w:hAnsi="Arial"/>
                <w:sz w:val="13"/>
                <w:szCs w:val="13"/>
                <w:color w:val="0000FF"/>
              </w:rPr>
              <w:t>15. Segment Information</w:t>
            </w: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24</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6"/>
          </w:tcPr>
          <w:p>
            <w:pPr>
              <w:spacing w:after="0"/>
              <w:rPr>
                <w:sz w:val="20"/>
                <w:szCs w:val="20"/>
                <w:color w:val="auto"/>
              </w:rPr>
            </w:pPr>
            <w:r>
              <w:rPr>
                <w:rFonts w:ascii="Arial" w:cs="Arial" w:eastAsia="Arial" w:hAnsi="Arial"/>
                <w:sz w:val="13"/>
                <w:szCs w:val="13"/>
                <w:color w:val="0000FF"/>
              </w:rPr>
              <w:t>16. Loss per Common Share</w:t>
            </w: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26</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460" w:type="dxa"/>
            <w:vAlign w:val="bottom"/>
            <w:gridSpan w:val="12"/>
          </w:tcPr>
          <w:p>
            <w:pPr>
              <w:spacing w:after="0"/>
              <w:rPr>
                <w:sz w:val="20"/>
                <w:szCs w:val="20"/>
                <w:color w:val="auto"/>
              </w:rPr>
            </w:pPr>
            <w:r>
              <w:rPr>
                <w:rFonts w:ascii="Arial" w:cs="Arial" w:eastAsia="Arial" w:hAnsi="Arial"/>
                <w:sz w:val="13"/>
                <w:szCs w:val="13"/>
                <w:color w:val="0000FF"/>
              </w:rPr>
              <w:t>17. Subsequent Events</w:t>
            </w:r>
          </w:p>
        </w:tc>
        <w:tc>
          <w:tcPr>
            <w:tcW w:w="9200" w:type="dxa"/>
            <w:vAlign w:val="bottom"/>
            <w:gridSpan w:val="14"/>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27</w:t>
            </w:r>
          </w:p>
        </w:tc>
        <w:tc>
          <w:tcPr>
            <w:tcW w:w="10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4880" w:type="dxa"/>
            <w:vAlign w:val="bottom"/>
            <w:gridSpan w:val="24"/>
          </w:tcPr>
          <w:p>
            <w:pPr>
              <w:spacing w:after="0"/>
              <w:rPr>
                <w:sz w:val="20"/>
                <w:szCs w:val="20"/>
                <w:color w:val="auto"/>
              </w:rPr>
            </w:pPr>
            <w:r>
              <w:rPr>
                <w:rFonts w:ascii="Arial" w:cs="Arial" w:eastAsia="Arial" w:hAnsi="Arial"/>
                <w:sz w:val="13"/>
                <w:szCs w:val="13"/>
                <w:color w:val="0000FF"/>
                <w:w w:val="87"/>
              </w:rPr>
              <w:t>Item 2. Management's Discussion and Analysis of Financial Condition and Results of Operations</w:t>
            </w:r>
          </w:p>
        </w:tc>
        <w:tc>
          <w:tcPr>
            <w:tcW w:w="5780" w:type="dxa"/>
            <w:vAlign w:val="bottom"/>
            <w:gridSpan w:val="2"/>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28</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4880" w:type="dxa"/>
            <w:vAlign w:val="bottom"/>
            <w:gridSpan w:val="24"/>
          </w:tcPr>
          <w:p>
            <w:pPr>
              <w:spacing w:after="0"/>
              <w:rPr>
                <w:sz w:val="20"/>
                <w:szCs w:val="20"/>
                <w:color w:val="auto"/>
              </w:rPr>
            </w:pPr>
            <w:r>
              <w:rPr>
                <w:rFonts w:ascii="Arial" w:cs="Arial" w:eastAsia="Arial" w:hAnsi="Arial"/>
                <w:sz w:val="13"/>
                <w:szCs w:val="13"/>
                <w:color w:val="0000FF"/>
              </w:rPr>
              <w:t>Item 3. Qualitative and Quantitative Disclosures about Market Risk</w:t>
            </w:r>
          </w:p>
        </w:tc>
        <w:tc>
          <w:tcPr>
            <w:tcW w:w="5780" w:type="dxa"/>
            <w:vAlign w:val="bottom"/>
            <w:gridSpan w:val="2"/>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39</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560" w:type="dxa"/>
            <w:vAlign w:val="bottom"/>
            <w:gridSpan w:val="13"/>
          </w:tcPr>
          <w:p>
            <w:pPr>
              <w:spacing w:after="0"/>
              <w:rPr>
                <w:sz w:val="20"/>
                <w:szCs w:val="20"/>
                <w:color w:val="auto"/>
              </w:rPr>
            </w:pPr>
            <w:r>
              <w:rPr>
                <w:rFonts w:ascii="Arial" w:cs="Arial" w:eastAsia="Arial" w:hAnsi="Arial"/>
                <w:sz w:val="13"/>
                <w:szCs w:val="13"/>
                <w:color w:val="0000FF"/>
                <w:w w:val="81"/>
              </w:rPr>
              <w:t>Item 4. Controls and Procedures</w:t>
            </w:r>
          </w:p>
        </w:tc>
        <w:tc>
          <w:tcPr>
            <w:tcW w:w="1800" w:type="dxa"/>
            <w:vAlign w:val="bottom"/>
            <w:gridSpan w:val="8"/>
          </w:tcPr>
          <w:p>
            <w:pPr>
              <w:spacing w:after="0"/>
              <w:rPr>
                <w:sz w:val="13"/>
                <w:szCs w:val="13"/>
                <w:color w:val="auto"/>
              </w:rPr>
            </w:pPr>
          </w:p>
        </w:tc>
        <w:tc>
          <w:tcPr>
            <w:tcW w:w="7300" w:type="dxa"/>
            <w:vAlign w:val="bottom"/>
            <w:gridSpan w:val="5"/>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39</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820" w:type="dxa"/>
            <w:vAlign w:val="bottom"/>
            <w:gridSpan w:val="16"/>
          </w:tcPr>
          <w:p>
            <w:pPr>
              <w:spacing w:after="0"/>
              <w:rPr>
                <w:sz w:val="20"/>
                <w:szCs w:val="20"/>
                <w:color w:val="auto"/>
              </w:rPr>
            </w:pPr>
            <w:r>
              <w:rPr>
                <w:rFonts w:ascii="Arial" w:cs="Arial" w:eastAsia="Arial" w:hAnsi="Arial"/>
                <w:sz w:val="13"/>
                <w:szCs w:val="13"/>
                <w:color w:val="0000FF"/>
                <w:w w:val="93"/>
              </w:rPr>
              <w:t>PART II. OTHER INFORMATION</w:t>
            </w:r>
          </w:p>
        </w:tc>
        <w:tc>
          <w:tcPr>
            <w:tcW w:w="9000" w:type="dxa"/>
            <w:vAlign w:val="bottom"/>
            <w:gridSpan w:val="11"/>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40</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660" w:type="dxa"/>
            <w:vAlign w:val="bottom"/>
            <w:gridSpan w:val="15"/>
          </w:tcPr>
          <w:p>
            <w:pPr>
              <w:spacing w:after="0"/>
              <w:rPr>
                <w:sz w:val="20"/>
                <w:szCs w:val="20"/>
                <w:color w:val="auto"/>
              </w:rPr>
            </w:pPr>
            <w:r>
              <w:rPr>
                <w:rFonts w:ascii="Arial" w:cs="Arial" w:eastAsia="Arial" w:hAnsi="Arial"/>
                <w:sz w:val="13"/>
                <w:szCs w:val="13"/>
                <w:color w:val="0000FF"/>
              </w:rPr>
              <w:t>Item 1. Legal Proceedings</w:t>
            </w:r>
          </w:p>
        </w:tc>
        <w:tc>
          <w:tcPr>
            <w:tcW w:w="9000" w:type="dxa"/>
            <w:vAlign w:val="bottom"/>
            <w:gridSpan w:val="11"/>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40</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40" w:type="dxa"/>
            <w:vAlign w:val="bottom"/>
            <w:gridSpan w:val="10"/>
          </w:tcPr>
          <w:p>
            <w:pPr>
              <w:spacing w:after="0"/>
              <w:rPr>
                <w:sz w:val="20"/>
                <w:szCs w:val="20"/>
                <w:color w:val="auto"/>
              </w:rPr>
            </w:pPr>
            <w:r>
              <w:rPr>
                <w:rFonts w:ascii="Arial" w:cs="Arial" w:eastAsia="Arial" w:hAnsi="Arial"/>
                <w:sz w:val="13"/>
                <w:szCs w:val="13"/>
                <w:color w:val="0000FF"/>
                <w:w w:val="96"/>
              </w:rPr>
              <w:t>Item 1A. Risk Factors</w:t>
            </w:r>
          </w:p>
        </w:tc>
        <w:tc>
          <w:tcPr>
            <w:tcW w:w="9420" w:type="dxa"/>
            <w:vAlign w:val="bottom"/>
            <w:gridSpan w:val="16"/>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40</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3360" w:type="dxa"/>
            <w:vAlign w:val="bottom"/>
            <w:gridSpan w:val="21"/>
          </w:tcPr>
          <w:p>
            <w:pPr>
              <w:spacing w:after="0"/>
              <w:rPr>
                <w:sz w:val="20"/>
                <w:szCs w:val="20"/>
                <w:color w:val="auto"/>
              </w:rPr>
            </w:pPr>
            <w:r>
              <w:rPr>
                <w:rFonts w:ascii="Arial" w:cs="Arial" w:eastAsia="Arial" w:hAnsi="Arial"/>
                <w:sz w:val="13"/>
                <w:szCs w:val="13"/>
                <w:color w:val="0000FF"/>
                <w:w w:val="84"/>
              </w:rPr>
              <w:t>Item 2. Unregistered Sales of Equity Securities and Use of Proceeds</w:t>
            </w:r>
          </w:p>
        </w:tc>
        <w:tc>
          <w:tcPr>
            <w:tcW w:w="7300" w:type="dxa"/>
            <w:vAlign w:val="bottom"/>
            <w:gridSpan w:val="5"/>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40</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3360" w:type="dxa"/>
            <w:vAlign w:val="bottom"/>
            <w:gridSpan w:val="21"/>
          </w:tcPr>
          <w:p>
            <w:pPr>
              <w:spacing w:after="0"/>
              <w:rPr>
                <w:sz w:val="20"/>
                <w:szCs w:val="20"/>
                <w:color w:val="auto"/>
              </w:rPr>
            </w:pPr>
            <w:r>
              <w:rPr>
                <w:rFonts w:ascii="Arial" w:cs="Arial" w:eastAsia="Arial" w:hAnsi="Arial"/>
                <w:sz w:val="13"/>
                <w:szCs w:val="13"/>
                <w:color w:val="0000FF"/>
              </w:rPr>
              <w:t>Item 3. Defaults Upon Senior Securities</w:t>
            </w:r>
          </w:p>
        </w:tc>
        <w:tc>
          <w:tcPr>
            <w:tcW w:w="7300" w:type="dxa"/>
            <w:vAlign w:val="bottom"/>
            <w:gridSpan w:val="5"/>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40</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900" w:type="dxa"/>
            <w:vAlign w:val="bottom"/>
            <w:gridSpan w:val="16"/>
          </w:tcPr>
          <w:p>
            <w:pPr>
              <w:spacing w:after="0"/>
              <w:rPr>
                <w:sz w:val="20"/>
                <w:szCs w:val="20"/>
                <w:color w:val="auto"/>
              </w:rPr>
            </w:pPr>
            <w:r>
              <w:rPr>
                <w:rFonts w:ascii="Arial" w:cs="Arial" w:eastAsia="Arial" w:hAnsi="Arial"/>
                <w:sz w:val="13"/>
                <w:szCs w:val="13"/>
                <w:color w:val="0000FF"/>
              </w:rPr>
              <w:t>Item 4. Mine Safety Disclosures</w:t>
            </w:r>
          </w:p>
        </w:tc>
        <w:tc>
          <w:tcPr>
            <w:tcW w:w="8760" w:type="dxa"/>
            <w:vAlign w:val="bottom"/>
            <w:gridSpan w:val="10"/>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40</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9100" w:type="dxa"/>
            <w:vAlign w:val="bottom"/>
            <w:gridSpan w:val="13"/>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560" w:type="dxa"/>
            <w:vAlign w:val="bottom"/>
            <w:gridSpan w:val="13"/>
          </w:tcPr>
          <w:p>
            <w:pPr>
              <w:spacing w:after="0"/>
              <w:rPr>
                <w:sz w:val="20"/>
                <w:szCs w:val="20"/>
                <w:color w:val="auto"/>
              </w:rPr>
            </w:pPr>
            <w:r>
              <w:rPr>
                <w:rFonts w:ascii="Arial" w:cs="Arial" w:eastAsia="Arial" w:hAnsi="Arial"/>
                <w:sz w:val="13"/>
                <w:szCs w:val="13"/>
                <w:color w:val="0000FF"/>
              </w:rPr>
              <w:t>Item 5. Other Information</w:t>
            </w:r>
          </w:p>
        </w:tc>
        <w:tc>
          <w:tcPr>
            <w:tcW w:w="9100" w:type="dxa"/>
            <w:vAlign w:val="bottom"/>
            <w:gridSpan w:val="13"/>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41</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40" w:type="dxa"/>
            <w:vAlign w:val="bottom"/>
            <w:gridSpan w:val="10"/>
          </w:tcPr>
          <w:p>
            <w:pPr>
              <w:spacing w:after="0"/>
              <w:rPr>
                <w:sz w:val="20"/>
                <w:szCs w:val="20"/>
                <w:color w:val="auto"/>
              </w:rPr>
            </w:pPr>
            <w:r>
              <w:rPr>
                <w:rFonts w:ascii="Arial" w:cs="Arial" w:eastAsia="Arial" w:hAnsi="Arial"/>
                <w:sz w:val="13"/>
                <w:szCs w:val="13"/>
                <w:color w:val="0000FF"/>
              </w:rPr>
              <w:t>Item 6. Exhibits</w:t>
            </w:r>
          </w:p>
        </w:tc>
        <w:tc>
          <w:tcPr>
            <w:tcW w:w="9420" w:type="dxa"/>
            <w:vAlign w:val="bottom"/>
            <w:gridSpan w:val="16"/>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41</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9920" w:type="dxa"/>
            <w:vAlign w:val="bottom"/>
            <w:gridSpan w:val="21"/>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50"/>
        </w:trPr>
        <w:tc>
          <w:tcPr>
            <w:tcW w:w="540" w:type="dxa"/>
            <w:vAlign w:val="bottom"/>
            <w:gridSpan w:val="3"/>
          </w:tcPr>
          <w:p>
            <w:pPr>
              <w:spacing w:after="0"/>
              <w:rPr>
                <w:sz w:val="20"/>
                <w:szCs w:val="20"/>
                <w:color w:val="auto"/>
              </w:rPr>
            </w:pPr>
            <w:r>
              <w:rPr>
                <w:rFonts w:ascii="Arial" w:cs="Arial" w:eastAsia="Arial" w:hAnsi="Arial"/>
                <w:sz w:val="13"/>
                <w:szCs w:val="13"/>
                <w:color w:val="0000FF"/>
                <w:w w:val="83"/>
              </w:rPr>
              <w:t>Signatures</w:t>
            </w:r>
          </w:p>
        </w:tc>
        <w:tc>
          <w:tcPr>
            <w:tcW w:w="10280" w:type="dxa"/>
            <w:vAlign w:val="bottom"/>
            <w:gridSpan w:val="24"/>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0000FF"/>
                <w:w w:val="82"/>
              </w:rPr>
              <w:t>43</w:t>
            </w:r>
          </w:p>
        </w:tc>
        <w:tc>
          <w:tcPr>
            <w:tcW w:w="100" w:type="dxa"/>
            <w:vAlign w:val="bottom"/>
          </w:tcPr>
          <w:p>
            <w:pPr>
              <w:spacing w:after="0"/>
              <w:rPr>
                <w:sz w:val="13"/>
                <w:szCs w:val="13"/>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20" w:top="1016" w:right="5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Commonly Used or Defined Terms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8180" w:type="dxa"/>
            <w:vAlign w:val="bottom"/>
          </w:tcPr>
          <w:p>
            <w:pPr>
              <w:spacing w:after="0"/>
              <w:rPr>
                <w:sz w:val="20"/>
                <w:szCs w:val="20"/>
                <w:color w:val="auto"/>
              </w:rPr>
            </w:pPr>
            <w:r>
              <w:rPr>
                <w:rFonts w:ascii="Arial" w:cs="Arial" w:eastAsia="Arial" w:hAnsi="Arial"/>
                <w:sz w:val="14"/>
                <w:szCs w:val="14"/>
                <w:b w:val="1"/>
                <w:bCs w:val="1"/>
                <w:color w:val="auto"/>
              </w:rPr>
              <w:t>Definition</w:t>
            </w:r>
          </w:p>
        </w:tc>
      </w:tr>
      <w:tr>
        <w:trPr>
          <w:trHeight w:val="171"/>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2018 Plan</w:t>
            </w:r>
          </w:p>
        </w:tc>
        <w:tc>
          <w:tcPr>
            <w:tcW w:w="100" w:type="dxa"/>
            <w:vAlign w:val="bottom"/>
            <w:tcBorders>
              <w:top w:val="single" w:sz="8" w:color="CCEEFF"/>
            </w:tcBorders>
            <w:shd w:val="clear" w:color="auto" w:fill="CCEEFF"/>
          </w:tcPr>
          <w:p>
            <w:pPr>
              <w:spacing w:after="0"/>
              <w:rPr>
                <w:sz w:val="14"/>
                <w:szCs w:val="14"/>
                <w:color w:val="auto"/>
              </w:rPr>
            </w:pPr>
          </w:p>
        </w:tc>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2018 Equity Incentive Plan</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2021 Stock Purchase Plan</w:t>
            </w:r>
          </w:p>
        </w:tc>
        <w:tc>
          <w:tcPr>
            <w:tcW w:w="8180" w:type="dxa"/>
            <w:vAlign w:val="bottom"/>
          </w:tcPr>
          <w:p>
            <w:pPr>
              <w:spacing w:after="0"/>
              <w:rPr>
                <w:sz w:val="20"/>
                <w:szCs w:val="20"/>
                <w:color w:val="auto"/>
              </w:rPr>
            </w:pPr>
            <w:r>
              <w:rPr>
                <w:rFonts w:ascii="Arial" w:cs="Arial" w:eastAsia="Arial" w:hAnsi="Arial"/>
                <w:sz w:val="14"/>
                <w:szCs w:val="14"/>
                <w:color w:val="auto"/>
              </w:rPr>
              <w:t>Priority Technology Holdings, Inc. 2021 Employee Stock Purchase Plan</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 Share Repurchase Program</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Priority Technology Holdings, Inc. 2021 Share Repurchase Program</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AOCI</w:t>
            </w:r>
          </w:p>
        </w:tc>
        <w:tc>
          <w:tcPr>
            <w:tcW w:w="8180" w:type="dxa"/>
            <w:vAlign w:val="bottom"/>
          </w:tcPr>
          <w:p>
            <w:pPr>
              <w:spacing w:after="0"/>
              <w:rPr>
                <w:sz w:val="20"/>
                <w:szCs w:val="20"/>
                <w:color w:val="auto"/>
              </w:rPr>
            </w:pPr>
            <w:r>
              <w:rPr>
                <w:rFonts w:ascii="Arial" w:cs="Arial" w:eastAsia="Arial" w:hAnsi="Arial"/>
                <w:sz w:val="14"/>
                <w:szCs w:val="14"/>
                <w:color w:val="auto"/>
              </w:rPr>
              <w:t>Accumulated other comprehensive income/loss</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ASC</w:t>
            </w:r>
          </w:p>
        </w:tc>
        <w:tc>
          <w:tcPr>
            <w:tcW w:w="8180" w:type="dxa"/>
            <w:vAlign w:val="bottom"/>
          </w:tcPr>
          <w:p>
            <w:pPr>
              <w:spacing w:after="0"/>
              <w:rPr>
                <w:sz w:val="20"/>
                <w:szCs w:val="20"/>
                <w:color w:val="auto"/>
              </w:rPr>
            </w:pPr>
            <w:r>
              <w:rPr>
                <w:rFonts w:ascii="Arial" w:cs="Arial" w:eastAsia="Arial" w:hAnsi="Arial"/>
                <w:sz w:val="14"/>
                <w:szCs w:val="14"/>
                <w:color w:val="auto"/>
              </w:rPr>
              <w:t>Accounting Standards Codification</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APIC</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Amended Certificate of Designation</w:t>
            </w:r>
          </w:p>
        </w:tc>
        <w:tc>
          <w:tcPr>
            <w:tcW w:w="8180" w:type="dxa"/>
            <w:vAlign w:val="bottom"/>
          </w:tcPr>
          <w:p>
            <w:pPr>
              <w:spacing w:after="0"/>
              <w:rPr>
                <w:sz w:val="20"/>
                <w:szCs w:val="20"/>
                <w:color w:val="auto"/>
              </w:rPr>
            </w:pPr>
            <w:r>
              <w:rPr>
                <w:rFonts w:ascii="Arial" w:cs="Arial" w:eastAsia="Arial" w:hAnsi="Arial"/>
                <w:sz w:val="14"/>
                <w:szCs w:val="14"/>
                <w:color w:val="auto"/>
              </w:rPr>
              <w:t>Amended and Restated Certificate of Designation of Senior Preferred Stock effective as of June 30, 2023</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ASU</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Accounting Standards Update</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B2B</w:t>
            </w:r>
          </w:p>
        </w:tc>
        <w:tc>
          <w:tcPr>
            <w:tcW w:w="8180" w:type="dxa"/>
            <w:vAlign w:val="bottom"/>
          </w:tcPr>
          <w:p>
            <w:pPr>
              <w:spacing w:after="0"/>
              <w:rPr>
                <w:sz w:val="20"/>
                <w:szCs w:val="20"/>
                <w:color w:val="auto"/>
              </w:rPr>
            </w:pPr>
            <w:r>
              <w:rPr>
                <w:rFonts w:ascii="Arial" w:cs="Arial" w:eastAsia="Arial" w:hAnsi="Arial"/>
                <w:sz w:val="14"/>
                <w:szCs w:val="14"/>
                <w:color w:val="auto"/>
              </w:rPr>
              <w:t>Business-to-business</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B2C</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Business-to-consumer</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CEO</w:t>
            </w:r>
          </w:p>
        </w:tc>
        <w:tc>
          <w:tcPr>
            <w:tcW w:w="8180" w:type="dxa"/>
            <w:vAlign w:val="bottom"/>
          </w:tcPr>
          <w:p>
            <w:pPr>
              <w:spacing w:after="0"/>
              <w:rPr>
                <w:sz w:val="20"/>
                <w:szCs w:val="20"/>
                <w:color w:val="auto"/>
              </w:rPr>
            </w:pPr>
            <w:r>
              <w:rPr>
                <w:rFonts w:ascii="Arial" w:cs="Arial" w:eastAsia="Arial" w:hAnsi="Arial"/>
                <w:sz w:val="14"/>
                <w:szCs w:val="14"/>
                <w:color w:val="auto"/>
              </w:rPr>
              <w:t>Chief Executive Officer</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CFO</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Chief Financial Officer</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Common Stock</w:t>
            </w:r>
          </w:p>
        </w:tc>
        <w:tc>
          <w:tcPr>
            <w:tcW w:w="8180" w:type="dxa"/>
            <w:vAlign w:val="bottom"/>
          </w:tcPr>
          <w:p>
            <w:pPr>
              <w:spacing w:after="0"/>
              <w:rPr>
                <w:sz w:val="20"/>
                <w:szCs w:val="20"/>
                <w:color w:val="auto"/>
              </w:rPr>
            </w:pPr>
            <w:r>
              <w:rPr>
                <w:rFonts w:ascii="Arial" w:cs="Arial" w:eastAsia="Arial" w:hAnsi="Arial"/>
                <w:sz w:val="14"/>
                <w:szCs w:val="14"/>
                <w:color w:val="auto"/>
              </w:rPr>
              <w:t>The Company's Common Stock, par value $0.001</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 Agreement</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Credit and Guaranty Agreement with Truist Bank dated as of April 27, 2021 (as amended)</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EAETR</w:t>
            </w:r>
          </w:p>
        </w:tc>
        <w:tc>
          <w:tcPr>
            <w:tcW w:w="8180" w:type="dxa"/>
            <w:vAlign w:val="bottom"/>
          </w:tcPr>
          <w:p>
            <w:pPr>
              <w:spacing w:after="0"/>
              <w:rPr>
                <w:sz w:val="20"/>
                <w:szCs w:val="20"/>
                <w:color w:val="auto"/>
              </w:rPr>
            </w:pPr>
            <w:r>
              <w:rPr>
                <w:rFonts w:ascii="Arial" w:cs="Arial" w:eastAsia="Arial" w:hAnsi="Arial"/>
                <w:sz w:val="14"/>
                <w:szCs w:val="14"/>
                <w:color w:val="212529"/>
              </w:rPr>
              <w:t>Estimated annual effective tax rate</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ESPP</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Employee Stock Purchase Plan</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Exchange Act</w:t>
            </w:r>
          </w:p>
        </w:tc>
        <w:tc>
          <w:tcPr>
            <w:tcW w:w="8180" w:type="dxa"/>
            <w:vAlign w:val="bottom"/>
          </w:tcPr>
          <w:p>
            <w:pPr>
              <w:spacing w:after="0"/>
              <w:rPr>
                <w:sz w:val="20"/>
                <w:szCs w:val="20"/>
                <w:color w:val="auto"/>
              </w:rPr>
            </w:pPr>
            <w:r>
              <w:rPr>
                <w:rFonts w:ascii="Arial" w:cs="Arial" w:eastAsia="Arial" w:hAnsi="Arial"/>
                <w:sz w:val="14"/>
                <w:szCs w:val="14"/>
                <w:color w:val="auto"/>
              </w:rPr>
              <w:t>Securities Exchange Act of 1934</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FASB</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Financial Accounting Standards Board</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FDIC</w:t>
            </w:r>
          </w:p>
        </w:tc>
        <w:tc>
          <w:tcPr>
            <w:tcW w:w="8180" w:type="dxa"/>
            <w:vAlign w:val="bottom"/>
          </w:tcPr>
          <w:p>
            <w:pPr>
              <w:spacing w:after="0"/>
              <w:rPr>
                <w:sz w:val="20"/>
                <w:szCs w:val="20"/>
                <w:color w:val="auto"/>
              </w:rPr>
            </w:pPr>
            <w:r>
              <w:rPr>
                <w:rFonts w:ascii="Arial" w:cs="Arial" w:eastAsia="Arial" w:hAnsi="Arial"/>
                <w:sz w:val="14"/>
                <w:szCs w:val="14"/>
                <w:color w:val="auto"/>
              </w:rPr>
              <w:t>Federal Deposit Insurance Corporation</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FBO</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For the benefit of</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FI</w:t>
            </w:r>
          </w:p>
        </w:tc>
        <w:tc>
          <w:tcPr>
            <w:tcW w:w="8180" w:type="dxa"/>
            <w:vAlign w:val="bottom"/>
          </w:tcPr>
          <w:p>
            <w:pPr>
              <w:spacing w:after="0"/>
              <w:rPr>
                <w:sz w:val="20"/>
                <w:szCs w:val="20"/>
                <w:color w:val="auto"/>
              </w:rPr>
            </w:pPr>
            <w:r>
              <w:rPr>
                <w:rFonts w:ascii="Arial" w:cs="Arial" w:eastAsia="Arial" w:hAnsi="Arial"/>
                <w:sz w:val="14"/>
                <w:szCs w:val="14"/>
                <w:color w:val="auto"/>
              </w:rPr>
              <w:t>Financial institution</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Finxera</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Finxera Holdings, Inc.</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GAAP</w:t>
            </w:r>
          </w:p>
        </w:tc>
        <w:tc>
          <w:tcPr>
            <w:tcW w:w="8180" w:type="dxa"/>
            <w:vAlign w:val="bottom"/>
          </w:tcPr>
          <w:p>
            <w:pPr>
              <w:spacing w:after="0"/>
              <w:rPr>
                <w:sz w:val="20"/>
                <w:szCs w:val="20"/>
                <w:color w:val="auto"/>
              </w:rPr>
            </w:pPr>
            <w:r>
              <w:rPr>
                <w:rFonts w:ascii="Arial" w:cs="Arial" w:eastAsia="Arial" w:hAnsi="Arial"/>
                <w:sz w:val="14"/>
                <w:szCs w:val="14"/>
                <w:color w:val="auto"/>
              </w:rPr>
              <w:t>U.S. Generally Accepted Accounting Principles</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IRA</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Inflation Reduction Act, enacted by the U.S. Federal Government on August 16, 2022</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ISO</w:t>
            </w:r>
          </w:p>
        </w:tc>
        <w:tc>
          <w:tcPr>
            <w:tcW w:w="8180" w:type="dxa"/>
            <w:vAlign w:val="bottom"/>
          </w:tcPr>
          <w:p>
            <w:pPr>
              <w:spacing w:after="0"/>
              <w:rPr>
                <w:sz w:val="20"/>
                <w:szCs w:val="20"/>
                <w:color w:val="auto"/>
              </w:rPr>
            </w:pPr>
            <w:r>
              <w:rPr>
                <w:rFonts w:ascii="Arial" w:cs="Arial" w:eastAsia="Arial" w:hAnsi="Arial"/>
                <w:sz w:val="14"/>
                <w:szCs w:val="14"/>
                <w:color w:val="auto"/>
              </w:rPr>
              <w:t>Independent sales organization</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ISV</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Independent software vendor</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LIBOR</w:t>
            </w:r>
          </w:p>
        </w:tc>
        <w:tc>
          <w:tcPr>
            <w:tcW w:w="8180" w:type="dxa"/>
            <w:vAlign w:val="bottom"/>
          </w:tcPr>
          <w:p>
            <w:pPr>
              <w:spacing w:after="0"/>
              <w:rPr>
                <w:sz w:val="20"/>
                <w:szCs w:val="20"/>
                <w:color w:val="auto"/>
              </w:rPr>
            </w:pPr>
            <w:r>
              <w:rPr>
                <w:rFonts w:ascii="Arial" w:cs="Arial" w:eastAsia="Arial" w:hAnsi="Arial"/>
                <w:sz w:val="14"/>
                <w:szCs w:val="14"/>
                <w:color w:val="auto"/>
              </w:rPr>
              <w:t>London Interbank Offered Rate</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NCI</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 in consolidated subsidiaries</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Revolving credit facility</w:t>
            </w:r>
          </w:p>
        </w:tc>
        <w:tc>
          <w:tcPr>
            <w:tcW w:w="8180" w:type="dxa"/>
            <w:vAlign w:val="bottom"/>
          </w:tcPr>
          <w:p>
            <w:pPr>
              <w:spacing w:after="0"/>
              <w:rPr>
                <w:sz w:val="20"/>
                <w:szCs w:val="20"/>
                <w:color w:val="auto"/>
              </w:rPr>
            </w:pPr>
            <w:r>
              <w:rPr>
                <w:rFonts w:ascii="Arial" w:cs="Arial" w:eastAsia="Arial" w:hAnsi="Arial"/>
                <w:sz w:val="14"/>
                <w:szCs w:val="14"/>
                <w:color w:val="auto"/>
              </w:rPr>
              <w:t>$65.0 million line issued under the Credit Agreement</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Plastiq</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Plastiq, Inc. and certain of its affiliates</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PRTH</w:t>
            </w:r>
          </w:p>
        </w:tc>
        <w:tc>
          <w:tcPr>
            <w:tcW w:w="8180" w:type="dxa"/>
            <w:vAlign w:val="bottom"/>
          </w:tcPr>
          <w:p>
            <w:pPr>
              <w:spacing w:after="0"/>
              <w:rPr>
                <w:sz w:val="20"/>
                <w:szCs w:val="20"/>
                <w:color w:val="auto"/>
              </w:rPr>
            </w:pPr>
            <w:r>
              <w:rPr>
                <w:rFonts w:ascii="Arial" w:cs="Arial" w:eastAsia="Arial" w:hAnsi="Arial"/>
                <w:sz w:val="14"/>
                <w:szCs w:val="14"/>
                <w:color w:val="auto"/>
              </w:rPr>
              <w:t>Priority Technology Holdings, Inc.</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Securities and Exchange Commission</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SOFR</w:t>
            </w:r>
          </w:p>
        </w:tc>
        <w:tc>
          <w:tcPr>
            <w:tcW w:w="8180" w:type="dxa"/>
            <w:vAlign w:val="bottom"/>
          </w:tcPr>
          <w:p>
            <w:pPr>
              <w:spacing w:after="0"/>
              <w:rPr>
                <w:sz w:val="20"/>
                <w:szCs w:val="20"/>
                <w:color w:val="auto"/>
              </w:rPr>
            </w:pPr>
            <w:r>
              <w:rPr>
                <w:rFonts w:ascii="Arial" w:cs="Arial" w:eastAsia="Arial" w:hAnsi="Arial"/>
                <w:sz w:val="14"/>
                <w:szCs w:val="14"/>
                <w:color w:val="auto"/>
              </w:rPr>
              <w:t>Secured Overnight Financing Rate</w:t>
            </w:r>
          </w:p>
        </w:tc>
      </w:tr>
      <w:tr>
        <w:trPr>
          <w:trHeight w:val="18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SMB</w:t>
            </w: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Small to medium-sized businesses</w:t>
            </w:r>
          </w:p>
        </w:tc>
      </w:tr>
      <w:tr>
        <w:trPr>
          <w:trHeight w:val="180"/>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Term facility</w:t>
            </w:r>
          </w:p>
        </w:tc>
        <w:tc>
          <w:tcPr>
            <w:tcW w:w="8180" w:type="dxa"/>
            <w:vAlign w:val="bottom"/>
          </w:tcPr>
          <w:p>
            <w:pPr>
              <w:spacing w:after="0"/>
              <w:rPr>
                <w:sz w:val="20"/>
                <w:szCs w:val="20"/>
                <w:color w:val="auto"/>
              </w:rPr>
            </w:pPr>
            <w:r>
              <w:rPr>
                <w:rFonts w:ascii="Arial" w:cs="Arial" w:eastAsia="Arial" w:hAnsi="Arial"/>
                <w:sz w:val="14"/>
                <w:szCs w:val="14"/>
                <w:color w:val="auto"/>
              </w:rPr>
              <w:t>$620.0 million senior secured term loan facility issued under the Credit Agreement (including $320.0 million delayed draw facility)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Priority Technology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data)</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6"/>
                <w:szCs w:val="16"/>
                <w:color w:val="auto"/>
              </w:rPr>
            </w:pPr>
          </w:p>
        </w:tc>
        <w:tc>
          <w:tcPr>
            <w:tcW w:w="1660" w:type="dxa"/>
            <w:vAlign w:val="bottom"/>
          </w:tcPr>
          <w:p>
            <w:pPr>
              <w:jc w:val="right"/>
              <w:ind w:right="309"/>
              <w:spacing w:after="0"/>
              <w:rPr>
                <w:sz w:val="20"/>
                <w:szCs w:val="20"/>
                <w:color w:val="auto"/>
              </w:rPr>
            </w:pPr>
            <w:r>
              <w:rPr>
                <w:rFonts w:ascii="Arial" w:cs="Arial" w:eastAsia="Arial" w:hAnsi="Arial"/>
                <w:sz w:val="14"/>
                <w:szCs w:val="14"/>
                <w:b w:val="1"/>
                <w:bCs w:val="1"/>
                <w:color w:val="auto"/>
                <w:w w:val="99"/>
              </w:rPr>
              <w:t>December 31, 2022</w:t>
            </w:r>
          </w:p>
        </w:tc>
      </w:tr>
      <w:tr>
        <w:trPr>
          <w:trHeight w:val="161"/>
        </w:trPr>
        <w:tc>
          <w:tcPr>
            <w:tcW w:w="7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r>
      <w:tr>
        <w:trPr>
          <w:trHeight w:val="180"/>
        </w:trPr>
        <w:tc>
          <w:tcPr>
            <w:tcW w:w="7320" w:type="dxa"/>
            <w:vAlign w:val="bottom"/>
            <w:gridSpan w:val="3"/>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1"/>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18,454</w:t>
            </w:r>
          </w:p>
        </w:tc>
      </w:tr>
      <w:tr>
        <w:trPr>
          <w:trHeight w:val="180"/>
        </w:trPr>
        <w:tc>
          <w:tcPr>
            <w:tcW w:w="7320" w:type="dxa"/>
            <w:vAlign w:val="bottom"/>
            <w:gridSpan w:val="3"/>
          </w:tcPr>
          <w:p>
            <w:pPr>
              <w:ind w:left="10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13,890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10,582</w:t>
            </w:r>
          </w:p>
        </w:tc>
      </w:tr>
      <w:tr>
        <w:trPr>
          <w:trHeight w:val="181"/>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Accounts receivable, net of allowances of $1,281 and $1,143, respectively</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78,113</w:t>
            </w:r>
          </w:p>
        </w:tc>
      </w:tr>
      <w:tr>
        <w:trPr>
          <w:trHeight w:val="180"/>
        </w:trPr>
        <w:tc>
          <w:tcPr>
            <w:tcW w:w="7320" w:type="dxa"/>
            <w:vAlign w:val="bottom"/>
            <w:gridSpan w:val="3"/>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13,274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11,832</w:t>
            </w:r>
          </w:p>
        </w:tc>
      </w:tr>
      <w:tr>
        <w:trPr>
          <w:trHeight w:val="181"/>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Current portion of notes receivable, net of allowance of $0 and $0, respectively</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w:t>
            </w:r>
          </w:p>
        </w:tc>
      </w:tr>
      <w:tr>
        <w:trPr>
          <w:trHeight w:val="180"/>
        </w:trPr>
        <w:tc>
          <w:tcPr>
            <w:tcW w:w="732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Settlement assets and customer/subscriber account balances</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712,170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532,018</w:t>
            </w:r>
          </w:p>
        </w:tc>
      </w:tr>
      <w:tr>
        <w:trPr>
          <w:trHeight w:val="171"/>
        </w:trPr>
        <w:tc>
          <w:tcPr>
            <w:tcW w:w="732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826,624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652,470</w:t>
            </w:r>
          </w:p>
        </w:tc>
      </w:tr>
      <w:tr>
        <w:trPr>
          <w:trHeight w:val="180"/>
        </w:trPr>
        <w:tc>
          <w:tcPr>
            <w:tcW w:w="7320" w:type="dxa"/>
            <w:vAlign w:val="bottom"/>
            <w:gridSpan w:val="3"/>
          </w:tcPr>
          <w:p>
            <w:pPr>
              <w:spacing w:after="0"/>
              <w:rPr>
                <w:sz w:val="20"/>
                <w:szCs w:val="20"/>
                <w:color w:val="auto"/>
              </w:rPr>
            </w:pPr>
            <w:r>
              <w:rPr>
                <w:rFonts w:ascii="Arial" w:cs="Arial" w:eastAsia="Arial" w:hAnsi="Arial"/>
                <w:sz w:val="14"/>
                <w:szCs w:val="14"/>
                <w:color w:val="auto"/>
              </w:rPr>
              <w:t>Notes receivable, less current portion</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3,616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3,191</w:t>
            </w:r>
          </w:p>
        </w:tc>
      </w:tr>
      <w:tr>
        <w:trPr>
          <w:trHeight w:val="181"/>
        </w:trPr>
        <w:tc>
          <w:tcPr>
            <w:tcW w:w="7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Property, equipment and software, net</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41,851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34,687</w:t>
            </w:r>
          </w:p>
        </w:tc>
      </w:tr>
      <w:tr>
        <w:trPr>
          <w:trHeight w:val="180"/>
        </w:trPr>
        <w:tc>
          <w:tcPr>
            <w:tcW w:w="7320" w:type="dxa"/>
            <w:vAlign w:val="bottom"/>
            <w:gridSpan w:val="3"/>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375,794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369,337</w:t>
            </w:r>
          </w:p>
        </w:tc>
      </w:tr>
      <w:tr>
        <w:trPr>
          <w:trHeight w:val="181"/>
        </w:trPr>
        <w:tc>
          <w:tcPr>
            <w:tcW w:w="7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285,490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288,794</w:t>
            </w:r>
          </w:p>
        </w:tc>
      </w:tr>
      <w:tr>
        <w:trPr>
          <w:trHeight w:val="180"/>
        </w:trPr>
        <w:tc>
          <w:tcPr>
            <w:tcW w:w="7320" w:type="dxa"/>
            <w:vAlign w:val="bottom"/>
            <w:gridSpan w:val="3"/>
          </w:tcPr>
          <w:p>
            <w:pPr>
              <w:spacing w:after="0"/>
              <w:rPr>
                <w:sz w:val="20"/>
                <w:szCs w:val="20"/>
                <w:color w:val="auto"/>
              </w:rPr>
            </w:pPr>
            <w:r>
              <w:rPr>
                <w:rFonts w:ascii="Arial" w:cs="Arial" w:eastAsia="Arial" w:hAnsi="Arial"/>
                <w:sz w:val="14"/>
                <w:szCs w:val="14"/>
                <w:color w:val="auto"/>
              </w:rPr>
              <w:t>Deferred income taxes, net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18,879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16,447</w:t>
            </w:r>
          </w:p>
        </w:tc>
      </w:tr>
      <w:tr>
        <w:trPr>
          <w:trHeight w:val="181"/>
        </w:trPr>
        <w:tc>
          <w:tcPr>
            <w:tcW w:w="7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8,437</w:t>
            </w:r>
          </w:p>
        </w:tc>
      </w:tr>
      <w:tr>
        <w:trPr>
          <w:trHeight w:val="171"/>
        </w:trPr>
        <w:tc>
          <w:tcPr>
            <w:tcW w:w="7320" w:type="dxa"/>
            <w:vAlign w:val="bottom"/>
            <w:gridSpan w:val="3"/>
          </w:tcPr>
          <w:p>
            <w:pPr>
              <w:ind w:left="4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1,563,399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1,373,363</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42"/>
        </w:trPr>
        <w:tc>
          <w:tcPr>
            <w:tcW w:w="73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Liabilities, Redeemable Senior Preferred Stock and Stockholders' Deficit</w:t>
            </w:r>
          </w:p>
        </w:tc>
        <w:tc>
          <w:tcPr>
            <w:tcW w:w="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80"/>
        </w:trPr>
        <w:tc>
          <w:tcPr>
            <w:tcW w:w="7320" w:type="dxa"/>
            <w:vAlign w:val="bottom"/>
            <w:gridSpan w:val="3"/>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1"/>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Accounts payable and accrued expenses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56,107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51,864</w:t>
            </w:r>
          </w:p>
        </w:tc>
      </w:tr>
      <w:tr>
        <w:trPr>
          <w:trHeight w:val="180"/>
        </w:trPr>
        <w:tc>
          <w:tcPr>
            <w:tcW w:w="7320" w:type="dxa"/>
            <w:vAlign w:val="bottom"/>
            <w:gridSpan w:val="3"/>
          </w:tcPr>
          <w:p>
            <w:pPr>
              <w:ind w:left="100"/>
              <w:spacing w:after="0"/>
              <w:rPr>
                <w:sz w:val="20"/>
                <w:szCs w:val="20"/>
                <w:color w:val="auto"/>
              </w:rPr>
            </w:pPr>
            <w:r>
              <w:rPr>
                <w:rFonts w:ascii="Arial" w:cs="Arial" w:eastAsia="Arial" w:hAnsi="Arial"/>
                <w:sz w:val="14"/>
                <w:szCs w:val="14"/>
                <w:color w:val="auto"/>
              </w:rPr>
              <w:t>Accrued residual commissions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31,023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35,979</w:t>
            </w:r>
          </w:p>
        </w:tc>
      </w:tr>
      <w:tr>
        <w:trPr>
          <w:trHeight w:val="181"/>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Customer deposits and advance payments</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2,618</w:t>
            </w:r>
          </w:p>
        </w:tc>
      </w:tr>
      <w:tr>
        <w:trPr>
          <w:trHeight w:val="180"/>
        </w:trPr>
        <w:tc>
          <w:tcPr>
            <w:tcW w:w="7320" w:type="dxa"/>
            <w:vAlign w:val="bottom"/>
            <w:gridSpan w:val="3"/>
          </w:tcPr>
          <w:p>
            <w:pPr>
              <w:ind w:left="10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6,200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6,200</w:t>
            </w:r>
          </w:p>
        </w:tc>
      </w:tr>
      <w:tr>
        <w:trPr>
          <w:trHeight w:val="181"/>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Settlement and customer/subscriber account obligations</w:t>
            </w: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710,068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533,340</w:t>
            </w:r>
          </w:p>
        </w:tc>
      </w:tr>
      <w:tr>
        <w:trPr>
          <w:trHeight w:val="171"/>
        </w:trPr>
        <w:tc>
          <w:tcPr>
            <w:tcW w:w="7320" w:type="dxa"/>
            <w:vAlign w:val="bottom"/>
            <w:gridSpan w:val="3"/>
          </w:tcPr>
          <w:p>
            <w:pPr>
              <w:ind w:left="36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810,032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630,001</w:t>
            </w:r>
          </w:p>
        </w:tc>
      </w:tr>
      <w:tr>
        <w:trPr>
          <w:trHeight w:val="181"/>
        </w:trPr>
        <w:tc>
          <w:tcPr>
            <w:tcW w:w="7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Long-term debt, net of current portion, discounts and debt issuance costs</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616,781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598,926</w:t>
            </w:r>
          </w:p>
        </w:tc>
      </w:tr>
      <w:tr>
        <w:trPr>
          <w:trHeight w:val="180"/>
        </w:trPr>
        <w:tc>
          <w:tcPr>
            <w:tcW w:w="73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11,643</w:t>
            </w:r>
          </w:p>
        </w:tc>
      </w:tr>
      <w:tr>
        <w:trPr>
          <w:trHeight w:val="171"/>
        </w:trPr>
        <w:tc>
          <w:tcPr>
            <w:tcW w:w="732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Total noncurrent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635,326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610,569</w:t>
            </w:r>
          </w:p>
        </w:tc>
      </w:tr>
      <w:tr>
        <w:trPr>
          <w:trHeight w:val="171"/>
        </w:trPr>
        <w:tc>
          <w:tcPr>
            <w:tcW w:w="7320" w:type="dxa"/>
            <w:vAlign w:val="bottom"/>
            <w:tcBorders>
              <w:bottom w:val="single" w:sz="8" w:color="CCEEFF"/>
            </w:tcBorders>
            <w:gridSpan w:val="3"/>
          </w:tcPr>
          <w:p>
            <w:pPr>
              <w:ind w:left="42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1,445,358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1,240,570</w:t>
            </w:r>
          </w:p>
        </w:tc>
      </w:tr>
      <w:tr>
        <w:trPr>
          <w:trHeight w:val="129"/>
        </w:trPr>
        <w:tc>
          <w:tcPr>
            <w:tcW w:w="732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Commitments and contingencies (</w:t>
            </w:r>
            <w:r>
              <w:rPr>
                <w:rFonts w:ascii="Arial" w:cs="Arial" w:eastAsia="Arial" w:hAnsi="Arial"/>
                <w:sz w:val="14"/>
                <w:szCs w:val="14"/>
                <w:color w:val="0000FF"/>
              </w:rPr>
              <w:t>Note 13</w:t>
            </w: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32"/>
        </w:trPr>
        <w:tc>
          <w:tcPr>
            <w:tcW w:w="194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r>
        <w:trPr>
          <w:trHeight w:val="180"/>
        </w:trPr>
        <w:tc>
          <w:tcPr>
            <w:tcW w:w="7320" w:type="dxa"/>
            <w:vAlign w:val="bottom"/>
            <w:gridSpan w:val="3"/>
          </w:tcPr>
          <w:p>
            <w:pPr>
              <w:spacing w:after="0"/>
              <w:rPr>
                <w:sz w:val="20"/>
                <w:szCs w:val="20"/>
                <w:color w:val="auto"/>
              </w:rPr>
            </w:pPr>
            <w:r>
              <w:rPr>
                <w:rFonts w:ascii="Arial" w:cs="Arial" w:eastAsia="Arial" w:hAnsi="Arial"/>
                <w:sz w:val="14"/>
                <w:szCs w:val="14"/>
                <w:color w:val="auto"/>
              </w:rPr>
              <w:t>Redeemable senior preferred stock, net of discounts and issuance costs:</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38"/>
        </w:trPr>
        <w:tc>
          <w:tcPr>
            <w:tcW w:w="73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Redeemable senior preferred stock, $0.001 par value; 250,000 shares authorized; 225,000 issued and outstanding at</w:t>
            </w:r>
          </w:p>
        </w:tc>
        <w:tc>
          <w:tcPr>
            <w:tcW w:w="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91"/>
        </w:trPr>
        <w:tc>
          <w:tcPr>
            <w:tcW w:w="7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September 30, 2023 and December 31, 2022</w:t>
            </w: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252,923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235,579</w:t>
            </w:r>
          </w:p>
        </w:tc>
      </w:tr>
      <w:tr>
        <w:trPr>
          <w:trHeight w:val="180"/>
        </w:trPr>
        <w:tc>
          <w:tcPr>
            <w:tcW w:w="7320" w:type="dxa"/>
            <w:vAlign w:val="bottom"/>
            <w:gridSpan w:val="3"/>
          </w:tcPr>
          <w:p>
            <w:pPr>
              <w:spacing w:after="0"/>
              <w:rPr>
                <w:sz w:val="20"/>
                <w:szCs w:val="20"/>
                <w:color w:val="auto"/>
              </w:rPr>
            </w:pPr>
            <w:r>
              <w:rPr>
                <w:rFonts w:ascii="Arial" w:cs="Arial" w:eastAsia="Arial" w:hAnsi="Arial"/>
                <w:sz w:val="14"/>
                <w:szCs w:val="14"/>
                <w:color w:val="auto"/>
              </w:rPr>
              <w:t>Stockholders' deficit:</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38"/>
        </w:trPr>
        <w:tc>
          <w:tcPr>
            <w:tcW w:w="73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w w:val="94"/>
              </w:rPr>
              <w:t>Preferred stock, $0.001; 100,000,000 shares authorized; 0 issued or outstanding at September 30, 2023 and December 31,</w:t>
            </w:r>
          </w:p>
        </w:tc>
        <w:tc>
          <w:tcPr>
            <w:tcW w:w="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91"/>
        </w:trPr>
        <w:tc>
          <w:tcPr>
            <w:tcW w:w="1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2022</w:t>
            </w:r>
          </w:p>
        </w:tc>
        <w:tc>
          <w:tcPr>
            <w:tcW w:w="460" w:type="dxa"/>
            <w:vAlign w:val="bottom"/>
            <w:shd w:val="clear" w:color="auto" w:fill="CCEEFF"/>
          </w:tcPr>
          <w:p>
            <w:pPr>
              <w:spacing w:after="0"/>
              <w:rPr>
                <w:sz w:val="16"/>
                <w:szCs w:val="16"/>
                <w:color w:val="auto"/>
              </w:rPr>
            </w:pPr>
          </w:p>
        </w:tc>
        <w:tc>
          <w:tcPr>
            <w:tcW w:w="4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8"/>
        </w:trPr>
        <w:tc>
          <w:tcPr>
            <w:tcW w:w="7320" w:type="dxa"/>
            <w:vAlign w:val="bottom"/>
            <w:gridSpan w:val="3"/>
          </w:tcPr>
          <w:p>
            <w:pPr>
              <w:ind w:left="100"/>
              <w:spacing w:after="0" w:line="138" w:lineRule="exact"/>
              <w:rPr>
                <w:sz w:val="20"/>
                <w:szCs w:val="20"/>
                <w:color w:val="auto"/>
              </w:rPr>
            </w:pPr>
            <w:r>
              <w:rPr>
                <w:rFonts w:ascii="Arial" w:cs="Arial" w:eastAsia="Arial" w:hAnsi="Arial"/>
                <w:sz w:val="14"/>
                <w:szCs w:val="14"/>
                <w:color w:val="auto"/>
                <w:w w:val="89"/>
              </w:rPr>
              <w:t>Common Stock, $0.001 par value; 1,000,000,000 shares authorized; 79,197,600 and 78,385,685 shares issued at September 30,</w:t>
            </w: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8"/>
        </w:trPr>
        <w:tc>
          <w:tcPr>
            <w:tcW w:w="7320" w:type="dxa"/>
            <w:vAlign w:val="bottom"/>
            <w:gridSpan w:val="3"/>
          </w:tcPr>
          <w:p>
            <w:pPr>
              <w:ind w:left="100"/>
              <w:spacing w:after="0" w:line="138" w:lineRule="exact"/>
              <w:rPr>
                <w:sz w:val="20"/>
                <w:szCs w:val="20"/>
                <w:color w:val="auto"/>
              </w:rPr>
            </w:pPr>
            <w:r>
              <w:rPr>
                <w:rFonts w:ascii="Arial" w:cs="Arial" w:eastAsia="Arial" w:hAnsi="Arial"/>
                <w:sz w:val="14"/>
                <w:szCs w:val="14"/>
                <w:color w:val="auto"/>
                <w:w w:val="93"/>
              </w:rPr>
              <w:t>2023 and December 31, 2022, respectively; and 76,633,517 and 76,044,629 shares outstanding at September 30, 2023 and</w:t>
            </w: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91"/>
        </w:trPr>
        <w:tc>
          <w:tcPr>
            <w:tcW w:w="7320" w:type="dxa"/>
            <w:vAlign w:val="bottom"/>
            <w:gridSpan w:val="3"/>
          </w:tcPr>
          <w:p>
            <w:pPr>
              <w:ind w:left="100"/>
              <w:spacing w:after="0"/>
              <w:rPr>
                <w:sz w:val="20"/>
                <w:szCs w:val="20"/>
                <w:color w:val="auto"/>
              </w:rPr>
            </w:pPr>
            <w:r>
              <w:rPr>
                <w:rFonts w:ascii="Arial" w:cs="Arial" w:eastAsia="Arial" w:hAnsi="Arial"/>
                <w:sz w:val="14"/>
                <w:szCs w:val="14"/>
                <w:color w:val="auto"/>
              </w:rPr>
              <w:t>December 31, 2022, respectively</w:t>
            </w:r>
          </w:p>
        </w:tc>
        <w:tc>
          <w:tcPr>
            <w:tcW w:w="2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81"/>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8"/>
              </w:rPr>
              <w:t>Treasury stock at cost, 2,564,083 and 2,341,056 shares at September 30, 2023 and December 31, 2022, respectively</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(11,559)</w:t>
            </w:r>
          </w:p>
        </w:tc>
      </w:tr>
      <w:tr>
        <w:trPr>
          <w:trHeight w:val="180"/>
        </w:trPr>
        <w:tc>
          <w:tcPr>
            <w:tcW w:w="7320" w:type="dxa"/>
            <w:vAlign w:val="bottom"/>
            <w:gridSpan w:val="3"/>
          </w:tcPr>
          <w:p>
            <w:pPr>
              <w:ind w:left="10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5"/>
                <w:szCs w:val="15"/>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9,650</w:t>
            </w:r>
          </w:p>
        </w:tc>
      </w:tr>
      <w:tr>
        <w:trPr>
          <w:trHeight w:val="181"/>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32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(123,714)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(102,208)</w:t>
            </w:r>
          </w:p>
        </w:tc>
      </w:tr>
      <w:tr>
        <w:trPr>
          <w:trHeight w:val="171"/>
        </w:trPr>
        <w:tc>
          <w:tcPr>
            <w:tcW w:w="7320" w:type="dxa"/>
            <w:vAlign w:val="bottom"/>
            <w:gridSpan w:val="3"/>
            <w:shd w:val="clear" w:color="auto" w:fill="CCEEFF"/>
          </w:tcPr>
          <w:p>
            <w:pPr>
              <w:ind w:left="260"/>
              <w:spacing w:after="0"/>
              <w:rPr>
                <w:sz w:val="20"/>
                <w:szCs w:val="20"/>
                <w:color w:val="auto"/>
              </w:rPr>
            </w:pPr>
            <w:r>
              <w:rPr>
                <w:rFonts w:ascii="Arial" w:cs="Arial" w:eastAsia="Arial" w:hAnsi="Arial"/>
                <w:sz w:val="14"/>
                <w:szCs w:val="14"/>
                <w:b w:val="1"/>
                <w:bCs w:val="1"/>
                <w:color w:val="auto"/>
              </w:rPr>
              <w:t>Total stockholders' deficit attributable to stockholders of PRTH</w:t>
            </w:r>
          </w:p>
        </w:tc>
        <w:tc>
          <w:tcPr>
            <w:tcW w:w="24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(136,248)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(104,041)</w:t>
            </w:r>
          </w:p>
        </w:tc>
      </w:tr>
      <w:tr>
        <w:trPr>
          <w:trHeight w:val="180"/>
        </w:trPr>
        <w:tc>
          <w:tcPr>
            <w:tcW w:w="732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Non-controlling interests in consolidated subsidiaries</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1,255</w:t>
            </w:r>
          </w:p>
        </w:tc>
      </w:tr>
      <w:tr>
        <w:trPr>
          <w:trHeight w:val="171"/>
        </w:trPr>
        <w:tc>
          <w:tcPr>
            <w:tcW w:w="7320" w:type="dxa"/>
            <w:vAlign w:val="bottom"/>
            <w:gridSpan w:val="3"/>
            <w:shd w:val="clear" w:color="auto" w:fill="CCEEFF"/>
          </w:tcPr>
          <w:p>
            <w:pPr>
              <w:ind w:left="260"/>
              <w:spacing w:after="0"/>
              <w:rPr>
                <w:sz w:val="20"/>
                <w:szCs w:val="20"/>
                <w:color w:val="auto"/>
              </w:rPr>
            </w:pPr>
            <w:r>
              <w:rPr>
                <w:rFonts w:ascii="Arial" w:cs="Arial" w:eastAsia="Arial" w:hAnsi="Arial"/>
                <w:sz w:val="14"/>
                <w:szCs w:val="14"/>
                <w:b w:val="1"/>
                <w:bCs w:val="1"/>
                <w:color w:val="auto"/>
              </w:rPr>
              <w:t>Total stockholders' deficit</w:t>
            </w:r>
          </w:p>
        </w:tc>
        <w:tc>
          <w:tcPr>
            <w:tcW w:w="24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(134,882)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(102,786)</w:t>
            </w:r>
          </w:p>
        </w:tc>
      </w:tr>
      <w:tr>
        <w:trPr>
          <w:trHeight w:val="171"/>
        </w:trPr>
        <w:tc>
          <w:tcPr>
            <w:tcW w:w="7320" w:type="dxa"/>
            <w:vAlign w:val="bottom"/>
            <w:gridSpan w:val="3"/>
          </w:tcPr>
          <w:p>
            <w:pPr>
              <w:ind w:left="360"/>
              <w:spacing w:after="0"/>
              <w:rPr>
                <w:sz w:val="20"/>
                <w:szCs w:val="20"/>
                <w:color w:val="auto"/>
              </w:rPr>
            </w:pPr>
            <w:r>
              <w:rPr>
                <w:rFonts w:ascii="Arial" w:cs="Arial" w:eastAsia="Arial" w:hAnsi="Arial"/>
                <w:sz w:val="14"/>
                <w:szCs w:val="14"/>
                <w:b w:val="1"/>
                <w:bCs w:val="1"/>
                <w:color w:val="auto"/>
              </w:rPr>
              <w:t>Total liabilities, redeemable senior preferred stock and stockholders' deficit</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1,563,399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1,373,363</w:t>
            </w:r>
          </w:p>
        </w:tc>
      </w:tr>
      <w:tr>
        <w:trPr>
          <w:trHeight w:val="20"/>
        </w:trPr>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Priority Technology Holdings, Inc</w:t>
      </w:r>
      <w:r>
        <w:rPr>
          <w:rFonts w:ascii="Arial" w:cs="Arial" w:eastAsia="Arial" w:hAnsi="Arial"/>
          <w:sz w:val="14"/>
          <w:szCs w:val="14"/>
          <w:color w:val="auto"/>
        </w:rPr>
        <w: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thousands, except per share amounts)</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80" w:type="dxa"/>
            <w:vAlign w:val="bottom"/>
            <w:gridSpan w:val="4"/>
          </w:tcPr>
          <w:p>
            <w:pPr>
              <w:jc w:val="right"/>
              <w:ind w:right="609"/>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6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74"/>
        </w:trPr>
        <w:tc>
          <w:tcPr>
            <w:tcW w:w="60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242424"/>
              </w:rPr>
              <w:t>2023</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w w:val="96"/>
              </w:rPr>
              <w:t>2022</w:t>
            </w:r>
          </w:p>
        </w:tc>
      </w:tr>
      <w:tr>
        <w:trPr>
          <w:trHeight w:val="171"/>
        </w:trPr>
        <w:tc>
          <w:tcPr>
            <w:tcW w:w="6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189,015</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166,417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556,333</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486,086</w:t>
            </w:r>
          </w:p>
        </w:tc>
      </w:tr>
      <w:tr>
        <w:trPr>
          <w:trHeight w:val="160"/>
        </w:trPr>
        <w:tc>
          <w:tcPr>
            <w:tcW w:w="600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0"/>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 of revenue (excludes depreciation and amortization)</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116,682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107,958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353,929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320,187</w:t>
            </w:r>
          </w:p>
        </w:tc>
      </w:tr>
      <w:tr>
        <w:trPr>
          <w:trHeight w:val="180"/>
        </w:trPr>
        <w:tc>
          <w:tcPr>
            <w:tcW w:w="6000" w:type="dxa"/>
            <w:vAlign w:val="bottom"/>
          </w:tcPr>
          <w:p>
            <w:pPr>
              <w:ind w:left="100"/>
              <w:spacing w:after="0"/>
              <w:rPr>
                <w:sz w:val="20"/>
                <w:szCs w:val="20"/>
                <w:color w:val="auto"/>
              </w:rPr>
            </w:pPr>
            <w:r>
              <w:rPr>
                <w:rFonts w:ascii="Arial" w:cs="Arial" w:eastAsia="Arial" w:hAnsi="Arial"/>
                <w:sz w:val="14"/>
                <w:szCs w:val="14"/>
                <w:color w:val="auto"/>
              </w:rPr>
              <w:t>Salary and employee benefits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20,129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16,384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58,286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48,231</w:t>
            </w:r>
          </w:p>
        </w:tc>
      </w:tr>
      <w:tr>
        <w:trPr>
          <w:trHeight w:val="181"/>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17,817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53,303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52,675</w:t>
            </w:r>
          </w:p>
        </w:tc>
      </w:tr>
      <w:tr>
        <w:trPr>
          <w:trHeight w:val="180"/>
        </w:trPr>
        <w:tc>
          <w:tcPr>
            <w:tcW w:w="60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11,423</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10,178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31,328</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27,027</w:t>
            </w:r>
          </w:p>
        </w:tc>
      </w:tr>
      <w:tr>
        <w:trPr>
          <w:trHeight w:val="171"/>
        </w:trPr>
        <w:tc>
          <w:tcPr>
            <w:tcW w:w="6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165,509</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152,337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496,846</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448,120</w:t>
            </w:r>
          </w:p>
        </w:tc>
      </w:tr>
      <w:tr>
        <w:trPr>
          <w:trHeight w:val="171"/>
        </w:trPr>
        <w:tc>
          <w:tcPr>
            <w:tcW w:w="60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Operating income</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23,506</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14,080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59,487</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37,966</w:t>
            </w:r>
          </w:p>
        </w:tc>
      </w:tr>
      <w:tr>
        <w:trPr>
          <w:trHeight w:val="161"/>
        </w:trPr>
        <w:tc>
          <w:tcPr>
            <w:tcW w:w="6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(expense) income</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600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(19,997)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(55,461)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(37,282)</w:t>
            </w:r>
          </w:p>
        </w:tc>
      </w:tr>
      <w:tr>
        <w:trPr>
          <w:trHeight w:val="181"/>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income, net</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r>
      <w:tr>
        <w:trPr>
          <w:trHeight w:val="171"/>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other expense, net</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(19,265)</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(54,142)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(36,971)</w:t>
            </w:r>
          </w:p>
        </w:tc>
      </w:tr>
      <w:tr>
        <w:trPr>
          <w:trHeight w:val="171"/>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Income before income taxes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4,241</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r>
      <w:tr>
        <w:trPr>
          <w:trHeight w:val="180"/>
        </w:trPr>
        <w:tc>
          <w:tcPr>
            <w:tcW w:w="60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4,328</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1,691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6,550</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1,833</w:t>
            </w:r>
          </w:p>
        </w:tc>
      </w:tr>
      <w:tr>
        <w:trPr>
          <w:trHeight w:val="171"/>
        </w:trPr>
        <w:tc>
          <w:tcPr>
            <w:tcW w:w="6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r>
      <w:tr>
        <w:trPr>
          <w:trHeight w:val="180"/>
        </w:trPr>
        <w:tc>
          <w:tcPr>
            <w:tcW w:w="60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Dividends and accretion attributable to redeemable senior preferred stockholders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(12,192)</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(9,466)</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(35,252)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(26,415)</w:t>
            </w:r>
          </w:p>
        </w:tc>
      </w:tr>
      <w:tr>
        <w:trPr>
          <w:trHeight w:val="171"/>
        </w:trPr>
        <w:tc>
          <w:tcPr>
            <w:tcW w:w="6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 attributable to common stockholders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(12,279)</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(36,457)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(27,253)</w:t>
            </w:r>
          </w:p>
        </w:tc>
      </w:tr>
      <w:tr>
        <w:trPr>
          <w:trHeight w:val="180"/>
        </w:trPr>
        <w:tc>
          <w:tcPr>
            <w:tcW w:w="6000" w:type="dxa"/>
            <w:vAlign w:val="bottom"/>
          </w:tcPr>
          <w:p>
            <w:pPr>
              <w:spacing w:after="0"/>
              <w:rPr>
                <w:sz w:val="20"/>
                <w:szCs w:val="20"/>
                <w:color w:val="auto"/>
              </w:rPr>
            </w:pPr>
            <w:r>
              <w:rPr>
                <w:rFonts w:ascii="Arial" w:cs="Arial" w:eastAsia="Arial" w:hAnsi="Arial"/>
                <w:sz w:val="14"/>
                <w:szCs w:val="14"/>
                <w:b w:val="1"/>
                <w:bCs w:val="1"/>
                <w:color w:val="auto"/>
              </w:rPr>
              <w:t>Other comprehensive loss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000" w:type="dxa"/>
            <w:vAlign w:val="bottom"/>
          </w:tcPr>
          <w:p>
            <w:pPr>
              <w:spacing w:after="0"/>
              <w:rPr>
                <w:sz w:val="20"/>
                <w:szCs w:val="20"/>
                <w:color w:val="auto"/>
              </w:rPr>
            </w:pPr>
            <w:r>
              <w:rPr>
                <w:rFonts w:ascii="Arial" w:cs="Arial" w:eastAsia="Arial" w:hAnsi="Arial"/>
                <w:sz w:val="14"/>
                <w:szCs w:val="14"/>
                <w:b w:val="1"/>
                <w:bCs w:val="1"/>
                <w:color w:val="auto"/>
              </w:rPr>
              <w:t>Comprehensive loss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(12,344)</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(10,258)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(36,491)</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(27,253)</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3"/>
        </w:trPr>
        <w:tc>
          <w:tcPr>
            <w:tcW w:w="6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6000" w:type="dxa"/>
            <w:vAlign w:val="bottom"/>
          </w:tcPr>
          <w:p>
            <w:pPr>
              <w:spacing w:after="0"/>
              <w:rPr>
                <w:sz w:val="20"/>
                <w:szCs w:val="20"/>
                <w:color w:val="auto"/>
              </w:rPr>
            </w:pPr>
            <w:r>
              <w:rPr>
                <w:rFonts w:ascii="Arial" w:cs="Arial" w:eastAsia="Arial" w:hAnsi="Arial"/>
                <w:sz w:val="14"/>
                <w:szCs w:val="14"/>
                <w:b w:val="1"/>
                <w:bCs w:val="1"/>
                <w:color w:val="auto"/>
              </w:rPr>
              <w:t>Loss per common share: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Basic and diluted</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r>
      <w:tr>
        <w:trPr>
          <w:trHeight w:val="202"/>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0"/>
        </w:trPr>
        <w:tc>
          <w:tcPr>
            <w:tcW w:w="6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common shares outstanding:</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6000" w:type="dxa"/>
            <w:vAlign w:val="bottom"/>
          </w:tcPr>
          <w:p>
            <w:pPr>
              <w:ind w:left="100"/>
              <w:spacing w:after="0"/>
              <w:rPr>
                <w:sz w:val="20"/>
                <w:szCs w:val="20"/>
                <w:color w:val="auto"/>
              </w:rPr>
            </w:pPr>
            <w:r>
              <w:rPr>
                <w:rFonts w:ascii="Arial" w:cs="Arial" w:eastAsia="Arial" w:hAnsi="Arial"/>
                <w:sz w:val="14"/>
                <w:szCs w:val="14"/>
                <w:color w:val="auto"/>
              </w:rPr>
              <w:t>Basic and diluted</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78,381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77,984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78,270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78,392</w:t>
            </w:r>
          </w:p>
        </w:tc>
      </w:tr>
    </w:tbl>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December 31, 2022</w:t>
      </w:r>
    </w:p>
    <w:p>
      <w:pPr>
        <w:spacing w:after="0" w:line="35" w:lineRule="exact"/>
        <w:rPr>
          <w:sz w:val="20"/>
          <w:szCs w:val="20"/>
          <w:color w:val="auto"/>
        </w:rPr>
      </w:pPr>
    </w:p>
    <w:p>
      <w:pPr>
        <w:ind w:left="100" w:right="540"/>
        <w:spacing w:after="0" w:line="231" w:lineRule="auto"/>
        <w:rPr>
          <w:sz w:val="20"/>
          <w:szCs w:val="20"/>
          <w:color w:val="auto"/>
        </w:rPr>
      </w:pPr>
      <w:r>
        <w:rPr>
          <w:rFonts w:ascii="Arial" w:cs="Arial" w:eastAsia="Arial" w:hAnsi="Arial"/>
          <w:sz w:val="13"/>
          <w:szCs w:val="13"/>
          <w:color w:val="auto"/>
        </w:rPr>
        <w:t>Equity-classified stock-based compensation</w:t>
      </w:r>
    </w:p>
    <w:p>
      <w:pPr>
        <w:spacing w:after="0" w:line="9" w:lineRule="exact"/>
        <w:rPr>
          <w:sz w:val="20"/>
          <w:szCs w:val="20"/>
          <w:color w:val="auto"/>
        </w:rPr>
      </w:pPr>
    </w:p>
    <w:p>
      <w:pPr>
        <w:ind w:left="100" w:right="260"/>
        <w:spacing w:after="0" w:line="258" w:lineRule="auto"/>
        <w:rPr>
          <w:sz w:val="20"/>
          <w:szCs w:val="20"/>
          <w:color w:val="auto"/>
        </w:rPr>
      </w:pPr>
      <w:r>
        <w:rPr>
          <w:rFonts w:ascii="Arial" w:cs="Arial" w:eastAsia="Arial" w:hAnsi="Arial"/>
          <w:sz w:val="12"/>
          <w:szCs w:val="12"/>
          <w:color w:val="auto"/>
        </w:rPr>
        <w:t>ESPP compensation and vesting of stock-based compensation</w:t>
      </w:r>
    </w:p>
    <w:p>
      <w:pPr>
        <w:ind w:left="100"/>
        <w:spacing w:after="0"/>
        <w:rPr>
          <w:sz w:val="20"/>
          <w:szCs w:val="20"/>
          <w:color w:val="auto"/>
        </w:rPr>
      </w:pPr>
      <w:r>
        <w:rPr>
          <w:rFonts w:ascii="Arial" w:cs="Arial" w:eastAsia="Arial" w:hAnsi="Arial"/>
          <w:sz w:val="13"/>
          <w:szCs w:val="13"/>
          <w:color w:val="auto"/>
        </w:rPr>
        <w:t>Shares withheld for taxes</w:t>
      </w:r>
    </w:p>
    <w:p>
      <w:pPr>
        <w:spacing w:after="0" w:line="20" w:lineRule="exact"/>
        <w:rPr>
          <w:sz w:val="20"/>
          <w:szCs w:val="20"/>
          <w:color w:val="auto"/>
        </w:rPr>
      </w:pPr>
    </w:p>
    <w:p>
      <w:pPr>
        <w:ind w:left="100" w:right="400"/>
        <w:spacing w:after="0" w:line="231" w:lineRule="auto"/>
        <w:rPr>
          <w:sz w:val="20"/>
          <w:szCs w:val="20"/>
          <w:color w:val="auto"/>
        </w:rPr>
      </w:pPr>
      <w:r>
        <w:rPr>
          <w:rFonts w:ascii="Arial" w:cs="Arial" w:eastAsia="Arial" w:hAnsi="Arial"/>
          <w:sz w:val="13"/>
          <w:szCs w:val="13"/>
          <w:color w:val="auto"/>
        </w:rPr>
        <w:t>Dividends on redeemable senior preferred stock</w:t>
      </w:r>
    </w:p>
    <w:p>
      <w:pPr>
        <w:spacing w:after="0" w:line="9" w:lineRule="exact"/>
        <w:rPr>
          <w:sz w:val="20"/>
          <w:szCs w:val="20"/>
          <w:color w:val="auto"/>
        </w:rPr>
      </w:pPr>
    </w:p>
    <w:p>
      <w:pPr>
        <w:ind w:left="100" w:right="440"/>
        <w:spacing w:after="0" w:line="231" w:lineRule="auto"/>
        <w:rPr>
          <w:sz w:val="20"/>
          <w:szCs w:val="20"/>
          <w:color w:val="auto"/>
        </w:rPr>
      </w:pPr>
      <w:r>
        <w:rPr>
          <w:rFonts w:ascii="Arial" w:cs="Arial" w:eastAsia="Arial" w:hAnsi="Arial"/>
          <w:sz w:val="13"/>
          <w:szCs w:val="13"/>
          <w:color w:val="auto"/>
        </w:rPr>
        <w:t>Accretion of redeemable senior preferred stock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Adjustment to NCI</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1"/>
          <w:szCs w:val="11"/>
          <w:color w:val="auto"/>
        </w:rPr>
        <w:t>Foreign currency translation adjustment</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Net loss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March 31, 2023</w:t>
      </w:r>
    </w:p>
    <w:p>
      <w:pPr>
        <w:spacing w:after="0" w:line="35" w:lineRule="exact"/>
        <w:rPr>
          <w:sz w:val="20"/>
          <w:szCs w:val="20"/>
          <w:color w:val="auto"/>
        </w:rPr>
      </w:pPr>
    </w:p>
    <w:p>
      <w:pPr>
        <w:ind w:left="100" w:right="540"/>
        <w:spacing w:after="0" w:line="231" w:lineRule="auto"/>
        <w:rPr>
          <w:sz w:val="20"/>
          <w:szCs w:val="20"/>
          <w:color w:val="auto"/>
        </w:rPr>
      </w:pPr>
      <w:r>
        <w:rPr>
          <w:rFonts w:ascii="Arial" w:cs="Arial" w:eastAsia="Arial" w:hAnsi="Arial"/>
          <w:sz w:val="13"/>
          <w:szCs w:val="13"/>
          <w:color w:val="auto"/>
        </w:rPr>
        <w:t>Equity-classified stock-based compensation</w:t>
      </w:r>
    </w:p>
    <w:p>
      <w:pPr>
        <w:spacing w:after="0" w:line="9" w:lineRule="exact"/>
        <w:rPr>
          <w:sz w:val="20"/>
          <w:szCs w:val="20"/>
          <w:color w:val="auto"/>
        </w:rPr>
      </w:pPr>
    </w:p>
    <w:p>
      <w:pPr>
        <w:ind w:left="100" w:right="260"/>
        <w:spacing w:after="0" w:line="258" w:lineRule="auto"/>
        <w:rPr>
          <w:sz w:val="20"/>
          <w:szCs w:val="20"/>
          <w:color w:val="auto"/>
        </w:rPr>
      </w:pPr>
      <w:r>
        <w:rPr>
          <w:rFonts w:ascii="Arial" w:cs="Arial" w:eastAsia="Arial" w:hAnsi="Arial"/>
          <w:sz w:val="12"/>
          <w:szCs w:val="12"/>
          <w:color w:val="auto"/>
        </w:rPr>
        <w:t>ESPP compensation and vesting of stock-based compensation</w:t>
      </w:r>
    </w:p>
    <w:p>
      <w:pPr>
        <w:ind w:left="100"/>
        <w:spacing w:after="0"/>
        <w:rPr>
          <w:sz w:val="20"/>
          <w:szCs w:val="20"/>
          <w:color w:val="auto"/>
        </w:rPr>
      </w:pPr>
      <w:r>
        <w:rPr>
          <w:rFonts w:ascii="Arial" w:cs="Arial" w:eastAsia="Arial" w:hAnsi="Arial"/>
          <w:sz w:val="13"/>
          <w:szCs w:val="13"/>
          <w:color w:val="auto"/>
        </w:rPr>
        <w:t>Shares withheld for taxes</w:t>
      </w:r>
    </w:p>
    <w:p>
      <w:pPr>
        <w:spacing w:after="0" w:line="31" w:lineRule="exact"/>
        <w:rPr>
          <w:sz w:val="20"/>
          <w:szCs w:val="20"/>
          <w:color w:val="auto"/>
        </w:rPr>
      </w:pPr>
    </w:p>
    <w:p>
      <w:pPr>
        <w:ind w:left="100" w:right="400"/>
        <w:spacing w:after="0" w:line="231" w:lineRule="auto"/>
        <w:rPr>
          <w:sz w:val="20"/>
          <w:szCs w:val="20"/>
          <w:color w:val="auto"/>
        </w:rPr>
      </w:pPr>
      <w:r>
        <w:rPr>
          <w:rFonts w:ascii="Arial" w:cs="Arial" w:eastAsia="Arial" w:hAnsi="Arial"/>
          <w:sz w:val="13"/>
          <w:szCs w:val="13"/>
          <w:color w:val="auto"/>
        </w:rPr>
        <w:t>Dividends on redeemable senior preferred stock</w:t>
      </w:r>
    </w:p>
    <w:p>
      <w:pPr>
        <w:spacing w:after="0" w:line="9" w:lineRule="exact"/>
        <w:rPr>
          <w:sz w:val="20"/>
          <w:szCs w:val="20"/>
          <w:color w:val="auto"/>
        </w:rPr>
      </w:pPr>
    </w:p>
    <w:p>
      <w:pPr>
        <w:ind w:left="100" w:right="440"/>
        <w:spacing w:after="0" w:line="231" w:lineRule="auto"/>
        <w:rPr>
          <w:sz w:val="20"/>
          <w:szCs w:val="20"/>
          <w:color w:val="auto"/>
        </w:rPr>
      </w:pPr>
      <w:r>
        <w:rPr>
          <w:rFonts w:ascii="Arial" w:cs="Arial" w:eastAsia="Arial" w:hAnsi="Arial"/>
          <w:sz w:val="13"/>
          <w:szCs w:val="13"/>
          <w:color w:val="auto"/>
        </w:rPr>
        <w:t>Accretion of redeemable senior preferred stock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Foreign currency translation adjustment</w:t>
      </w:r>
    </w:p>
    <w:p>
      <w:pPr>
        <w:spacing w:after="0" w:line="54" w:lineRule="exact"/>
        <w:rPr>
          <w:sz w:val="20"/>
          <w:szCs w:val="20"/>
          <w:color w:val="auto"/>
        </w:rPr>
      </w:pPr>
    </w:p>
    <w:p>
      <w:pPr>
        <w:ind w:left="100" w:right="80"/>
        <w:spacing w:after="0" w:line="231" w:lineRule="auto"/>
        <w:rPr>
          <w:sz w:val="20"/>
          <w:szCs w:val="20"/>
          <w:color w:val="auto"/>
        </w:rPr>
      </w:pPr>
      <w:r>
        <w:rPr>
          <w:rFonts w:ascii="Arial" w:cs="Arial" w:eastAsia="Arial" w:hAnsi="Arial"/>
          <w:sz w:val="13"/>
          <w:szCs w:val="13"/>
          <w:color w:val="auto"/>
        </w:rPr>
        <w:t>Reclassification of negative additional paid-in capital</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Net loss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June 30, 2023</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160"/>
        <w:spacing w:after="0"/>
        <w:rPr>
          <w:sz w:val="20"/>
          <w:szCs w:val="20"/>
          <w:color w:val="auto"/>
        </w:rPr>
      </w:pPr>
      <w:r>
        <w:rPr>
          <w:rFonts w:ascii="Arial" w:cs="Arial" w:eastAsia="Arial" w:hAnsi="Arial"/>
          <w:sz w:val="14"/>
          <w:szCs w:val="14"/>
          <w:b w:val="1"/>
          <w:bCs w:val="1"/>
          <w:color w:val="auto"/>
        </w:rPr>
        <w:t>Priority Technology Holdings, Inc</w:t>
      </w:r>
      <w:r>
        <w:rPr>
          <w:rFonts w:ascii="Arial" w:cs="Arial" w:eastAsia="Arial" w:hAnsi="Arial"/>
          <w:sz w:val="14"/>
          <w:szCs w:val="14"/>
          <w:color w:val="auto"/>
        </w:rPr>
        <w:t>.</w:t>
      </w:r>
    </w:p>
    <w:p>
      <w:pPr>
        <w:spacing w:after="0" w:line="23" w:lineRule="exact"/>
        <w:rPr>
          <w:sz w:val="20"/>
          <w:szCs w:val="20"/>
          <w:color w:val="auto"/>
        </w:rPr>
      </w:pPr>
    </w:p>
    <w:p>
      <w:pPr>
        <w:jc w:val="center"/>
        <w:ind w:right="2160"/>
        <w:spacing w:after="0"/>
        <w:rPr>
          <w:sz w:val="20"/>
          <w:szCs w:val="20"/>
          <w:color w:val="auto"/>
        </w:rPr>
      </w:pPr>
      <w:r>
        <w:rPr>
          <w:rFonts w:ascii="Arial" w:cs="Arial" w:eastAsia="Arial" w:hAnsi="Arial"/>
          <w:sz w:val="14"/>
          <w:szCs w:val="14"/>
          <w:b w:val="1"/>
          <w:bCs w:val="1"/>
          <w:color w:val="auto"/>
        </w:rPr>
        <w:t>Unaudited Consolidated Statements of Changes in Stockholders' Deficit and Non-Controlling Interest</w:t>
      </w:r>
    </w:p>
    <w:p>
      <w:pPr>
        <w:spacing w:after="0" w:line="9" w:lineRule="exact"/>
        <w:rPr>
          <w:sz w:val="20"/>
          <w:szCs w:val="20"/>
          <w:color w:val="auto"/>
        </w:rPr>
      </w:pPr>
    </w:p>
    <w:p>
      <w:pPr>
        <w:jc w:val="center"/>
        <w:ind w:right="2160"/>
        <w:spacing w:after="0"/>
        <w:rPr>
          <w:sz w:val="20"/>
          <w:szCs w:val="20"/>
          <w:color w:val="auto"/>
        </w:rPr>
      </w:pPr>
      <w:r>
        <w:rPr>
          <w:rFonts w:ascii="Arial" w:cs="Arial" w:eastAsia="Arial" w:hAnsi="Arial"/>
          <w:sz w:val="14"/>
          <w:szCs w:val="14"/>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Common</w:t>
            </w:r>
          </w:p>
        </w:tc>
        <w:tc>
          <w:tcPr>
            <w:tcW w:w="480" w:type="dxa"/>
            <w:vAlign w:val="bottom"/>
          </w:tcPr>
          <w:p>
            <w:pPr>
              <w:spacing w:after="0"/>
              <w:rPr>
                <w:sz w:val="13"/>
                <w:szCs w:val="13"/>
                <w:color w:val="auto"/>
              </w:rPr>
            </w:pPr>
          </w:p>
        </w:tc>
        <w:tc>
          <w:tcPr>
            <w:tcW w:w="1080" w:type="dxa"/>
            <w:vAlign w:val="bottom"/>
            <w:gridSpan w:val="2"/>
          </w:tcPr>
          <w:p>
            <w:pPr>
              <w:jc w:val="center"/>
              <w:ind w:left="394"/>
              <w:spacing w:after="0"/>
              <w:rPr>
                <w:sz w:val="20"/>
                <w:szCs w:val="20"/>
                <w:color w:val="auto"/>
              </w:rPr>
            </w:pPr>
            <w:r>
              <w:rPr>
                <w:rFonts w:ascii="Arial" w:cs="Arial" w:eastAsia="Arial" w:hAnsi="Arial"/>
                <w:sz w:val="13"/>
                <w:szCs w:val="13"/>
                <w:b w:val="1"/>
                <w:bCs w:val="1"/>
                <w:color w:val="auto"/>
                <w:w w:val="90"/>
              </w:rPr>
              <w:t>Treasury</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4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b w:val="1"/>
                <w:bCs w:val="1"/>
                <w:color w:val="auto"/>
              </w:rPr>
              <w:t>Stock</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414"/>
              <w:spacing w:after="0"/>
              <w:rPr>
                <w:sz w:val="20"/>
                <w:szCs w:val="20"/>
                <w:color w:val="auto"/>
              </w:rPr>
            </w:pPr>
            <w:r>
              <w:rPr>
                <w:rFonts w:ascii="Arial" w:cs="Arial" w:eastAsia="Arial" w:hAnsi="Arial"/>
                <w:sz w:val="13"/>
                <w:szCs w:val="13"/>
                <w:b w:val="1"/>
                <w:bCs w:val="1"/>
                <w:color w:val="auto"/>
                <w:w w:val="90"/>
              </w:rPr>
              <w:t>Stock</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Deficit Attributable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Shares</w:t>
            </w: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APIC</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AOCI</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Accumulated Deficit</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9"/>
              </w:rPr>
              <w:t>to Stockholders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NCIs</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8"/>
        </w:trPr>
        <w:tc>
          <w:tcPr>
            <w:tcW w:w="820" w:type="dxa"/>
            <w:vAlign w:val="bottom"/>
          </w:tcPr>
          <w:p>
            <w:pPr>
              <w:jc w:val="right"/>
              <w:spacing w:after="0"/>
              <w:rPr>
                <w:sz w:val="20"/>
                <w:szCs w:val="20"/>
                <w:color w:val="auto"/>
              </w:rPr>
            </w:pPr>
            <w:r>
              <w:rPr>
                <w:rFonts w:ascii="Arial" w:cs="Arial" w:eastAsia="Arial" w:hAnsi="Arial"/>
                <w:sz w:val="13"/>
                <w:szCs w:val="13"/>
                <w:color w:val="auto"/>
              </w:rPr>
              <w:t>76,044</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54"/>
              <w:spacing w:after="0"/>
              <w:rPr>
                <w:sz w:val="20"/>
                <w:szCs w:val="20"/>
                <w:color w:val="auto"/>
              </w:rPr>
            </w:pPr>
            <w:r>
              <w:rPr>
                <w:rFonts w:ascii="Arial" w:cs="Arial" w:eastAsia="Arial" w:hAnsi="Arial"/>
                <w:sz w:val="13"/>
                <w:szCs w:val="13"/>
                <w:color w:val="auto"/>
              </w:rPr>
              <w:t>76</w:t>
            </w:r>
          </w:p>
        </w:tc>
        <w:tc>
          <w:tcPr>
            <w:tcW w:w="680" w:type="dxa"/>
            <w:vAlign w:val="bottom"/>
          </w:tcPr>
          <w:p>
            <w:pPr>
              <w:jc w:val="right"/>
              <w:spacing w:after="0"/>
              <w:rPr>
                <w:sz w:val="20"/>
                <w:szCs w:val="20"/>
                <w:color w:val="auto"/>
              </w:rPr>
            </w:pPr>
            <w:r>
              <w:rPr>
                <w:rFonts w:ascii="Arial" w:cs="Arial" w:eastAsia="Arial" w:hAnsi="Arial"/>
                <w:sz w:val="13"/>
                <w:szCs w:val="13"/>
                <w:color w:val="auto"/>
              </w:rPr>
              <w:t>2,341</w:t>
            </w:r>
          </w:p>
        </w:tc>
        <w:tc>
          <w:tcPr>
            <w:tcW w:w="400" w:type="dxa"/>
            <w:vAlign w:val="bottom"/>
          </w:tcPr>
          <w:p>
            <w:pPr>
              <w:jc w:val="center"/>
              <w:ind w:right="19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(11,559)</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9,650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(102,208)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(104,041)</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1,255</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(102,786)</w:t>
            </w:r>
          </w:p>
        </w:tc>
        <w:tc>
          <w:tcPr>
            <w:tcW w:w="0" w:type="dxa"/>
            <w:vAlign w:val="bottom"/>
          </w:tcPr>
          <w:p>
            <w:pPr>
              <w:spacing w:after="0"/>
              <w:rPr>
                <w:sz w:val="1"/>
                <w:szCs w:val="1"/>
                <w:color w:val="auto"/>
              </w:rPr>
            </w:pPr>
          </w:p>
        </w:tc>
      </w:tr>
      <w:tr>
        <w:trPr>
          <w:trHeight w:val="233"/>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4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1,936</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1,936</w:t>
            </w:r>
          </w:p>
        </w:tc>
        <w:tc>
          <w:tcPr>
            <w:tcW w:w="18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1,936</w:t>
            </w:r>
          </w:p>
        </w:tc>
        <w:tc>
          <w:tcPr>
            <w:tcW w:w="0" w:type="dxa"/>
            <w:vAlign w:val="bottom"/>
          </w:tcPr>
          <w:p>
            <w:pPr>
              <w:spacing w:after="0"/>
              <w:rPr>
                <w:sz w:val="1"/>
                <w:szCs w:val="1"/>
                <w:color w:val="auto"/>
              </w:rPr>
            </w:pPr>
          </w:p>
        </w:tc>
      </w:tr>
      <w:tr>
        <w:trPr>
          <w:trHeight w:val="64"/>
        </w:trPr>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820" w:type="dxa"/>
            <w:vAlign w:val="bottom"/>
          </w:tcPr>
          <w:p>
            <w:pPr>
              <w:jc w:val="right"/>
              <w:spacing w:after="0"/>
              <w:rPr>
                <w:sz w:val="20"/>
                <w:szCs w:val="20"/>
                <w:color w:val="auto"/>
              </w:rPr>
            </w:pPr>
            <w:r>
              <w:rPr>
                <w:rFonts w:ascii="Arial" w:cs="Arial" w:eastAsia="Arial" w:hAnsi="Arial"/>
                <w:sz w:val="13"/>
                <w:szCs w:val="13"/>
                <w:color w:val="auto"/>
              </w:rPr>
              <w:t>517</w:t>
            </w:r>
          </w:p>
        </w:tc>
        <w:tc>
          <w:tcPr>
            <w:tcW w:w="220" w:type="dxa"/>
            <w:vAlign w:val="bottom"/>
          </w:tcPr>
          <w:p>
            <w:pPr>
              <w:spacing w:after="0"/>
              <w:rPr>
                <w:sz w:val="20"/>
                <w:szCs w:val="20"/>
                <w:color w:val="auto"/>
              </w:rPr>
            </w:pPr>
          </w:p>
        </w:tc>
        <w:tc>
          <w:tcPr>
            <w:tcW w:w="4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37</w:t>
            </w:r>
          </w:p>
        </w:tc>
        <w:tc>
          <w:tcPr>
            <w:tcW w:w="18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64"/>
        </w:trPr>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20" w:type="dxa"/>
            <w:vAlign w:val="bottom"/>
          </w:tcPr>
          <w:p>
            <w:pPr>
              <w:jc w:val="right"/>
              <w:spacing w:after="0"/>
              <w:rPr>
                <w:sz w:val="20"/>
                <w:szCs w:val="20"/>
                <w:color w:val="auto"/>
              </w:rPr>
            </w:pPr>
            <w:r>
              <w:rPr>
                <w:rFonts w:ascii="Arial" w:cs="Arial" w:eastAsia="Arial" w:hAnsi="Arial"/>
                <w:sz w:val="13"/>
                <w:szCs w:val="13"/>
                <w:color w:val="auto"/>
              </w:rPr>
              <w:t>(157)</w:t>
            </w:r>
          </w:p>
        </w:tc>
        <w:tc>
          <w:tcPr>
            <w:tcW w:w="22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157</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(777)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(777)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(777)</w:t>
            </w:r>
          </w:p>
        </w:tc>
        <w:tc>
          <w:tcPr>
            <w:tcW w:w="0" w:type="dxa"/>
            <w:vAlign w:val="bottom"/>
          </w:tcPr>
          <w:p>
            <w:pPr>
              <w:spacing w:after="0"/>
              <w:rPr>
                <w:sz w:val="1"/>
                <w:szCs w:val="1"/>
                <w:color w:val="auto"/>
              </w:rPr>
            </w:pPr>
          </w:p>
        </w:tc>
      </w:tr>
      <w:tr>
        <w:trPr>
          <w:trHeight w:val="233"/>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4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(10,477)</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(10,477)</w:t>
            </w:r>
          </w:p>
        </w:tc>
        <w:tc>
          <w:tcPr>
            <w:tcW w:w="18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(10,477)</w:t>
            </w:r>
          </w:p>
        </w:tc>
        <w:tc>
          <w:tcPr>
            <w:tcW w:w="0" w:type="dxa"/>
            <w:vAlign w:val="bottom"/>
          </w:tcPr>
          <w:p>
            <w:pPr>
              <w:spacing w:after="0"/>
              <w:rPr>
                <w:sz w:val="1"/>
                <w:szCs w:val="1"/>
                <w:color w:val="auto"/>
              </w:rPr>
            </w:pPr>
          </w:p>
        </w:tc>
      </w:tr>
      <w:tr>
        <w:trPr>
          <w:trHeight w:val="64"/>
        </w:trPr>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4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(818)</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(818)</w:t>
            </w:r>
          </w:p>
        </w:tc>
        <w:tc>
          <w:tcPr>
            <w:tcW w:w="18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(818)</w:t>
            </w:r>
          </w:p>
        </w:tc>
        <w:tc>
          <w:tcPr>
            <w:tcW w:w="0" w:type="dxa"/>
            <w:vAlign w:val="bottom"/>
          </w:tcPr>
          <w:p>
            <w:pPr>
              <w:spacing w:after="0"/>
              <w:rPr>
                <w:sz w:val="1"/>
                <w:szCs w:val="1"/>
                <w:color w:val="auto"/>
              </w:rPr>
            </w:pPr>
          </w:p>
        </w:tc>
      </w:tr>
      <w:tr>
        <w:trPr>
          <w:trHeight w:val="64"/>
        </w:trPr>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170"/>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w:t>
            </w: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2"/>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158"/>
        </w:trPr>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76,404</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480" w:type="dxa"/>
            <w:vAlign w:val="bottom"/>
          </w:tcPr>
          <w:p>
            <w:pPr>
              <w:jc w:val="right"/>
              <w:ind w:right="54"/>
              <w:spacing w:after="0"/>
              <w:rPr>
                <w:sz w:val="20"/>
                <w:szCs w:val="20"/>
                <w:color w:val="auto"/>
              </w:rPr>
            </w:pPr>
            <w:r>
              <w:rPr>
                <w:rFonts w:ascii="Arial" w:cs="Arial" w:eastAsia="Arial" w:hAnsi="Arial"/>
                <w:sz w:val="13"/>
                <w:szCs w:val="13"/>
                <w:b w:val="1"/>
                <w:bCs w:val="1"/>
                <w:color w:val="auto"/>
              </w:rPr>
              <w:t>76</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2,498</w:t>
            </w:r>
          </w:p>
        </w:tc>
        <w:tc>
          <w:tcPr>
            <w:tcW w:w="400" w:type="dxa"/>
            <w:vAlign w:val="bottom"/>
          </w:tcPr>
          <w:p>
            <w:pPr>
              <w:jc w:val="center"/>
              <w:ind w:right="196"/>
              <w:spacing w:after="0"/>
              <w:rPr>
                <w:sz w:val="20"/>
                <w:szCs w:val="20"/>
                <w:color w:val="auto"/>
              </w:rPr>
            </w:pPr>
            <w:r>
              <w:rPr>
                <w:rFonts w:ascii="Arial" w:cs="Arial" w:eastAsia="Arial" w:hAnsi="Arial"/>
                <w:sz w:val="13"/>
                <w:szCs w:val="13"/>
                <w:b w:val="1"/>
                <w:bCs w:val="1"/>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(12,336)</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328</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24</w:t>
            </w:r>
          </w:p>
        </w:tc>
        <w:tc>
          <w:tcPr>
            <w:tcW w:w="400" w:type="dxa"/>
            <w:vAlign w:val="bottom"/>
          </w:tcPr>
          <w:p>
            <w:pPr>
              <w:jc w:val="right"/>
              <w:ind w:right="236"/>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(102,714)</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(114,622)</w:t>
            </w:r>
          </w:p>
        </w:tc>
        <w:tc>
          <w:tcPr>
            <w:tcW w:w="180" w:type="dxa"/>
            <w:vAlign w:val="bottom"/>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852</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(113,770)</w:t>
            </w:r>
          </w:p>
        </w:tc>
        <w:tc>
          <w:tcPr>
            <w:tcW w:w="0" w:type="dxa"/>
            <w:vAlign w:val="bottom"/>
          </w:tcPr>
          <w:p>
            <w:pPr>
              <w:spacing w:after="0"/>
              <w:rPr>
                <w:sz w:val="1"/>
                <w:szCs w:val="1"/>
                <w:color w:val="auto"/>
              </w:rPr>
            </w:pPr>
          </w:p>
        </w:tc>
      </w:tr>
      <w:tr>
        <w:trPr>
          <w:trHeight w:val="237"/>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1,746</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1,746</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1,746</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4"/>
                <w:szCs w:val="14"/>
                <w:color w:val="auto"/>
              </w:rPr>
              <w:t>192</w:t>
            </w:r>
          </w:p>
        </w:tc>
        <w:tc>
          <w:tcPr>
            <w:tcW w:w="220" w:type="dxa"/>
            <w:vAlign w:val="bottom"/>
          </w:tcPr>
          <w:p>
            <w:pPr>
              <w:spacing w:after="0"/>
              <w:rPr>
                <w:sz w:val="24"/>
                <w:szCs w:val="2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43</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44"/>
        </w:trPr>
        <w:tc>
          <w:tcPr>
            <w:tcW w:w="820" w:type="dxa"/>
            <w:vAlign w:val="bottom"/>
          </w:tcPr>
          <w:p>
            <w:pPr>
              <w:jc w:val="right"/>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21"/>
                <w:szCs w:val="21"/>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w:t>
            </w: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(241)</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233"/>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(10,934)</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(10,934)</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(10,934)</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(831)</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(831)</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(831)</w:t>
            </w:r>
          </w:p>
        </w:tc>
        <w:tc>
          <w:tcPr>
            <w:tcW w:w="0" w:type="dxa"/>
            <w:vAlign w:val="bottom"/>
          </w:tcPr>
          <w:p>
            <w:pPr>
              <w:spacing w:after="0"/>
              <w:rPr>
                <w:sz w:val="1"/>
                <w:szCs w:val="1"/>
                <w:color w:val="auto"/>
              </w:rPr>
            </w:pPr>
          </w:p>
        </w:tc>
      </w:tr>
      <w:tr>
        <w:trPr>
          <w:trHeight w:val="244"/>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33"/>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9,648</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(9,648)</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4"/>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156"/>
        </w:trPr>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76,531</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480" w:type="dxa"/>
            <w:vAlign w:val="bottom"/>
          </w:tcPr>
          <w:p>
            <w:pPr>
              <w:jc w:val="right"/>
              <w:ind w:right="54"/>
              <w:spacing w:after="0"/>
              <w:rPr>
                <w:sz w:val="20"/>
                <w:szCs w:val="20"/>
                <w:color w:val="auto"/>
              </w:rPr>
            </w:pPr>
            <w:r>
              <w:rPr>
                <w:rFonts w:ascii="Arial" w:cs="Arial" w:eastAsia="Arial" w:hAnsi="Arial"/>
                <w:sz w:val="13"/>
                <w:szCs w:val="13"/>
                <w:b w:val="1"/>
                <w:bCs w:val="1"/>
                <w:color w:val="auto"/>
              </w:rPr>
              <w:t>76</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2,563</w:t>
            </w:r>
          </w:p>
        </w:tc>
        <w:tc>
          <w:tcPr>
            <w:tcW w:w="400" w:type="dxa"/>
            <w:vAlign w:val="bottom"/>
          </w:tcPr>
          <w:p>
            <w:pPr>
              <w:jc w:val="center"/>
              <w:ind w:right="196"/>
              <w:spacing w:after="0"/>
              <w:rPr>
                <w:sz w:val="20"/>
                <w:szCs w:val="20"/>
                <w:color w:val="auto"/>
              </w:rPr>
            </w:pPr>
            <w:r>
              <w:rPr>
                <w:rFonts w:ascii="Arial" w:cs="Arial" w:eastAsia="Arial" w:hAnsi="Arial"/>
                <w:sz w:val="13"/>
                <w:szCs w:val="13"/>
                <w:b w:val="1"/>
                <w:bCs w:val="1"/>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(12,577)</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31</w:t>
            </w:r>
          </w:p>
        </w:tc>
        <w:tc>
          <w:tcPr>
            <w:tcW w:w="400" w:type="dxa"/>
            <w:vAlign w:val="bottom"/>
          </w:tcPr>
          <w:p>
            <w:pPr>
              <w:jc w:val="right"/>
              <w:ind w:right="236"/>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(112,974)</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(125,444)</w:t>
            </w:r>
          </w:p>
        </w:tc>
        <w:tc>
          <w:tcPr>
            <w:tcW w:w="180" w:type="dxa"/>
            <w:vAlign w:val="bottom"/>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852</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(124,592)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-2813050</wp:posOffset>
            </wp:positionV>
            <wp:extent cx="716153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-2509520</wp:posOffset>
            </wp:positionV>
            <wp:extent cx="716153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-2212975</wp:posOffset>
            </wp:positionV>
            <wp:extent cx="716153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-1835785</wp:posOffset>
            </wp:positionV>
            <wp:extent cx="7161530" cy="107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-1620520</wp:posOffset>
            </wp:positionV>
            <wp:extent cx="7161530" cy="107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-1398270</wp:posOffset>
            </wp:positionV>
            <wp:extent cx="716153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-1020445</wp:posOffset>
            </wp:positionV>
            <wp:extent cx="716153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-717550</wp:posOffset>
            </wp:positionV>
            <wp:extent cx="716153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-414020</wp:posOffset>
            </wp:positionV>
            <wp:extent cx="716153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-111125</wp:posOffset>
            </wp:positionV>
            <wp:extent cx="716153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140" w:space="20"/>
            <w:col w:w="9120"/>
          </w:cols>
          <w:pgMar w:left="300" w:top="129"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0" w:right="540"/>
        <w:spacing w:after="0" w:line="231" w:lineRule="auto"/>
        <w:rPr>
          <w:sz w:val="20"/>
          <w:szCs w:val="20"/>
          <w:color w:val="auto"/>
        </w:rPr>
      </w:pPr>
      <w:r>
        <w:rPr>
          <w:rFonts w:ascii="Arial" w:cs="Arial" w:eastAsia="Arial" w:hAnsi="Arial"/>
          <w:sz w:val="13"/>
          <w:szCs w:val="13"/>
          <w:color w:val="auto"/>
        </w:rPr>
        <w:t>Equity-classified stock-based compensation</w:t>
      </w:r>
    </w:p>
    <w:p>
      <w:pPr>
        <w:spacing w:after="0" w:line="9" w:lineRule="exact"/>
        <w:rPr>
          <w:sz w:val="20"/>
          <w:szCs w:val="20"/>
          <w:color w:val="auto"/>
        </w:rPr>
      </w:pPr>
    </w:p>
    <w:p>
      <w:pPr>
        <w:ind w:left="100" w:right="260"/>
        <w:spacing w:after="0" w:line="258" w:lineRule="auto"/>
        <w:rPr>
          <w:sz w:val="20"/>
          <w:szCs w:val="20"/>
          <w:color w:val="auto"/>
        </w:rPr>
      </w:pPr>
      <w:r>
        <w:rPr>
          <w:rFonts w:ascii="Arial" w:cs="Arial" w:eastAsia="Arial" w:hAnsi="Arial"/>
          <w:sz w:val="12"/>
          <w:szCs w:val="12"/>
          <w:color w:val="auto"/>
        </w:rPr>
        <w:t>ESPP compensation and vesting of stock-based compensation</w:t>
      </w:r>
    </w:p>
    <w:p>
      <w:pPr>
        <w:ind w:left="100"/>
        <w:spacing w:after="0"/>
        <w:rPr>
          <w:sz w:val="20"/>
          <w:szCs w:val="20"/>
          <w:color w:val="auto"/>
        </w:rPr>
      </w:pPr>
      <w:r>
        <w:rPr>
          <w:rFonts w:ascii="Arial" w:cs="Arial" w:eastAsia="Arial" w:hAnsi="Arial"/>
          <w:sz w:val="13"/>
          <w:szCs w:val="13"/>
          <w:color w:val="auto"/>
        </w:rPr>
        <w:t>Shares withheld for taxes</w:t>
      </w:r>
    </w:p>
    <w:p>
      <w:pPr>
        <w:spacing w:after="0" w:line="31" w:lineRule="exact"/>
        <w:rPr>
          <w:sz w:val="20"/>
          <w:szCs w:val="20"/>
          <w:color w:val="auto"/>
        </w:rPr>
      </w:pPr>
    </w:p>
    <w:p>
      <w:pPr>
        <w:ind w:left="100" w:right="400"/>
        <w:spacing w:after="0" w:line="231" w:lineRule="auto"/>
        <w:rPr>
          <w:sz w:val="20"/>
          <w:szCs w:val="20"/>
          <w:color w:val="auto"/>
        </w:rPr>
      </w:pPr>
      <w:r>
        <w:rPr>
          <w:rFonts w:ascii="Arial" w:cs="Arial" w:eastAsia="Arial" w:hAnsi="Arial"/>
          <w:sz w:val="13"/>
          <w:szCs w:val="13"/>
          <w:color w:val="auto"/>
        </w:rPr>
        <w:t>Dividends on redeemable senior preferred stock</w:t>
      </w:r>
    </w:p>
    <w:p>
      <w:pPr>
        <w:spacing w:after="0" w:line="9" w:lineRule="exact"/>
        <w:rPr>
          <w:sz w:val="20"/>
          <w:szCs w:val="20"/>
          <w:color w:val="auto"/>
        </w:rPr>
      </w:pPr>
    </w:p>
    <w:p>
      <w:pPr>
        <w:ind w:left="100" w:right="440"/>
        <w:spacing w:after="0" w:line="231" w:lineRule="auto"/>
        <w:rPr>
          <w:sz w:val="20"/>
          <w:szCs w:val="20"/>
          <w:color w:val="auto"/>
        </w:rPr>
      </w:pPr>
      <w:r>
        <w:rPr>
          <w:rFonts w:ascii="Arial" w:cs="Arial" w:eastAsia="Arial" w:hAnsi="Arial"/>
          <w:sz w:val="13"/>
          <w:szCs w:val="13"/>
          <w:color w:val="auto"/>
        </w:rPr>
        <w:t>Accretion of redeemable senior preferred stock</w:t>
      </w:r>
    </w:p>
    <w:p>
      <w:pPr>
        <w:spacing w:after="0" w:line="9" w:lineRule="exact"/>
        <w:rPr>
          <w:sz w:val="20"/>
          <w:szCs w:val="20"/>
          <w:color w:val="auto"/>
        </w:rPr>
      </w:pPr>
    </w:p>
    <w:p>
      <w:pPr>
        <w:ind w:left="120" w:right="200"/>
        <w:spacing w:after="0" w:line="281" w:lineRule="auto"/>
        <w:rPr>
          <w:sz w:val="20"/>
          <w:szCs w:val="20"/>
          <w:color w:val="auto"/>
        </w:rPr>
      </w:pPr>
      <w:r>
        <w:rPr>
          <w:rFonts w:ascii="Arial" w:cs="Arial" w:eastAsia="Arial" w:hAnsi="Arial"/>
          <w:sz w:val="11"/>
          <w:szCs w:val="11"/>
          <w:color w:val="auto"/>
        </w:rPr>
        <w:t>Issuance of profit interests/common equity in subsidiaries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1"/>
          <w:szCs w:val="11"/>
          <w:color w:val="auto"/>
        </w:rPr>
        <w:t>Foreign currency translation adjustment</w:t>
      </w:r>
    </w:p>
    <w:p>
      <w:pPr>
        <w:spacing w:after="0" w:line="54" w:lineRule="exact"/>
        <w:rPr>
          <w:sz w:val="20"/>
          <w:szCs w:val="20"/>
          <w:color w:val="auto"/>
        </w:rPr>
      </w:pPr>
    </w:p>
    <w:p>
      <w:pPr>
        <w:ind w:left="100" w:right="80"/>
        <w:spacing w:after="0" w:line="231" w:lineRule="auto"/>
        <w:rPr>
          <w:sz w:val="20"/>
          <w:szCs w:val="20"/>
          <w:color w:val="auto"/>
        </w:rPr>
      </w:pPr>
      <w:r>
        <w:rPr>
          <w:rFonts w:ascii="Arial" w:cs="Arial" w:eastAsia="Arial" w:hAnsi="Arial"/>
          <w:sz w:val="13"/>
          <w:szCs w:val="13"/>
          <w:color w:val="auto"/>
        </w:rPr>
        <w:t>Reclassification of negative additional paid-in capital</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Net loss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September 30, 2023</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160"/>
        <w:spacing w:after="0"/>
        <w:rPr>
          <w:sz w:val="20"/>
          <w:szCs w:val="20"/>
          <w:color w:val="auto"/>
        </w:rPr>
      </w:pPr>
      <w:r>
        <w:rPr>
          <w:rFonts w:ascii="Arial" w:cs="Arial" w:eastAsia="Arial" w:hAnsi="Arial"/>
          <w:sz w:val="14"/>
          <w:szCs w:val="14"/>
          <w:b w:val="1"/>
          <w:bCs w:val="1"/>
          <w:color w:val="auto"/>
        </w:rPr>
        <w:t>Priority Technology Holdings, Inc</w:t>
      </w:r>
      <w:r>
        <w:rPr>
          <w:rFonts w:ascii="Arial" w:cs="Arial" w:eastAsia="Arial" w:hAnsi="Arial"/>
          <w:sz w:val="14"/>
          <w:szCs w:val="14"/>
          <w:color w:val="auto"/>
        </w:rPr>
        <w:t>.</w:t>
      </w:r>
    </w:p>
    <w:p>
      <w:pPr>
        <w:spacing w:after="0" w:line="23" w:lineRule="exact"/>
        <w:rPr>
          <w:sz w:val="20"/>
          <w:szCs w:val="20"/>
          <w:color w:val="auto"/>
        </w:rPr>
      </w:pPr>
    </w:p>
    <w:p>
      <w:pPr>
        <w:jc w:val="center"/>
        <w:ind w:right="2160"/>
        <w:spacing w:after="0"/>
        <w:rPr>
          <w:sz w:val="20"/>
          <w:szCs w:val="20"/>
          <w:color w:val="auto"/>
        </w:rPr>
      </w:pPr>
      <w:r>
        <w:rPr>
          <w:rFonts w:ascii="Arial" w:cs="Arial" w:eastAsia="Arial" w:hAnsi="Arial"/>
          <w:sz w:val="14"/>
          <w:szCs w:val="14"/>
          <w:b w:val="1"/>
          <w:bCs w:val="1"/>
          <w:color w:val="auto"/>
        </w:rPr>
        <w:t>Unaudited Consolidated Statements of Changes in Stockholders' Deficit and Non-Controlling Interest</w:t>
      </w:r>
    </w:p>
    <w:p>
      <w:pPr>
        <w:spacing w:after="0" w:line="9" w:lineRule="exact"/>
        <w:rPr>
          <w:sz w:val="20"/>
          <w:szCs w:val="20"/>
          <w:color w:val="auto"/>
        </w:rPr>
      </w:pPr>
    </w:p>
    <w:p>
      <w:pPr>
        <w:jc w:val="center"/>
        <w:ind w:right="2160"/>
        <w:spacing w:after="0"/>
        <w:rPr>
          <w:sz w:val="20"/>
          <w:szCs w:val="20"/>
          <w:color w:val="auto"/>
        </w:rPr>
      </w:pPr>
      <w:r>
        <w:rPr>
          <w:rFonts w:ascii="Arial" w:cs="Arial" w:eastAsia="Arial" w:hAnsi="Arial"/>
          <w:sz w:val="14"/>
          <w:szCs w:val="14"/>
          <w:i w:val="1"/>
          <w:iCs w:val="1"/>
          <w:color w:val="auto"/>
        </w:rPr>
        <w:t>(in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gridSpan w:val="2"/>
          </w:tcPr>
          <w:p>
            <w:pPr>
              <w:jc w:val="center"/>
              <w:ind w:left="311"/>
              <w:spacing w:after="0"/>
              <w:rPr>
                <w:sz w:val="20"/>
                <w:szCs w:val="20"/>
                <w:color w:val="auto"/>
              </w:rPr>
            </w:pPr>
            <w:r>
              <w:rPr>
                <w:rFonts w:ascii="Arial" w:cs="Arial" w:eastAsia="Arial" w:hAnsi="Arial"/>
                <w:sz w:val="13"/>
                <w:szCs w:val="13"/>
                <w:b w:val="1"/>
                <w:bCs w:val="1"/>
                <w:color w:val="auto"/>
                <w:w w:val="88"/>
              </w:rPr>
              <w:t>Common</w:t>
            </w:r>
          </w:p>
        </w:tc>
        <w:tc>
          <w:tcPr>
            <w:tcW w:w="480" w:type="dxa"/>
            <w:vAlign w:val="bottom"/>
          </w:tcPr>
          <w:p>
            <w:pPr>
              <w:spacing w:after="0"/>
              <w:rPr>
                <w:sz w:val="13"/>
                <w:szCs w:val="13"/>
                <w:color w:val="auto"/>
              </w:rPr>
            </w:pPr>
          </w:p>
        </w:tc>
        <w:tc>
          <w:tcPr>
            <w:tcW w:w="1080" w:type="dxa"/>
            <w:vAlign w:val="bottom"/>
            <w:gridSpan w:val="2"/>
          </w:tcPr>
          <w:p>
            <w:pPr>
              <w:jc w:val="center"/>
              <w:ind w:left="391"/>
              <w:spacing w:after="0"/>
              <w:rPr>
                <w:sz w:val="20"/>
                <w:szCs w:val="20"/>
                <w:color w:val="auto"/>
              </w:rPr>
            </w:pPr>
            <w:r>
              <w:rPr>
                <w:rFonts w:ascii="Arial" w:cs="Arial" w:eastAsia="Arial" w:hAnsi="Arial"/>
                <w:sz w:val="13"/>
                <w:szCs w:val="13"/>
                <w:b w:val="1"/>
                <w:bCs w:val="1"/>
                <w:color w:val="auto"/>
                <w:w w:val="90"/>
              </w:rPr>
              <w:t>Treasury</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0"/>
        </w:trPr>
        <w:tc>
          <w:tcPr>
            <w:tcW w:w="1040" w:type="dxa"/>
            <w:vAlign w:val="bottom"/>
            <w:tcBorders>
              <w:bottom w:val="single" w:sz="8" w:color="auto"/>
            </w:tcBorders>
            <w:gridSpan w:val="2"/>
          </w:tcPr>
          <w:p>
            <w:pPr>
              <w:jc w:val="center"/>
              <w:ind w:left="351"/>
              <w:spacing w:after="0"/>
              <w:rPr>
                <w:sz w:val="20"/>
                <w:szCs w:val="20"/>
                <w:color w:val="auto"/>
              </w:rPr>
            </w:pPr>
            <w:r>
              <w:rPr>
                <w:rFonts w:ascii="Arial" w:cs="Arial" w:eastAsia="Arial" w:hAnsi="Arial"/>
                <w:sz w:val="13"/>
                <w:szCs w:val="13"/>
                <w:b w:val="1"/>
                <w:bCs w:val="1"/>
                <w:color w:val="auto"/>
                <w:w w:val="84"/>
              </w:rPr>
              <w:t>Stock</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411"/>
              <w:spacing w:after="0"/>
              <w:rPr>
                <w:sz w:val="20"/>
                <w:szCs w:val="20"/>
                <w:color w:val="auto"/>
              </w:rPr>
            </w:pPr>
            <w:r>
              <w:rPr>
                <w:rFonts w:ascii="Arial" w:cs="Arial" w:eastAsia="Arial" w:hAnsi="Arial"/>
                <w:sz w:val="13"/>
                <w:szCs w:val="13"/>
                <w:b w:val="1"/>
                <w:bCs w:val="1"/>
                <w:color w:val="auto"/>
                <w:w w:val="90"/>
              </w:rPr>
              <w:t>Stock</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w w:val="96"/>
              </w:rPr>
              <w:t>Deficit Attributable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58"/>
        </w:trPr>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Shares</w:t>
            </w: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Shares</w:t>
            </w: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APIC</w:t>
            </w: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AOCI</w:t>
            </w: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1"/>
              </w:rPr>
              <w:t>Accumulated Deficit</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89"/>
              </w:rPr>
              <w:t>to Stockholders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rPr>
              <w:t>NCIs</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Total</w:t>
            </w:r>
          </w:p>
        </w:tc>
      </w:tr>
      <w:tr>
        <w:trPr>
          <w:trHeight w:val="226"/>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1,501</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1,501</w:t>
            </w:r>
          </w:p>
        </w:tc>
      </w:tr>
      <w:tr>
        <w:trPr>
          <w:trHeight w:val="286"/>
        </w:trPr>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240" w:type="dxa"/>
            <w:vAlign w:val="bottom"/>
          </w:tcPr>
          <w:p>
            <w:pPr>
              <w:spacing w:after="0"/>
              <w:rPr>
                <w:sz w:val="24"/>
                <w:szCs w:val="24"/>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1</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38</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44"/>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3"/>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(11,348)</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(11,348)</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(11,348)</w:t>
            </w:r>
          </w:p>
        </w:tc>
      </w:tr>
      <w:tr>
        <w:trPr>
          <w:trHeight w:val="297"/>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(844)</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(844)</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(844)</w:t>
            </w:r>
          </w:p>
        </w:tc>
      </w:tr>
      <w:tr>
        <w:trPr>
          <w:trHeight w:val="297"/>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514</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244"/>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(65)</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33"/>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10,653</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(10,653)</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4"/>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r>
      <w:tr>
        <w:trPr>
          <w:trHeight w:val="156"/>
        </w:trPr>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76,634</w:t>
            </w:r>
          </w:p>
        </w:tc>
        <w:tc>
          <w:tcPr>
            <w:tcW w:w="24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right"/>
              <w:ind w:right="51"/>
              <w:spacing w:after="0"/>
              <w:rPr>
                <w:sz w:val="20"/>
                <w:szCs w:val="20"/>
                <w:color w:val="auto"/>
              </w:rPr>
            </w:pPr>
            <w:r>
              <w:rPr>
                <w:rFonts w:ascii="Arial" w:cs="Arial" w:eastAsia="Arial" w:hAnsi="Arial"/>
                <w:sz w:val="13"/>
                <w:szCs w:val="13"/>
                <w:b w:val="1"/>
                <w:bCs w:val="1"/>
                <w:color w:val="auto"/>
              </w:rPr>
              <w:t>77</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2,564</w:t>
            </w:r>
          </w:p>
        </w:tc>
        <w:tc>
          <w:tcPr>
            <w:tcW w:w="400" w:type="dxa"/>
            <w:vAlign w:val="bottom"/>
          </w:tcPr>
          <w:p>
            <w:pPr>
              <w:jc w:val="center"/>
              <w:ind w:right="196"/>
              <w:spacing w:after="0"/>
              <w:rPr>
                <w:sz w:val="20"/>
                <w:szCs w:val="20"/>
                <w:color w:val="auto"/>
              </w:rPr>
            </w:pPr>
            <w:r>
              <w:rPr>
                <w:rFonts w:ascii="Arial" w:cs="Arial" w:eastAsia="Arial" w:hAnsi="Arial"/>
                <w:sz w:val="13"/>
                <w:szCs w:val="13"/>
                <w:b w:val="1"/>
                <w:bCs w:val="1"/>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(12,577)</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(34)</w:t>
            </w:r>
          </w:p>
        </w:tc>
        <w:tc>
          <w:tcPr>
            <w:tcW w:w="3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(123,714)</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(136,248)</w:t>
            </w:r>
          </w:p>
        </w:tc>
        <w:tc>
          <w:tcPr>
            <w:tcW w:w="180" w:type="dxa"/>
            <w:vAlign w:val="bottom"/>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1,366</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(134,882)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-1398270</wp:posOffset>
            </wp:positionV>
            <wp:extent cx="716153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-1094740</wp:posOffset>
            </wp:positionV>
            <wp:extent cx="716153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-717550</wp:posOffset>
            </wp:positionV>
            <wp:extent cx="716153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-414020</wp:posOffset>
            </wp:positionV>
            <wp:extent cx="716153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-111125</wp:posOffset>
            </wp:positionV>
            <wp:extent cx="716153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140" w:space="20"/>
            <w:col w:w="9120"/>
          </w:cols>
          <w:pgMar w:left="300" w:top="129"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December 31, 2021</w:t>
      </w:r>
    </w:p>
    <w:p>
      <w:pPr>
        <w:spacing w:after="0" w:line="35" w:lineRule="exact"/>
        <w:rPr>
          <w:sz w:val="20"/>
          <w:szCs w:val="20"/>
          <w:color w:val="auto"/>
        </w:rPr>
      </w:pPr>
    </w:p>
    <w:p>
      <w:pPr>
        <w:ind w:left="120" w:right="480"/>
        <w:spacing w:after="0" w:line="231" w:lineRule="auto"/>
        <w:rPr>
          <w:sz w:val="20"/>
          <w:szCs w:val="20"/>
          <w:color w:val="auto"/>
        </w:rPr>
      </w:pPr>
      <w:r>
        <w:rPr>
          <w:rFonts w:ascii="Arial" w:cs="Arial" w:eastAsia="Arial" w:hAnsi="Arial"/>
          <w:sz w:val="13"/>
          <w:szCs w:val="13"/>
          <w:color w:val="auto"/>
        </w:rPr>
        <w:t>Equity-classified stock-based compensation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1"/>
          <w:szCs w:val="11"/>
          <w:color w:val="auto"/>
        </w:rPr>
        <w:t>Vesting of stock-based compensation</w:t>
      </w:r>
    </w:p>
    <w:p>
      <w:pPr>
        <w:spacing w:after="0" w:line="43" w:lineRule="exact"/>
        <w:rPr>
          <w:sz w:val="20"/>
          <w:szCs w:val="20"/>
          <w:color w:val="auto"/>
        </w:rPr>
      </w:pPr>
    </w:p>
    <w:p>
      <w:pPr>
        <w:ind w:left="120"/>
        <w:spacing w:after="0" w:line="231" w:lineRule="auto"/>
        <w:rPr>
          <w:sz w:val="20"/>
          <w:szCs w:val="20"/>
          <w:color w:val="auto"/>
        </w:rPr>
      </w:pPr>
      <w:r>
        <w:rPr>
          <w:rFonts w:ascii="Arial" w:cs="Arial" w:eastAsia="Arial" w:hAnsi="Arial"/>
          <w:sz w:val="13"/>
          <w:szCs w:val="13"/>
          <w:color w:val="auto"/>
        </w:rPr>
        <w:t>Share repurchases and shares withheld for taxes</w:t>
      </w:r>
    </w:p>
    <w:p>
      <w:pPr>
        <w:spacing w:after="0" w:line="9" w:lineRule="exact"/>
        <w:rPr>
          <w:sz w:val="20"/>
          <w:szCs w:val="20"/>
          <w:color w:val="auto"/>
        </w:rPr>
      </w:pPr>
    </w:p>
    <w:p>
      <w:pPr>
        <w:ind w:left="120" w:right="340"/>
        <w:spacing w:after="0" w:line="231" w:lineRule="auto"/>
        <w:rPr>
          <w:sz w:val="20"/>
          <w:szCs w:val="20"/>
          <w:color w:val="auto"/>
        </w:rPr>
      </w:pPr>
      <w:r>
        <w:rPr>
          <w:rFonts w:ascii="Arial" w:cs="Arial" w:eastAsia="Arial" w:hAnsi="Arial"/>
          <w:sz w:val="13"/>
          <w:szCs w:val="13"/>
          <w:color w:val="auto"/>
        </w:rPr>
        <w:t>Dividends on redeemable senior preferred stock</w:t>
      </w:r>
    </w:p>
    <w:p>
      <w:pPr>
        <w:spacing w:after="0" w:line="9" w:lineRule="exact"/>
        <w:rPr>
          <w:sz w:val="20"/>
          <w:szCs w:val="20"/>
          <w:color w:val="auto"/>
        </w:rPr>
      </w:pPr>
    </w:p>
    <w:p>
      <w:pPr>
        <w:ind w:left="120" w:right="380"/>
        <w:spacing w:after="0" w:line="231" w:lineRule="auto"/>
        <w:rPr>
          <w:sz w:val="20"/>
          <w:szCs w:val="20"/>
          <w:color w:val="auto"/>
        </w:rPr>
      </w:pPr>
      <w:r>
        <w:rPr>
          <w:rFonts w:ascii="Arial" w:cs="Arial" w:eastAsia="Arial" w:hAnsi="Arial"/>
          <w:sz w:val="13"/>
          <w:szCs w:val="13"/>
          <w:color w:val="auto"/>
        </w:rPr>
        <w:t>Accretion of redeemable senior preferred stock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Net loss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March 31, 2022</w:t>
      </w:r>
    </w:p>
    <w:p>
      <w:pPr>
        <w:spacing w:after="0" w:line="35" w:lineRule="exact"/>
        <w:rPr>
          <w:sz w:val="20"/>
          <w:szCs w:val="20"/>
          <w:color w:val="auto"/>
        </w:rPr>
      </w:pPr>
    </w:p>
    <w:p>
      <w:pPr>
        <w:ind w:left="120" w:right="480"/>
        <w:spacing w:after="0" w:line="231" w:lineRule="auto"/>
        <w:rPr>
          <w:sz w:val="20"/>
          <w:szCs w:val="20"/>
          <w:color w:val="auto"/>
        </w:rPr>
      </w:pPr>
      <w:r>
        <w:rPr>
          <w:rFonts w:ascii="Arial" w:cs="Arial" w:eastAsia="Arial" w:hAnsi="Arial"/>
          <w:sz w:val="13"/>
          <w:szCs w:val="13"/>
          <w:color w:val="auto"/>
        </w:rPr>
        <w:t>Equity-classified stock-based compensation</w:t>
      </w:r>
    </w:p>
    <w:p>
      <w:pPr>
        <w:spacing w:after="0" w:line="9" w:lineRule="exact"/>
        <w:rPr>
          <w:sz w:val="20"/>
          <w:szCs w:val="20"/>
          <w:color w:val="auto"/>
        </w:rPr>
      </w:pPr>
    </w:p>
    <w:p>
      <w:pPr>
        <w:ind w:left="120" w:right="200"/>
        <w:spacing w:after="0" w:line="258" w:lineRule="auto"/>
        <w:rPr>
          <w:sz w:val="20"/>
          <w:szCs w:val="20"/>
          <w:color w:val="auto"/>
        </w:rPr>
      </w:pPr>
      <w:r>
        <w:rPr>
          <w:rFonts w:ascii="Arial" w:cs="Arial" w:eastAsia="Arial" w:hAnsi="Arial"/>
          <w:sz w:val="12"/>
          <w:szCs w:val="12"/>
          <w:color w:val="auto"/>
        </w:rPr>
        <w:t>ESPP compensation and vesting of stock-based compensation</w:t>
      </w:r>
    </w:p>
    <w:p>
      <w:pPr>
        <w:ind w:left="120"/>
        <w:spacing w:after="0" w:line="231" w:lineRule="auto"/>
        <w:rPr>
          <w:sz w:val="20"/>
          <w:szCs w:val="20"/>
          <w:color w:val="auto"/>
        </w:rPr>
      </w:pPr>
      <w:r>
        <w:rPr>
          <w:rFonts w:ascii="Arial" w:cs="Arial" w:eastAsia="Arial" w:hAnsi="Arial"/>
          <w:sz w:val="13"/>
          <w:szCs w:val="13"/>
          <w:color w:val="auto"/>
        </w:rPr>
        <w:t>Share repurchases and shares withheld for taxes</w:t>
      </w:r>
    </w:p>
    <w:p>
      <w:pPr>
        <w:spacing w:after="0" w:line="9" w:lineRule="exact"/>
        <w:rPr>
          <w:sz w:val="20"/>
          <w:szCs w:val="20"/>
          <w:color w:val="auto"/>
        </w:rPr>
      </w:pPr>
    </w:p>
    <w:p>
      <w:pPr>
        <w:ind w:left="120" w:right="340"/>
        <w:spacing w:after="0" w:line="231" w:lineRule="auto"/>
        <w:rPr>
          <w:sz w:val="20"/>
          <w:szCs w:val="20"/>
          <w:color w:val="auto"/>
        </w:rPr>
      </w:pPr>
      <w:r>
        <w:rPr>
          <w:rFonts w:ascii="Arial" w:cs="Arial" w:eastAsia="Arial" w:hAnsi="Arial"/>
          <w:sz w:val="13"/>
          <w:szCs w:val="13"/>
          <w:color w:val="auto"/>
        </w:rPr>
        <w:t>Dividends on redeemable senior preferred stock</w:t>
      </w:r>
    </w:p>
    <w:p>
      <w:pPr>
        <w:spacing w:after="0" w:line="9" w:lineRule="exact"/>
        <w:rPr>
          <w:sz w:val="20"/>
          <w:szCs w:val="20"/>
          <w:color w:val="auto"/>
        </w:rPr>
      </w:pPr>
    </w:p>
    <w:p>
      <w:pPr>
        <w:ind w:left="120" w:right="380"/>
        <w:spacing w:after="0" w:line="231" w:lineRule="auto"/>
        <w:rPr>
          <w:sz w:val="20"/>
          <w:szCs w:val="20"/>
          <w:color w:val="auto"/>
        </w:rPr>
      </w:pPr>
      <w:r>
        <w:rPr>
          <w:rFonts w:ascii="Arial" w:cs="Arial" w:eastAsia="Arial" w:hAnsi="Arial"/>
          <w:sz w:val="13"/>
          <w:szCs w:val="13"/>
          <w:color w:val="auto"/>
        </w:rPr>
        <w:t>Accretion of redeemable senior preferred stock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Net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June 30, 2022</w:t>
      </w:r>
    </w:p>
    <w:p>
      <w:pPr>
        <w:spacing w:after="0" w:line="27" w:lineRule="exact"/>
        <w:rPr>
          <w:sz w:val="20"/>
          <w:szCs w:val="20"/>
          <w:color w:val="auto"/>
        </w:rPr>
      </w:pPr>
    </w:p>
    <w:p>
      <w:pPr>
        <w:ind w:left="120" w:right="480"/>
        <w:spacing w:after="0" w:line="231" w:lineRule="auto"/>
        <w:rPr>
          <w:sz w:val="20"/>
          <w:szCs w:val="20"/>
          <w:color w:val="auto"/>
        </w:rPr>
      </w:pPr>
      <w:r>
        <w:rPr>
          <w:rFonts w:ascii="Arial" w:cs="Arial" w:eastAsia="Arial" w:hAnsi="Arial"/>
          <w:sz w:val="13"/>
          <w:szCs w:val="13"/>
          <w:color w:val="auto"/>
        </w:rPr>
        <w:t>Equity-classified stock-based compensation</w:t>
      </w:r>
    </w:p>
    <w:p>
      <w:pPr>
        <w:spacing w:after="0" w:line="9" w:lineRule="exact"/>
        <w:rPr>
          <w:sz w:val="20"/>
          <w:szCs w:val="20"/>
          <w:color w:val="auto"/>
        </w:rPr>
      </w:pPr>
    </w:p>
    <w:p>
      <w:pPr>
        <w:ind w:left="120" w:right="200"/>
        <w:spacing w:after="0" w:line="258" w:lineRule="auto"/>
        <w:rPr>
          <w:sz w:val="20"/>
          <w:szCs w:val="20"/>
          <w:color w:val="auto"/>
        </w:rPr>
      </w:pPr>
      <w:r>
        <w:rPr>
          <w:rFonts w:ascii="Arial" w:cs="Arial" w:eastAsia="Arial" w:hAnsi="Arial"/>
          <w:sz w:val="12"/>
          <w:szCs w:val="12"/>
          <w:color w:val="auto"/>
        </w:rPr>
        <w:t>ESPP compensation and vesting of stock-based compensation</w:t>
      </w:r>
    </w:p>
    <w:p>
      <w:pPr>
        <w:ind w:left="120"/>
        <w:spacing w:after="0" w:line="231" w:lineRule="auto"/>
        <w:rPr>
          <w:sz w:val="20"/>
          <w:szCs w:val="20"/>
          <w:color w:val="auto"/>
        </w:rPr>
      </w:pPr>
      <w:r>
        <w:rPr>
          <w:rFonts w:ascii="Arial" w:cs="Arial" w:eastAsia="Arial" w:hAnsi="Arial"/>
          <w:sz w:val="13"/>
          <w:szCs w:val="13"/>
          <w:color w:val="auto"/>
        </w:rPr>
        <w:t>Share repurchases and shares withheld for taxes</w:t>
      </w:r>
    </w:p>
    <w:p>
      <w:pPr>
        <w:spacing w:after="0" w:line="9" w:lineRule="exact"/>
        <w:rPr>
          <w:sz w:val="20"/>
          <w:szCs w:val="20"/>
          <w:color w:val="auto"/>
        </w:rPr>
      </w:pPr>
    </w:p>
    <w:p>
      <w:pPr>
        <w:ind w:left="120" w:right="340"/>
        <w:spacing w:after="0" w:line="231" w:lineRule="auto"/>
        <w:rPr>
          <w:sz w:val="20"/>
          <w:szCs w:val="20"/>
          <w:color w:val="auto"/>
        </w:rPr>
      </w:pPr>
      <w:r>
        <w:rPr>
          <w:rFonts w:ascii="Arial" w:cs="Arial" w:eastAsia="Arial" w:hAnsi="Arial"/>
          <w:sz w:val="13"/>
          <w:szCs w:val="13"/>
          <w:color w:val="auto"/>
        </w:rPr>
        <w:t>Dividends on redeemable senior preferred stock</w:t>
      </w:r>
    </w:p>
    <w:p>
      <w:pPr>
        <w:spacing w:after="0" w:line="9" w:lineRule="exact"/>
        <w:rPr>
          <w:sz w:val="20"/>
          <w:szCs w:val="20"/>
          <w:color w:val="auto"/>
        </w:rPr>
      </w:pPr>
    </w:p>
    <w:p>
      <w:pPr>
        <w:ind w:left="120" w:right="380"/>
        <w:spacing w:after="0" w:line="231" w:lineRule="auto"/>
        <w:rPr>
          <w:sz w:val="20"/>
          <w:szCs w:val="20"/>
          <w:color w:val="auto"/>
        </w:rPr>
      </w:pPr>
      <w:r>
        <w:rPr>
          <w:rFonts w:ascii="Arial" w:cs="Arial" w:eastAsia="Arial" w:hAnsi="Arial"/>
          <w:sz w:val="13"/>
          <w:szCs w:val="13"/>
          <w:color w:val="auto"/>
        </w:rPr>
        <w:t>Accretion of redeemable senior preferred stock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Net income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September 30, 2022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160"/>
        <w:spacing w:after="0"/>
        <w:rPr>
          <w:sz w:val="20"/>
          <w:szCs w:val="20"/>
          <w:color w:val="auto"/>
        </w:rPr>
      </w:pPr>
      <w:r>
        <w:rPr>
          <w:rFonts w:ascii="Arial" w:cs="Arial" w:eastAsia="Arial" w:hAnsi="Arial"/>
          <w:sz w:val="14"/>
          <w:szCs w:val="14"/>
          <w:b w:val="1"/>
          <w:bCs w:val="1"/>
          <w:color w:val="auto"/>
        </w:rPr>
        <w:t>Priority Technology Holdings, Inc</w:t>
      </w:r>
      <w:r>
        <w:rPr>
          <w:rFonts w:ascii="Arial" w:cs="Arial" w:eastAsia="Arial" w:hAnsi="Arial"/>
          <w:sz w:val="14"/>
          <w:szCs w:val="14"/>
          <w:color w:val="auto"/>
        </w:rPr>
        <w:t>.</w:t>
      </w:r>
    </w:p>
    <w:p>
      <w:pPr>
        <w:spacing w:after="0" w:line="23" w:lineRule="exact"/>
        <w:rPr>
          <w:sz w:val="20"/>
          <w:szCs w:val="20"/>
          <w:color w:val="auto"/>
        </w:rPr>
      </w:pPr>
    </w:p>
    <w:p>
      <w:pPr>
        <w:jc w:val="center"/>
        <w:ind w:right="2160"/>
        <w:spacing w:after="0"/>
        <w:rPr>
          <w:sz w:val="20"/>
          <w:szCs w:val="20"/>
          <w:color w:val="auto"/>
        </w:rPr>
      </w:pPr>
      <w:r>
        <w:rPr>
          <w:rFonts w:ascii="Arial" w:cs="Arial" w:eastAsia="Arial" w:hAnsi="Arial"/>
          <w:sz w:val="14"/>
          <w:szCs w:val="14"/>
          <w:b w:val="1"/>
          <w:bCs w:val="1"/>
          <w:color w:val="auto"/>
        </w:rPr>
        <w:t>Unaudited Consolidated Statements of Changes in Stockholders' Deficit and Non-Controlling Interest</w:t>
      </w:r>
    </w:p>
    <w:p>
      <w:pPr>
        <w:spacing w:after="0" w:line="9" w:lineRule="exact"/>
        <w:rPr>
          <w:sz w:val="20"/>
          <w:szCs w:val="20"/>
          <w:color w:val="auto"/>
        </w:rPr>
      </w:pPr>
    </w:p>
    <w:p>
      <w:pPr>
        <w:jc w:val="center"/>
        <w:ind w:right="2160"/>
        <w:spacing w:after="0"/>
        <w:rPr>
          <w:sz w:val="20"/>
          <w:szCs w:val="20"/>
          <w:color w:val="auto"/>
        </w:rPr>
      </w:pPr>
      <w:r>
        <w:rPr>
          <w:rFonts w:ascii="Arial" w:cs="Arial" w:eastAsia="Arial" w:hAnsi="Arial"/>
          <w:sz w:val="14"/>
          <w:szCs w:val="14"/>
          <w:i w:val="1"/>
          <w:iCs w:val="1"/>
          <w:color w:val="auto"/>
        </w:rPr>
        <w:t>(in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Common</w:t>
            </w:r>
          </w:p>
        </w:tc>
        <w:tc>
          <w:tcPr>
            <w:tcW w:w="480" w:type="dxa"/>
            <w:vAlign w:val="bottom"/>
          </w:tcPr>
          <w:p>
            <w:pPr>
              <w:spacing w:after="0"/>
              <w:rPr>
                <w:sz w:val="13"/>
                <w:szCs w:val="13"/>
                <w:color w:val="auto"/>
              </w:rPr>
            </w:pPr>
          </w:p>
        </w:tc>
        <w:tc>
          <w:tcPr>
            <w:tcW w:w="1080" w:type="dxa"/>
            <w:vAlign w:val="bottom"/>
            <w:gridSpan w:val="2"/>
          </w:tcPr>
          <w:p>
            <w:pPr>
              <w:jc w:val="center"/>
              <w:ind w:left="393"/>
              <w:spacing w:after="0"/>
              <w:rPr>
                <w:sz w:val="20"/>
                <w:szCs w:val="20"/>
                <w:color w:val="auto"/>
              </w:rPr>
            </w:pPr>
            <w:r>
              <w:rPr>
                <w:rFonts w:ascii="Arial" w:cs="Arial" w:eastAsia="Arial" w:hAnsi="Arial"/>
                <w:sz w:val="13"/>
                <w:szCs w:val="13"/>
                <w:b w:val="1"/>
                <w:bCs w:val="1"/>
                <w:color w:val="auto"/>
                <w:w w:val="90"/>
              </w:rPr>
              <w:t>Treasury</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4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b w:val="1"/>
                <w:bCs w:val="1"/>
                <w:color w:val="auto"/>
              </w:rPr>
              <w:t>Stock</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413"/>
              <w:spacing w:after="0"/>
              <w:rPr>
                <w:sz w:val="20"/>
                <w:szCs w:val="20"/>
                <w:color w:val="auto"/>
              </w:rPr>
            </w:pPr>
            <w:r>
              <w:rPr>
                <w:rFonts w:ascii="Arial" w:cs="Arial" w:eastAsia="Arial" w:hAnsi="Arial"/>
                <w:sz w:val="13"/>
                <w:szCs w:val="13"/>
                <w:b w:val="1"/>
                <w:bCs w:val="1"/>
                <w:color w:val="auto"/>
                <w:w w:val="90"/>
              </w:rPr>
              <w:t>Stock</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w w:val="96"/>
              </w:rPr>
              <w:t>Deficit Attributable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APIC</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AOCI</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1"/>
              </w:rPr>
              <w:t>Accumulated Deficit</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w w:val="89"/>
              </w:rPr>
              <w:t>to Stockholders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NCIs</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8"/>
        </w:trPr>
        <w:tc>
          <w:tcPr>
            <w:tcW w:w="820" w:type="dxa"/>
            <w:vAlign w:val="bottom"/>
          </w:tcPr>
          <w:p>
            <w:pPr>
              <w:jc w:val="right"/>
              <w:spacing w:after="0"/>
              <w:rPr>
                <w:sz w:val="20"/>
                <w:szCs w:val="20"/>
                <w:color w:val="auto"/>
              </w:rPr>
            </w:pPr>
            <w:r>
              <w:rPr>
                <w:rFonts w:ascii="Arial" w:cs="Arial" w:eastAsia="Arial" w:hAnsi="Arial"/>
                <w:sz w:val="13"/>
                <w:szCs w:val="13"/>
                <w:color w:val="auto"/>
              </w:rPr>
              <w:t>76,740</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77</w:t>
            </w:r>
          </w:p>
        </w:tc>
        <w:tc>
          <w:tcPr>
            <w:tcW w:w="680" w:type="dxa"/>
            <w:vAlign w:val="bottom"/>
          </w:tcPr>
          <w:p>
            <w:pPr>
              <w:jc w:val="right"/>
              <w:spacing w:after="0"/>
              <w:rPr>
                <w:sz w:val="20"/>
                <w:szCs w:val="20"/>
                <w:color w:val="auto"/>
              </w:rPr>
            </w:pPr>
            <w:r>
              <w:rPr>
                <w:rFonts w:ascii="Arial" w:cs="Arial" w:eastAsia="Arial" w:hAnsi="Arial"/>
                <w:sz w:val="13"/>
                <w:szCs w:val="13"/>
                <w:color w:val="auto"/>
              </w:rPr>
              <w:t>720</w:t>
            </w:r>
          </w:p>
        </w:tc>
        <w:tc>
          <w:tcPr>
            <w:tcW w:w="400" w:type="dxa"/>
            <w:vAlign w:val="bottom"/>
          </w:tcPr>
          <w:p>
            <w:pPr>
              <w:jc w:val="center"/>
              <w:ind w:right="19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(4,091)</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39,835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(100,058)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(64,237)</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(64,237)</w:t>
            </w:r>
          </w:p>
        </w:tc>
        <w:tc>
          <w:tcPr>
            <w:tcW w:w="0" w:type="dxa"/>
            <w:vAlign w:val="bottom"/>
          </w:tcPr>
          <w:p>
            <w:pPr>
              <w:spacing w:after="0"/>
              <w:rPr>
                <w:sz w:val="1"/>
                <w:szCs w:val="1"/>
                <w:color w:val="auto"/>
              </w:rPr>
            </w:pPr>
          </w:p>
        </w:tc>
      </w:tr>
      <w:tr>
        <w:trPr>
          <w:trHeight w:val="233"/>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1,558</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1,558</w:t>
            </w:r>
          </w:p>
        </w:tc>
        <w:tc>
          <w:tcPr>
            <w:tcW w:w="18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1,558</w:t>
            </w:r>
          </w:p>
        </w:tc>
        <w:tc>
          <w:tcPr>
            <w:tcW w:w="0" w:type="dxa"/>
            <w:vAlign w:val="bottom"/>
          </w:tcPr>
          <w:p>
            <w:pPr>
              <w:spacing w:after="0"/>
              <w:rPr>
                <w:sz w:val="1"/>
                <w:szCs w:val="1"/>
                <w:color w:val="auto"/>
              </w:rPr>
            </w:pPr>
          </w:p>
        </w:tc>
      </w:tr>
      <w:tr>
        <w:trPr>
          <w:trHeight w:val="64"/>
        </w:trPr>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20" w:type="dxa"/>
            <w:vAlign w:val="bottom"/>
          </w:tcPr>
          <w:p>
            <w:pPr>
              <w:jc w:val="right"/>
              <w:spacing w:after="0"/>
              <w:rPr>
                <w:sz w:val="20"/>
                <w:szCs w:val="20"/>
                <w:color w:val="auto"/>
              </w:rPr>
            </w:pPr>
            <w:r>
              <w:rPr>
                <w:rFonts w:ascii="Arial" w:cs="Arial" w:eastAsia="Arial" w:hAnsi="Arial"/>
                <w:sz w:val="13"/>
                <w:szCs w:val="13"/>
                <w:color w:val="auto"/>
              </w:rPr>
              <w:t>129</w:t>
            </w:r>
          </w:p>
        </w:tc>
        <w:tc>
          <w:tcPr>
            <w:tcW w:w="2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3"/>
        </w:trPr>
        <w:tc>
          <w:tcPr>
            <w:tcW w:w="820" w:type="dxa"/>
            <w:vAlign w:val="bottom"/>
          </w:tcPr>
          <w:p>
            <w:pPr>
              <w:jc w:val="right"/>
              <w:spacing w:after="0"/>
              <w:rPr>
                <w:sz w:val="20"/>
                <w:szCs w:val="20"/>
                <w:color w:val="auto"/>
              </w:rPr>
            </w:pPr>
            <w:r>
              <w:rPr>
                <w:rFonts w:ascii="Arial" w:cs="Arial" w:eastAsia="Arial" w:hAnsi="Arial"/>
                <w:sz w:val="13"/>
                <w:szCs w:val="13"/>
                <w:color w:val="auto"/>
              </w:rPr>
              <w:t>(27)</w:t>
            </w:r>
          </w:p>
        </w:tc>
        <w:tc>
          <w:tcPr>
            <w:tcW w:w="220" w:type="dxa"/>
            <w:vAlign w:val="bottom"/>
          </w:tcPr>
          <w:p>
            <w:pPr>
              <w:spacing w:after="0"/>
              <w:rPr>
                <w:sz w:val="20"/>
                <w:szCs w:val="20"/>
                <w:color w:val="auto"/>
              </w:rPr>
            </w:pP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1</w:t>
            </w:r>
          </w:p>
        </w:tc>
        <w:tc>
          <w:tcPr>
            <w:tcW w:w="680" w:type="dxa"/>
            <w:vAlign w:val="bottom"/>
          </w:tcPr>
          <w:p>
            <w:pPr>
              <w:jc w:val="right"/>
              <w:spacing w:after="0"/>
              <w:rPr>
                <w:sz w:val="20"/>
                <w:szCs w:val="20"/>
                <w:color w:val="auto"/>
              </w:rPr>
            </w:pPr>
            <w:r>
              <w:rPr>
                <w:rFonts w:ascii="Arial" w:cs="Arial" w:eastAsia="Arial" w:hAnsi="Arial"/>
                <w:sz w:val="13"/>
                <w:szCs w:val="13"/>
                <w:color w:val="auto"/>
              </w:rPr>
              <w:t>27</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(157)</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(157)</w:t>
            </w:r>
          </w:p>
        </w:tc>
        <w:tc>
          <w:tcPr>
            <w:tcW w:w="18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64"/>
        </w:trPr>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(7,595)</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(7,595)</w:t>
            </w:r>
          </w:p>
        </w:tc>
        <w:tc>
          <w:tcPr>
            <w:tcW w:w="18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(7,595)</w:t>
            </w:r>
          </w:p>
        </w:tc>
        <w:tc>
          <w:tcPr>
            <w:tcW w:w="0" w:type="dxa"/>
            <w:vAlign w:val="bottom"/>
          </w:tcPr>
          <w:p>
            <w:pPr>
              <w:spacing w:after="0"/>
              <w:rPr>
                <w:sz w:val="1"/>
                <w:szCs w:val="1"/>
                <w:color w:val="auto"/>
              </w:rPr>
            </w:pPr>
          </w:p>
        </w:tc>
      </w:tr>
      <w:tr>
        <w:trPr>
          <w:trHeight w:val="64"/>
        </w:trPr>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4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(805)</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(805)</w:t>
            </w:r>
          </w:p>
        </w:tc>
        <w:tc>
          <w:tcPr>
            <w:tcW w:w="18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(805)</w:t>
            </w:r>
          </w:p>
        </w:tc>
        <w:tc>
          <w:tcPr>
            <w:tcW w:w="0" w:type="dxa"/>
            <w:vAlign w:val="bottom"/>
          </w:tcPr>
          <w:p>
            <w:pPr>
              <w:spacing w:after="0"/>
              <w:rPr>
                <w:sz w:val="1"/>
                <w:szCs w:val="1"/>
                <w:color w:val="auto"/>
              </w:rPr>
            </w:pPr>
          </w:p>
        </w:tc>
      </w:tr>
      <w:tr>
        <w:trPr>
          <w:trHeight w:val="64"/>
        </w:trPr>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58"/>
        </w:trPr>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76,842</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480" w:type="dxa"/>
            <w:vAlign w:val="bottom"/>
          </w:tcPr>
          <w:p>
            <w:pPr>
              <w:jc w:val="right"/>
              <w:ind w:right="53"/>
              <w:spacing w:after="0"/>
              <w:rPr>
                <w:sz w:val="20"/>
                <w:szCs w:val="20"/>
                <w:color w:val="auto"/>
              </w:rPr>
            </w:pPr>
            <w:r>
              <w:rPr>
                <w:rFonts w:ascii="Arial" w:cs="Arial" w:eastAsia="Arial" w:hAnsi="Arial"/>
                <w:sz w:val="13"/>
                <w:szCs w:val="13"/>
                <w:b w:val="1"/>
                <w:bCs w:val="1"/>
                <w:color w:val="auto"/>
              </w:rPr>
              <w:t>78</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747</w:t>
            </w:r>
          </w:p>
        </w:tc>
        <w:tc>
          <w:tcPr>
            <w:tcW w:w="400" w:type="dxa"/>
            <w:vAlign w:val="bottom"/>
          </w:tcPr>
          <w:p>
            <w:pPr>
              <w:jc w:val="center"/>
              <w:ind w:right="196"/>
              <w:spacing w:after="0"/>
              <w:rPr>
                <w:sz w:val="20"/>
                <w:szCs w:val="20"/>
                <w:color w:val="auto"/>
              </w:rPr>
            </w:pPr>
            <w:r>
              <w:rPr>
                <w:rFonts w:ascii="Arial" w:cs="Arial" w:eastAsia="Arial" w:hAnsi="Arial"/>
                <w:sz w:val="13"/>
                <w:szCs w:val="13"/>
                <w:b w:val="1"/>
                <w:bCs w:val="1"/>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(4,248)</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32,992</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(100,391)</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(71,569)</w:t>
            </w:r>
          </w:p>
        </w:tc>
        <w:tc>
          <w:tcPr>
            <w:tcW w:w="180" w:type="dxa"/>
            <w:vAlign w:val="bottom"/>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(71,569)</w:t>
            </w:r>
          </w:p>
        </w:tc>
        <w:tc>
          <w:tcPr>
            <w:tcW w:w="0" w:type="dxa"/>
            <w:vAlign w:val="bottom"/>
          </w:tcPr>
          <w:p>
            <w:pPr>
              <w:spacing w:after="0"/>
              <w:rPr>
                <w:sz w:val="1"/>
                <w:szCs w:val="1"/>
                <w:color w:val="auto"/>
              </w:rPr>
            </w:pPr>
          </w:p>
        </w:tc>
      </w:tr>
      <w:tr>
        <w:trPr>
          <w:trHeight w:val="237"/>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1,542</w:t>
            </w:r>
          </w:p>
        </w:tc>
        <w:tc>
          <w:tcPr>
            <w:tcW w:w="14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1,542</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4"/>
                <w:szCs w:val="14"/>
                <w:color w:val="auto"/>
              </w:rPr>
              <w:t>157</w:t>
            </w:r>
          </w:p>
        </w:tc>
        <w:tc>
          <w:tcPr>
            <w:tcW w:w="220" w:type="dxa"/>
            <w:vAlign w:val="bottom"/>
          </w:tcPr>
          <w:p>
            <w:pPr>
              <w:spacing w:after="0"/>
              <w:rPr>
                <w:sz w:val="24"/>
                <w:szCs w:val="2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4"/>
                <w:szCs w:val="14"/>
                <w:color w:val="auto"/>
              </w:rPr>
              <w:t>(431)</w:t>
            </w:r>
          </w:p>
        </w:tc>
        <w:tc>
          <w:tcPr>
            <w:tcW w:w="220" w:type="dxa"/>
            <w:vAlign w:val="bottom"/>
          </w:tcPr>
          <w:p>
            <w:pPr>
              <w:spacing w:after="0"/>
              <w:rPr>
                <w:sz w:val="24"/>
                <w:szCs w:val="2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431</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(1,922)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(1,922)</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(7,732)</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(7,732)</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(7,732)</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(817)</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(817)</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244"/>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56"/>
        </w:trPr>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76,568</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480" w:type="dxa"/>
            <w:vAlign w:val="bottom"/>
          </w:tcPr>
          <w:p>
            <w:pPr>
              <w:jc w:val="right"/>
              <w:ind w:right="53"/>
              <w:spacing w:after="0"/>
              <w:rPr>
                <w:sz w:val="20"/>
                <w:szCs w:val="20"/>
                <w:color w:val="auto"/>
              </w:rPr>
            </w:pPr>
            <w:r>
              <w:rPr>
                <w:rFonts w:ascii="Arial" w:cs="Arial" w:eastAsia="Arial" w:hAnsi="Arial"/>
                <w:sz w:val="13"/>
                <w:szCs w:val="13"/>
                <w:b w:val="1"/>
                <w:bCs w:val="1"/>
                <w:color w:val="auto"/>
              </w:rPr>
              <w:t>78</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1,178</w:t>
            </w:r>
          </w:p>
        </w:tc>
        <w:tc>
          <w:tcPr>
            <w:tcW w:w="400" w:type="dxa"/>
            <w:vAlign w:val="bottom"/>
          </w:tcPr>
          <w:p>
            <w:pPr>
              <w:jc w:val="center"/>
              <w:ind w:right="196"/>
              <w:spacing w:after="0"/>
              <w:rPr>
                <w:sz w:val="20"/>
                <w:szCs w:val="20"/>
                <w:color w:val="auto"/>
              </w:rPr>
            </w:pPr>
            <w:r>
              <w:rPr>
                <w:rFonts w:ascii="Arial" w:cs="Arial" w:eastAsia="Arial" w:hAnsi="Arial"/>
                <w:sz w:val="13"/>
                <w:szCs w:val="13"/>
                <w:b w:val="1"/>
                <w:bCs w:val="1"/>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(6,170)</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26,042</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(100,104)</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(80,154)</w:t>
            </w:r>
          </w:p>
        </w:tc>
        <w:tc>
          <w:tcPr>
            <w:tcW w:w="180" w:type="dxa"/>
            <w:vAlign w:val="bottom"/>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(80,154)</w:t>
            </w:r>
          </w:p>
        </w:tc>
        <w:tc>
          <w:tcPr>
            <w:tcW w:w="0" w:type="dxa"/>
            <w:vAlign w:val="bottom"/>
          </w:tcPr>
          <w:p>
            <w:pPr>
              <w:spacing w:after="0"/>
              <w:rPr>
                <w:sz w:val="1"/>
                <w:szCs w:val="1"/>
                <w:color w:val="auto"/>
              </w:rPr>
            </w:pPr>
          </w:p>
        </w:tc>
      </w:tr>
      <w:tr>
        <w:trPr>
          <w:trHeight w:val="237"/>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1,104</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1,104</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24"/>
                <w:szCs w:val="2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4"/>
                <w:szCs w:val="14"/>
                <w:color w:val="auto"/>
              </w:rPr>
              <w:t>(630)</w:t>
            </w:r>
          </w:p>
        </w:tc>
        <w:tc>
          <w:tcPr>
            <w:tcW w:w="220" w:type="dxa"/>
            <w:vAlign w:val="bottom"/>
          </w:tcPr>
          <w:p>
            <w:pPr>
              <w:spacing w:after="0"/>
              <w:rPr>
                <w:sz w:val="24"/>
                <w:szCs w:val="2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630</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(2,595)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(2,595)</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(2,595)</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(8,636)</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(8,636)</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(8,636)</w:t>
            </w:r>
          </w:p>
        </w:tc>
        <w:tc>
          <w:tcPr>
            <w:tcW w:w="0" w:type="dxa"/>
            <w:vAlign w:val="bottom"/>
          </w:tcPr>
          <w:p>
            <w:pPr>
              <w:spacing w:after="0"/>
              <w:rPr>
                <w:sz w:val="1"/>
                <w:szCs w:val="1"/>
                <w:color w:val="auto"/>
              </w:rPr>
            </w:pPr>
          </w:p>
        </w:tc>
      </w:tr>
      <w:tr>
        <w:trPr>
          <w:trHeight w:val="297"/>
        </w:trPr>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(830)</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(830)</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244"/>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158"/>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75,981</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78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1,808</w:t>
            </w:r>
          </w:p>
        </w:tc>
        <w:tc>
          <w:tcPr>
            <w:tcW w:w="40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(8,765)</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17,719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(100,896)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(91,864)</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(91,864)</w:t>
            </w: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-3569970</wp:posOffset>
            </wp:positionV>
            <wp:extent cx="716153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-3267075</wp:posOffset>
            </wp:positionV>
            <wp:extent cx="7161530" cy="107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-2970530</wp:posOffset>
            </wp:positionV>
            <wp:extent cx="716153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-2593340</wp:posOffset>
            </wp:positionV>
            <wp:extent cx="7161530" cy="107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-2371090</wp:posOffset>
            </wp:positionV>
            <wp:extent cx="716153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-1993900</wp:posOffset>
            </wp:positionV>
            <wp:extent cx="716153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-1616075</wp:posOffset>
            </wp:positionV>
            <wp:extent cx="716153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-1313180</wp:posOffset>
            </wp:positionV>
            <wp:extent cx="7161530" cy="114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-1009650</wp:posOffset>
            </wp:positionV>
            <wp:extent cx="716153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-632460</wp:posOffset>
            </wp:positionV>
            <wp:extent cx="716153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-255270</wp:posOffset>
            </wp:positionV>
            <wp:extent cx="7161530" cy="114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2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100" w:space="60"/>
            <w:col w:w="9120"/>
          </w:cols>
          <w:pgMar w:left="300" w:top="129"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Priority Technology Holdings, Inc</w:t>
      </w:r>
      <w:r>
        <w:rPr>
          <w:rFonts w:ascii="Arial" w:cs="Arial" w:eastAsia="Arial" w:hAnsi="Arial"/>
          <w:sz w:val="14"/>
          <w:szCs w:val="14"/>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3"/>
                <w:szCs w:val="13"/>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r>
      <w:tr>
        <w:trPr>
          <w:trHeight w:val="160"/>
        </w:trPr>
        <w:tc>
          <w:tcPr>
            <w:tcW w:w="78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3"/>
                <w:szCs w:val="13"/>
                <w:color w:val="auto"/>
              </w:rPr>
            </w:pPr>
          </w:p>
        </w:tc>
      </w:tr>
      <w:tr>
        <w:trPr>
          <w:trHeight w:val="152"/>
        </w:trPr>
        <w:tc>
          <w:tcPr>
            <w:tcW w:w="78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Cash flows from operating activities:</w:t>
            </w: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Net loss</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(1,205)</w:t>
            </w:r>
          </w:p>
        </w:tc>
        <w:tc>
          <w:tcPr>
            <w:tcW w:w="80" w:type="dxa"/>
            <w:vAlign w:val="bottom"/>
          </w:tcPr>
          <w:p>
            <w:pPr>
              <w:spacing w:after="0"/>
              <w:rPr>
                <w:sz w:val="14"/>
                <w:szCs w:val="14"/>
                <w:color w:val="auto"/>
              </w:rPr>
            </w:pP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(838)</w:t>
            </w: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8"/>
        </w:trPr>
        <w:tc>
          <w:tcPr>
            <w:tcW w:w="7840" w:type="dxa"/>
            <w:vAlign w:val="bottom"/>
          </w:tcPr>
          <w:p>
            <w:pPr>
              <w:ind w:left="180"/>
              <w:spacing w:after="0"/>
              <w:rPr>
                <w:sz w:val="20"/>
                <w:szCs w:val="20"/>
                <w:color w:val="auto"/>
              </w:rPr>
            </w:pPr>
            <w:r>
              <w:rPr>
                <w:rFonts w:ascii="Arial" w:cs="Arial" w:eastAsia="Arial" w:hAnsi="Arial"/>
                <w:sz w:val="13"/>
                <w:szCs w:val="13"/>
                <w:color w:val="auto"/>
              </w:rPr>
              <w:t>Depreciation and amortization of assets</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53,303</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52,675</w:t>
            </w:r>
          </w:p>
        </w:tc>
      </w:tr>
      <w:tr>
        <w:trPr>
          <w:trHeight w:val="172"/>
        </w:trPr>
        <w:tc>
          <w:tcPr>
            <w:tcW w:w="7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4,204</w:t>
            </w:r>
          </w:p>
        </w:tc>
      </w:tr>
      <w:tr>
        <w:trPr>
          <w:trHeight w:val="168"/>
        </w:trPr>
        <w:tc>
          <w:tcPr>
            <w:tcW w:w="7840" w:type="dxa"/>
            <w:vAlign w:val="bottom"/>
          </w:tcPr>
          <w:p>
            <w:pPr>
              <w:ind w:left="200"/>
              <w:spacing w:after="0"/>
              <w:rPr>
                <w:sz w:val="20"/>
                <w:szCs w:val="20"/>
                <w:color w:val="auto"/>
              </w:rPr>
            </w:pPr>
            <w:r>
              <w:rPr>
                <w:rFonts w:ascii="Arial" w:cs="Arial" w:eastAsia="Arial" w:hAnsi="Arial"/>
                <w:sz w:val="13"/>
                <w:szCs w:val="13"/>
                <w:color w:val="auto"/>
              </w:rPr>
              <w:t>Amortization of debt issuance costs and discounts</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2,812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2,613</w:t>
            </w: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Deferred income tax</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(3,567)</w:t>
            </w:r>
          </w:p>
        </w:tc>
      </w:tr>
      <w:tr>
        <w:trPr>
          <w:trHeight w:val="168"/>
        </w:trPr>
        <w:tc>
          <w:tcPr>
            <w:tcW w:w="7840" w:type="dxa"/>
            <w:vAlign w:val="bottom"/>
          </w:tcPr>
          <w:p>
            <w:pPr>
              <w:ind w:left="200"/>
              <w:spacing w:after="0"/>
              <w:rPr>
                <w:sz w:val="20"/>
                <w:szCs w:val="20"/>
                <w:color w:val="auto"/>
              </w:rPr>
            </w:pPr>
            <w:r>
              <w:rPr>
                <w:rFonts w:ascii="Arial" w:cs="Arial" w:eastAsia="Arial" w:hAnsi="Arial"/>
                <w:sz w:val="13"/>
                <w:szCs w:val="13"/>
                <w:color w:val="auto"/>
              </w:rPr>
              <w:t>Change in contingent consideration</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906</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non-cash items, net</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Change in operating assets and liabilities:</w:t>
            </w: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7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receivable</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17,931</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(11,265)</w:t>
            </w:r>
          </w:p>
        </w:tc>
      </w:tr>
      <w:tr>
        <w:trPr>
          <w:trHeight w:val="168"/>
        </w:trPr>
        <w:tc>
          <w:tcPr>
            <w:tcW w:w="7840" w:type="dxa"/>
            <w:vAlign w:val="bottom"/>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(2,630)</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(2,575)</w:t>
            </w:r>
          </w:p>
        </w:tc>
      </w:tr>
      <w:tr>
        <w:trPr>
          <w:trHeight w:val="172"/>
        </w:trPr>
        <w:tc>
          <w:tcPr>
            <w:tcW w:w="7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 (receivable) payable</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1,003</w:t>
            </w:r>
          </w:p>
        </w:tc>
      </w:tr>
      <w:tr>
        <w:trPr>
          <w:trHeight w:val="168"/>
        </w:trPr>
        <w:tc>
          <w:tcPr>
            <w:tcW w:w="7840" w:type="dxa"/>
            <w:vAlign w:val="bottom"/>
          </w:tcPr>
          <w:p>
            <w:pPr>
              <w:ind w:left="180"/>
              <w:spacing w:after="0"/>
              <w:rPr>
                <w:sz w:val="20"/>
                <w:szCs w:val="20"/>
                <w:color w:val="auto"/>
              </w:rPr>
            </w:pPr>
            <w:r>
              <w:rPr>
                <w:rFonts w:ascii="Arial" w:cs="Arial" w:eastAsia="Arial" w:hAnsi="Arial"/>
                <w:sz w:val="13"/>
                <w:szCs w:val="13"/>
                <w:color w:val="auto"/>
              </w:rPr>
              <w:t>Notes receivable</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(668)</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569</w:t>
            </w:r>
          </w:p>
        </w:tc>
      </w:tr>
      <w:tr>
        <w:trPr>
          <w:trHeight w:val="172"/>
        </w:trPr>
        <w:tc>
          <w:tcPr>
            <w:tcW w:w="7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 and other accrued liabilities</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13,711</w:t>
            </w:r>
          </w:p>
        </w:tc>
      </w:tr>
      <w:tr>
        <w:trPr>
          <w:trHeight w:val="168"/>
        </w:trPr>
        <w:tc>
          <w:tcPr>
            <w:tcW w:w="7840" w:type="dxa"/>
            <w:vAlign w:val="bottom"/>
          </w:tcPr>
          <w:p>
            <w:pPr>
              <w:ind w:left="180"/>
              <w:spacing w:after="0"/>
              <w:rPr>
                <w:sz w:val="20"/>
                <w:szCs w:val="20"/>
                <w:color w:val="auto"/>
              </w:rPr>
            </w:pPr>
            <w:r>
              <w:rPr>
                <w:rFonts w:ascii="Arial" w:cs="Arial" w:eastAsia="Arial" w:hAnsi="Arial"/>
                <w:sz w:val="13"/>
                <w:szCs w:val="13"/>
                <w:color w:val="auto"/>
              </w:rPr>
              <w:t>Customer deposits and advance payments</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3,802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(1,910)</w:t>
            </w:r>
          </w:p>
        </w:tc>
      </w:tr>
      <w:tr>
        <w:trPr>
          <w:trHeight w:val="172"/>
        </w:trPr>
        <w:tc>
          <w:tcPr>
            <w:tcW w:w="7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assets and liabilities, net</w:t>
            </w:r>
          </w:p>
        </w:tc>
        <w:tc>
          <w:tcPr>
            <w:tcW w:w="10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(4,953)</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(3,908)</w:t>
            </w:r>
          </w:p>
        </w:tc>
      </w:tr>
      <w:tr>
        <w:trPr>
          <w:trHeight w:val="158"/>
        </w:trPr>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3"/>
                <w:szCs w:val="13"/>
                <w:b w:val="1"/>
                <w:bCs w:val="1"/>
                <w:color w:val="auto"/>
              </w:rPr>
              <w:t>Net cash provided by operating activities</w:t>
            </w:r>
          </w:p>
        </w:tc>
        <w:tc>
          <w:tcPr>
            <w:tcW w:w="10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72,680</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50,558</w:t>
            </w:r>
          </w:p>
        </w:tc>
      </w:tr>
      <w:tr>
        <w:trPr>
          <w:trHeight w:val="152"/>
        </w:trPr>
        <w:tc>
          <w:tcPr>
            <w:tcW w:w="78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Cash flows from investing activities:</w:t>
            </w: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Acquisition of business, net of cash acquired</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(28,182)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Additions to property, equipment and software</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(15,268)</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(11,380)</w:t>
            </w: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Notes receivable, net</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(3,250)</w:t>
            </w: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Acquisitions of assets and other investing activities</w:t>
            </w:r>
          </w:p>
        </w:tc>
        <w:tc>
          <w:tcPr>
            <w:tcW w:w="10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(7,925)</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(6,465)</w:t>
            </w:r>
          </w:p>
        </w:tc>
      </w:tr>
      <w:tr>
        <w:trPr>
          <w:trHeight w:val="158"/>
        </w:trPr>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3"/>
                <w:szCs w:val="13"/>
                <w:b w:val="1"/>
                <w:bCs w:val="1"/>
                <w:color w:val="auto"/>
              </w:rPr>
              <w:t>Net cash used in investing activities</w:t>
            </w:r>
          </w:p>
        </w:tc>
        <w:tc>
          <w:tcPr>
            <w:tcW w:w="10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(51,224)</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(21,095)</w:t>
            </w:r>
          </w:p>
        </w:tc>
      </w:tr>
      <w:tr>
        <w:trPr>
          <w:trHeight w:val="152"/>
        </w:trPr>
        <w:tc>
          <w:tcPr>
            <w:tcW w:w="78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Cash flows from financing activities:</w:t>
            </w: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Debt issuance and modification costs paid</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(807)</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Repayments of long-term debt</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(4,650)</w:t>
            </w: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Borrowings under revolving credit facility</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44,000</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23,000</w:t>
            </w: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Repayments of borrowings under revolving credit facility</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(23,500)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(32,000)</w:t>
            </w: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Repurchases of Common Stock and shares withheld for taxes</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(1,018)</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(4,674)</w:t>
            </w: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Dividends paid to redeemable senior preferred stockholders</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(17,908)</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(11,478)</w:t>
            </w: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Settlement and customer/subscriber accounts obligations, net</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165,610</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25,695</w:t>
            </w: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Payment of contingent consideration related to business combination</w:t>
            </w:r>
          </w:p>
        </w:tc>
        <w:tc>
          <w:tcPr>
            <w:tcW w:w="10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(4,698)</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(3,992)</w:t>
            </w:r>
          </w:p>
        </w:tc>
      </w:tr>
      <w:tr>
        <w:trPr>
          <w:trHeight w:val="158"/>
        </w:trPr>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10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157,029</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(8,099)</w:t>
            </w:r>
          </w:p>
        </w:tc>
      </w:tr>
      <w:tr>
        <w:trPr>
          <w:trHeight w:val="152"/>
        </w:trPr>
        <w:tc>
          <w:tcPr>
            <w:tcW w:w="78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Net change in cash and cash equivalents and restricted cash:</w:t>
            </w: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Net increase in cash and cash equivalents, and restricted cash</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178,485</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21,364</w:t>
            </w:r>
          </w:p>
        </w:tc>
      </w:tr>
      <w:tr>
        <w:trPr>
          <w:trHeight w:val="170"/>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10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560,610</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518,093</w:t>
            </w:r>
          </w:p>
        </w:tc>
      </w:tr>
      <w:tr>
        <w:trPr>
          <w:trHeight w:val="163"/>
        </w:trPr>
        <w:tc>
          <w:tcPr>
            <w:tcW w:w="7840" w:type="dxa"/>
            <w:vAlign w:val="bottom"/>
          </w:tcPr>
          <w:p>
            <w:pPr>
              <w:spacing w:after="0"/>
              <w:rPr>
                <w:sz w:val="20"/>
                <w:szCs w:val="20"/>
                <w:color w:val="auto"/>
              </w:rPr>
            </w:pPr>
            <w:r>
              <w:rPr>
                <w:rFonts w:ascii="Arial" w:cs="Arial" w:eastAsia="Arial" w:hAnsi="Arial"/>
                <w:sz w:val="13"/>
                <w:szCs w:val="13"/>
                <w:b w:val="1"/>
                <w:bCs w:val="1"/>
                <w:color w:val="auto"/>
              </w:rPr>
              <w:t>Cash and cash equivalents and restricted cash at end of period</w:t>
            </w:r>
          </w:p>
        </w:tc>
        <w:tc>
          <w:tcPr>
            <w:tcW w:w="1080" w:type="dxa"/>
            <w:vAlign w:val="bottom"/>
            <w:tcBorders>
              <w:bottom w:val="single" w:sz="8" w:color="auto"/>
            </w:tcBorders>
          </w:tcPr>
          <w:p>
            <w:pPr>
              <w:jc w:val="right"/>
              <w:ind w:right="936"/>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739,095</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36"/>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539,457</w:t>
            </w:r>
          </w:p>
        </w:tc>
      </w:tr>
      <w:tr>
        <w:trPr>
          <w:trHeight w:val="20"/>
        </w:trPr>
        <w:tc>
          <w:tcPr>
            <w:tcW w:w="7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Priority Technology Holdings, Inc</w:t>
      </w:r>
      <w:r>
        <w:rPr>
          <w:rFonts w:ascii="Arial" w:cs="Arial" w:eastAsia="Arial" w:hAnsi="Arial"/>
          <w:sz w:val="14"/>
          <w:szCs w:val="14"/>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3"/>
                <w:szCs w:val="13"/>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r>
      <w:tr>
        <w:trPr>
          <w:trHeight w:val="160"/>
        </w:trPr>
        <w:tc>
          <w:tcPr>
            <w:tcW w:w="53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1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3"/>
                <w:szCs w:val="13"/>
                <w:color w:val="auto"/>
              </w:rPr>
            </w:pPr>
          </w:p>
        </w:tc>
      </w:tr>
      <w:tr>
        <w:trPr>
          <w:trHeight w:val="152"/>
        </w:trPr>
        <w:tc>
          <w:tcPr>
            <w:tcW w:w="78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Reconciliation of cash and cash equivalents, and restricted cash:</w:t>
            </w: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7840" w:type="dxa"/>
            <w:vAlign w:val="bottom"/>
            <w:gridSpan w:val="3"/>
          </w:tcPr>
          <w:p>
            <w:pPr>
              <w:ind w:left="100"/>
              <w:spacing w:after="0"/>
              <w:rPr>
                <w:sz w:val="20"/>
                <w:szCs w:val="20"/>
                <w:color w:val="auto"/>
              </w:rPr>
            </w:pPr>
            <w:r>
              <w:rPr>
                <w:rFonts w:ascii="Arial" w:cs="Arial" w:eastAsia="Arial" w:hAnsi="Arial"/>
                <w:sz w:val="13"/>
                <w:szCs w:val="13"/>
                <w:color w:val="auto"/>
              </w:rPr>
              <w:t>Cash and cash equivalents</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24,595</w:t>
            </w:r>
          </w:p>
        </w:tc>
        <w:tc>
          <w:tcPr>
            <w:tcW w:w="80" w:type="dxa"/>
            <w:vAlign w:val="bottom"/>
          </w:tcPr>
          <w:p>
            <w:pPr>
              <w:spacing w:after="0"/>
              <w:rPr>
                <w:sz w:val="14"/>
                <w:szCs w:val="14"/>
                <w:color w:val="auto"/>
              </w:rPr>
            </w:pP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12,707</w:t>
            </w:r>
          </w:p>
        </w:tc>
      </w:tr>
      <w:tr>
        <w:trPr>
          <w:trHeight w:val="172"/>
        </w:trPr>
        <w:tc>
          <w:tcPr>
            <w:tcW w:w="784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Restricted cash</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11,624</w:t>
            </w:r>
          </w:p>
        </w:tc>
      </w:tr>
      <w:tr>
        <w:trPr>
          <w:trHeight w:val="138"/>
        </w:trPr>
        <w:tc>
          <w:tcPr>
            <w:tcW w:w="7840" w:type="dxa"/>
            <w:vAlign w:val="bottom"/>
            <w:gridSpan w:val="3"/>
          </w:tcPr>
          <w:p>
            <w:pPr>
              <w:ind w:left="100"/>
              <w:spacing w:after="0" w:line="138" w:lineRule="exact"/>
              <w:rPr>
                <w:sz w:val="20"/>
                <w:szCs w:val="20"/>
                <w:color w:val="auto"/>
              </w:rPr>
            </w:pPr>
            <w:r>
              <w:rPr>
                <w:rFonts w:ascii="Arial" w:cs="Arial" w:eastAsia="Arial" w:hAnsi="Arial"/>
                <w:sz w:val="13"/>
                <w:szCs w:val="13"/>
                <w:color w:val="auto"/>
              </w:rPr>
              <w:t xml:space="preserve">Cash and cash equivalents included in settlement assets and customer/subscriber account balances (see </w:t>
            </w:r>
            <w:r>
              <w:rPr>
                <w:rFonts w:ascii="Arial" w:cs="Arial" w:eastAsia="Arial" w:hAnsi="Arial"/>
                <w:sz w:val="13"/>
                <w:szCs w:val="13"/>
                <w:color w:val="0000FF"/>
              </w:rPr>
              <w:t>Note 4</w:t>
            </w:r>
            <w:r>
              <w:rPr>
                <w:rFonts w:ascii="Arial" w:cs="Arial" w:eastAsia="Arial" w:hAnsi="Arial"/>
                <w:sz w:val="13"/>
                <w:szCs w:val="13"/>
                <w:color w:val="auto"/>
              </w:rPr>
              <w:t>)</w:t>
            </w:r>
          </w:p>
        </w:tc>
        <w:tc>
          <w:tcPr>
            <w:tcW w:w="108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700,610</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515,126</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0000FF"/>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7"/>
        </w:trPr>
        <w:tc>
          <w:tcPr>
            <w:tcW w:w="78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b w:val="1"/>
                <w:bCs w:val="1"/>
                <w:color w:val="auto"/>
              </w:rPr>
              <w:t>Total cash and cash equivalents, and restricted cash</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739,095</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539,457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0"/>
        </w:trPr>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8"/>
        </w:trPr>
        <w:tc>
          <w:tcPr>
            <w:tcW w:w="7840" w:type="dxa"/>
            <w:vAlign w:val="bottom"/>
            <w:gridSpan w:val="3"/>
          </w:tcPr>
          <w:p>
            <w:pPr>
              <w:ind w:left="100"/>
              <w:spacing w:after="0"/>
              <w:rPr>
                <w:sz w:val="20"/>
                <w:szCs w:val="20"/>
                <w:color w:val="auto"/>
              </w:rPr>
            </w:pPr>
            <w:r>
              <w:rPr>
                <w:rFonts w:ascii="Arial" w:cs="Arial" w:eastAsia="Arial" w:hAnsi="Arial"/>
                <w:sz w:val="13"/>
                <w:szCs w:val="13"/>
                <w:color w:val="auto"/>
              </w:rPr>
              <w:t>Cash paid for interest</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54,670</w:t>
            </w:r>
          </w:p>
        </w:tc>
        <w:tc>
          <w:tcPr>
            <w:tcW w:w="80" w:type="dxa"/>
            <w:vAlign w:val="bottom"/>
          </w:tcPr>
          <w:p>
            <w:pPr>
              <w:spacing w:after="0"/>
              <w:rPr>
                <w:sz w:val="14"/>
                <w:szCs w:val="14"/>
                <w:color w:val="auto"/>
              </w:rPr>
            </w:pP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33,023</w:t>
            </w:r>
          </w:p>
        </w:tc>
      </w:tr>
      <w:tr>
        <w:trPr>
          <w:trHeight w:val="172"/>
        </w:trPr>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8"/>
        </w:trPr>
        <w:tc>
          <w:tcPr>
            <w:tcW w:w="7840" w:type="dxa"/>
            <w:vAlign w:val="bottom"/>
            <w:gridSpan w:val="3"/>
          </w:tcPr>
          <w:p>
            <w:pPr>
              <w:ind w:left="100"/>
              <w:spacing w:after="0"/>
              <w:rPr>
                <w:sz w:val="20"/>
                <w:szCs w:val="20"/>
                <w:color w:val="auto"/>
              </w:rPr>
            </w:pPr>
            <w:r>
              <w:rPr>
                <w:rFonts w:ascii="Arial" w:cs="Arial" w:eastAsia="Arial" w:hAnsi="Arial"/>
                <w:sz w:val="13"/>
                <w:szCs w:val="13"/>
                <w:color w:val="auto"/>
              </w:rPr>
              <w:t>Treasury stock purchases settled after the balance sheet date</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651</w:t>
            </w:r>
          </w:p>
        </w:tc>
      </w:tr>
      <w:tr>
        <w:trPr>
          <w:trHeight w:val="172"/>
        </w:trPr>
        <w:tc>
          <w:tcPr>
            <w:tcW w:w="784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Contingent consideration accrual</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4,825</w:t>
            </w:r>
          </w:p>
        </w:tc>
      </w:tr>
      <w:tr>
        <w:trPr>
          <w:trHeight w:val="168"/>
        </w:trPr>
        <w:tc>
          <w:tcPr>
            <w:tcW w:w="7840" w:type="dxa"/>
            <w:vAlign w:val="bottom"/>
            <w:gridSpan w:val="3"/>
          </w:tcPr>
          <w:p>
            <w:pPr>
              <w:ind w:left="100"/>
              <w:spacing w:after="0"/>
              <w:rPr>
                <w:sz w:val="20"/>
                <w:szCs w:val="20"/>
                <w:color w:val="auto"/>
              </w:rPr>
            </w:pPr>
            <w:r>
              <w:rPr>
                <w:rFonts w:ascii="Arial" w:cs="Arial" w:eastAsia="Arial" w:hAnsi="Arial"/>
                <w:sz w:val="13"/>
                <w:szCs w:val="13"/>
                <w:color w:val="auto"/>
              </w:rPr>
              <w:t>Non-cash additions to other noncurrent assets for right-of-use operating leases</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166</w:t>
            </w:r>
          </w:p>
        </w:tc>
      </w:tr>
      <w:tr>
        <w:trPr>
          <w:trHeight w:val="172"/>
        </w:trPr>
        <w:tc>
          <w:tcPr>
            <w:tcW w:w="784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Adjustment to value of profit interest units</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840" w:type="dxa"/>
            <w:vAlign w:val="bottom"/>
            <w:gridSpan w:val="3"/>
          </w:tcPr>
          <w:p>
            <w:pPr>
              <w:ind w:left="100"/>
              <w:spacing w:after="0"/>
              <w:rPr>
                <w:sz w:val="20"/>
                <w:szCs w:val="20"/>
                <w:color w:val="auto"/>
              </w:rPr>
            </w:pPr>
            <w:r>
              <w:rPr>
                <w:rFonts w:ascii="Arial" w:cs="Arial" w:eastAsia="Arial" w:hAnsi="Arial"/>
                <w:sz w:val="13"/>
                <w:szCs w:val="13"/>
                <w:color w:val="auto"/>
              </w:rPr>
              <w:t>Acquisition of intangible asset</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193</w:t>
            </w:r>
          </w:p>
        </w:tc>
        <w:tc>
          <w:tcPr>
            <w:tcW w:w="80" w:type="dxa"/>
            <w:vAlign w:val="bottom"/>
          </w:tcPr>
          <w:p>
            <w:pPr>
              <w:spacing w:after="0"/>
              <w:rPr>
                <w:sz w:val="14"/>
                <w:szCs w:val="14"/>
                <w:color w:val="auto"/>
              </w:rPr>
            </w:pP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Measurement period adjustment to purchase price</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840" w:type="dxa"/>
            <w:vAlign w:val="bottom"/>
            <w:gridSpan w:val="3"/>
          </w:tcPr>
          <w:p>
            <w:pPr>
              <w:ind w:left="100"/>
              <w:spacing w:after="0" w:line="170" w:lineRule="exact"/>
              <w:rPr>
                <w:sz w:val="20"/>
                <w:szCs w:val="20"/>
                <w:color w:val="auto"/>
              </w:rPr>
            </w:pPr>
            <w:r>
              <w:rPr>
                <w:rFonts w:ascii="Arial" w:cs="Arial" w:eastAsia="Arial" w:hAnsi="Arial"/>
                <w:sz w:val="13"/>
                <w:szCs w:val="13"/>
                <w:color w:val="auto"/>
              </w:rPr>
              <w:t>Cash portion of dividend payable for redeemable senior preferred stock</w:t>
            </w:r>
            <w:r>
              <w:rPr>
                <w:rFonts w:ascii="Arial" w:cs="Arial" w:eastAsia="Arial" w:hAnsi="Arial"/>
                <w:sz w:val="16"/>
                <w:szCs w:val="16"/>
                <w:color w:val="auto"/>
                <w:vertAlign w:val="superscript"/>
              </w:rPr>
              <w:t>(1)</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6,810</w:t>
            </w:r>
          </w:p>
        </w:tc>
        <w:tc>
          <w:tcPr>
            <w:tcW w:w="80" w:type="dxa"/>
            <w:vAlign w:val="bottom"/>
          </w:tcPr>
          <w:p>
            <w:pPr>
              <w:spacing w:after="0"/>
              <w:rPr>
                <w:sz w:val="14"/>
                <w:szCs w:val="14"/>
                <w:color w:val="auto"/>
              </w:rPr>
            </w:pP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84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Issuance of NCI</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31"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5"/>
          <w:szCs w:val="15"/>
          <w:color w:val="auto"/>
          <w:vertAlign w:val="superscript"/>
        </w:rPr>
      </w:pPr>
      <w:r>
        <w:rPr>
          <w:rFonts w:ascii="Arial" w:cs="Arial" w:eastAsia="Arial" w:hAnsi="Arial"/>
          <w:sz w:val="11"/>
          <w:szCs w:val="11"/>
          <w:color w:val="auto"/>
        </w:rPr>
        <w:t>Paid on October 2, 2023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Priority Technology Holdings,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Unaudited Consolidated Financial Statements</w:t>
      </w:r>
    </w:p>
    <w:p>
      <w:pPr>
        <w:spacing w:after="0" w:line="18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2"/>
          <w:szCs w:val="12"/>
          <w:b w:val="1"/>
          <w:bCs w:val="1"/>
          <w:color w:val="auto"/>
        </w:rPr>
        <w:t>Basis of Presentation and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Consolidation and Presentation</w:t>
      </w:r>
    </w:p>
    <w:p>
      <w:pPr>
        <w:spacing w:after="0" w:line="179" w:lineRule="exact"/>
        <w:rPr>
          <w:sz w:val="20"/>
          <w:szCs w:val="20"/>
          <w:color w:val="auto"/>
        </w:rPr>
      </w:pPr>
    </w:p>
    <w:p>
      <w:pPr>
        <w:ind w:right="540"/>
        <w:spacing w:after="0" w:line="281" w:lineRule="auto"/>
        <w:rPr>
          <w:sz w:val="20"/>
          <w:szCs w:val="20"/>
          <w:color w:val="auto"/>
        </w:rPr>
      </w:pPr>
      <w:r>
        <w:rPr>
          <w:rFonts w:ascii="Arial" w:cs="Arial" w:eastAsia="Arial" w:hAnsi="Arial"/>
          <w:sz w:val="14"/>
          <w:szCs w:val="14"/>
          <w:color w:val="auto"/>
        </w:rPr>
        <w:t>Priority Technology Holdings, Inc. and its consolidated subsidiaries are referred to herein collectively as "Priority," "PRTH," the "Company," "we," "our" or "us," unless the context requires otherwise. Priority is a provider of merchant acquiring, integrated payment software, money transmission services and commercial payments solutions.</w:t>
      </w:r>
    </w:p>
    <w:p>
      <w:pPr>
        <w:spacing w:after="0" w:line="132"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3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 of December 31, 2022 was derived from the audited financial statements included in the Company's Annual Report on Form 10-K for the year ended December 31, 2022 but does not include all disclosures required by GAAP for annual financial statements.</w:t>
      </w:r>
    </w:p>
    <w:p>
      <w:pPr>
        <w:spacing w:after="0" w:line="146"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NCI represents the equity interest in certain consolidated entities in which the Company owns less than 100% of the profit interests. Changes in the Company's ownership interest while the Company retains its controlling interest are accounted for as equity transactions. As of September 30, 2023, there was no income or loss attributable to NCI in accordance with the applicable operating agreements.</w:t>
      </w:r>
    </w:p>
    <w:p>
      <w:pPr>
        <w:spacing w:after="0" w:line="142"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The results for the quarter and nine months ended September, 30, 2023 include the results of the Plastiq business acquired through Chapter 11 bankruptcy process on July 31, 2023.</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Use of Estimates</w:t>
      </w:r>
    </w:p>
    <w:p>
      <w:pPr>
        <w:spacing w:after="0" w:line="179"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179" w:lineRule="exact"/>
        <w:rPr>
          <w:sz w:val="20"/>
          <w:szCs w:val="20"/>
          <w:color w:val="auto"/>
        </w:rPr>
      </w:pPr>
    </w:p>
    <w:p>
      <w:pPr>
        <w:ind w:right="80"/>
        <w:spacing w:after="0" w:line="321" w:lineRule="auto"/>
        <w:rPr>
          <w:sz w:val="20"/>
          <w:szCs w:val="20"/>
          <w:color w:val="auto"/>
        </w:rPr>
      </w:pPr>
      <w:r>
        <w:rPr>
          <w:rFonts w:ascii="Arial" w:cs="Arial" w:eastAsia="Arial" w:hAnsi="Arial"/>
          <w:sz w:val="13"/>
          <w:szCs w:val="13"/>
          <w:color w:val="auto"/>
        </w:rPr>
        <w:t xml:space="preserve">For the Plastiq business that was acquired on July 31, 2023 (refer to </w:t>
      </w:r>
      <w:r>
        <w:rPr>
          <w:rFonts w:ascii="Arial" w:cs="Arial" w:eastAsia="Arial" w:hAnsi="Arial"/>
          <w:sz w:val="13"/>
          <w:szCs w:val="13"/>
          <w:u w:val="single" w:color="auto"/>
          <w:color w:val="0000FF"/>
        </w:rPr>
        <w:t>Note 2. Acquisitions</w:t>
      </w:r>
      <w:r>
        <w:rPr>
          <w:rFonts w:ascii="Arial" w:cs="Arial" w:eastAsia="Arial" w:hAnsi="Arial"/>
          <w:sz w:val="13"/>
          <w:szCs w:val="13"/>
          <w:color w:val="auto"/>
        </w:rPr>
        <w:t>,) the Company accepts card payments from its customers and processes disbursements to their vendors. For these transactions, the Company acts as merchant of record, therefore, considered as the principal and accordingly presents its revenue on a gross basis. The Company also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volume rebates as an incentive to increase business and customer engagement. These rebates are presented as net of revenue. Transaction processing costs, including interchange fees, are presented as costs of revenue.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Accounts Receivable, net</w:t>
      </w:r>
    </w:p>
    <w:p>
      <w:pPr>
        <w:spacing w:after="0" w:line="168"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Accounts receivables include dues from the Company's sponsor banks (for revenues earned, net of related interchange and processing fees, and do not bear interest), agents, merchants and other customers, stated net of allowance for current expected credit losses for any uncollectible amounts.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w:t>
      </w:r>
    </w:p>
    <w:p>
      <w:pPr>
        <w:spacing w:after="0" w:line="179"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Company's reporting currency is the U.S. dollar. The functional currency of the Indian subsidiary of the Company is Indian Rupee (i.e. local currency of Republic of India). The functional currency of the Canadian subsidiary of the Company is the Canadian Dollar. Accordingly, assets and liabilities denominated in a foreign currency are translated into U.S. dollars at the current exchange rate on the last day of the reporting period. Revenues and expenses are translated using the average exchange rate in effect during the reporting period. Translation adjustments are reported as a component of accumulated other comprehensive income (loss).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Standards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Losses</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Measurement of Credit Losses on Financial Instruments</w:t>
      </w:r>
      <w:r>
        <w:rPr>
          <w:rFonts w:ascii="Arial" w:cs="Arial" w:eastAsia="Arial" w:hAnsi="Arial"/>
          <w:sz w:val="14"/>
          <w:szCs w:val="14"/>
          <w:color w:val="auto"/>
        </w:rPr>
        <w:t xml:space="preserve"> ("ASU 2016-13"). This new guidance changes how entities account for credit impairment for trade and other receivables, as well as for certain financial assets and other instruments. ASU 2016-13 replaces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Company adopted ASU 2016-13 effective January 1, 2023 using the modified-retrospective approach. The implementation of ASU 2016-13 did not have a material impact on the Company's Unaudited Consolidated Financial Statements. Additionally, the Company modified its accounting policy to conform with the requirements of the adoption of this standard.</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Reference Rate Reform</w:t>
      </w:r>
    </w:p>
    <w:p>
      <w:pPr>
        <w:spacing w:after="0" w:line="179" w:lineRule="exact"/>
        <w:rPr>
          <w:sz w:val="20"/>
          <w:szCs w:val="20"/>
          <w:color w:val="auto"/>
        </w:rPr>
      </w:pPr>
    </w:p>
    <w:p>
      <w:pPr>
        <w:ind w:right="80"/>
        <w:spacing w:after="0" w:line="280" w:lineRule="auto"/>
        <w:rPr>
          <w:sz w:val="20"/>
          <w:szCs w:val="20"/>
          <w:color w:val="auto"/>
        </w:rPr>
      </w:pPr>
      <w:r>
        <w:rPr>
          <w:rFonts w:ascii="Arial" w:cs="Arial" w:eastAsia="Arial" w:hAnsi="Arial"/>
          <w:sz w:val="13"/>
          <w:szCs w:val="13"/>
          <w:color w:val="auto"/>
        </w:rPr>
        <w:t xml:space="preserve">In March 2020, the FASB issued ASU 2020-04, </w:t>
      </w:r>
      <w:r>
        <w:rPr>
          <w:rFonts w:ascii="Arial" w:cs="Arial" w:eastAsia="Arial" w:hAnsi="Arial"/>
          <w:sz w:val="13"/>
          <w:szCs w:val="13"/>
          <w:i w:val="1"/>
          <w:iCs w:val="1"/>
          <w:color w:val="auto"/>
        </w:rPr>
        <w:t>Facilitation of the Effects of Reference Rate Reform on Financial Reporting</w:t>
      </w:r>
      <w:r>
        <w:rPr>
          <w:rFonts w:ascii="Arial" w:cs="Arial" w:eastAsia="Arial" w:hAnsi="Arial"/>
          <w:sz w:val="13"/>
          <w:szCs w:val="13"/>
          <w:color w:val="auto"/>
        </w:rPr>
        <w:t xml:space="preserve">, which provides temporary optional expedients and exceptions to the GAAP guidance on contract modifications and hedge accounting to ease the financial reporting burdens of the expected market transition from the LIBOR and other interbank offered rates to alternative reference rates, such as the SOFR. An entity that makes this election would not have to remeasure the contract at the modification date or reassess a previous accounting determination. In January 2021, the FASB issued </w:t>
      </w:r>
      <w:r>
        <w:rPr>
          <w:rFonts w:ascii="Arial" w:cs="Arial" w:eastAsia="Arial" w:hAnsi="Arial"/>
          <w:sz w:val="13"/>
          <w:szCs w:val="13"/>
          <w:i w:val="1"/>
          <w:iCs w:val="1"/>
          <w:color w:val="auto"/>
        </w:rPr>
        <w:t>ASU 2021-01, Reference Rate Reform (Topic 848), Scope</w:t>
      </w:r>
      <w:r>
        <w:rPr>
          <w:rFonts w:ascii="Arial" w:cs="Arial" w:eastAsia="Arial" w:hAnsi="Arial"/>
          <w:sz w:val="13"/>
          <w:szCs w:val="13"/>
          <w:color w:val="auto"/>
        </w:rPr>
        <w:t xml:space="preserve"> ASU 2021-01, which clarifies that certain optional expedients and exceptions in Topic 848 for contract modifications and hedge accounting apply to derivatives that are affected by the discounting transition. The Company adopted the optional expedients of Topic 848 on June 30, 2023 upon the amendments of its Credit Agreement (see </w:t>
      </w:r>
      <w:r>
        <w:rPr>
          <w:rFonts w:ascii="Arial" w:cs="Arial" w:eastAsia="Arial" w:hAnsi="Arial"/>
          <w:sz w:val="13"/>
          <w:szCs w:val="13"/>
          <w:u w:val="single" w:color="auto"/>
          <w:color w:val="0000FF"/>
        </w:rPr>
        <w:t>Note 8. Debt Obligations</w:t>
      </w:r>
      <w:r>
        <w:rPr>
          <w:rFonts w:ascii="Arial" w:cs="Arial" w:eastAsia="Arial" w:hAnsi="Arial"/>
          <w:sz w:val="13"/>
          <w:szCs w:val="13"/>
          <w:color w:val="auto"/>
        </w:rPr>
        <w:t xml:space="preserve">) and the Certificate of Designation (see </w:t>
      </w:r>
      <w:r>
        <w:rPr>
          <w:rFonts w:ascii="Arial" w:cs="Arial" w:eastAsia="Arial" w:hAnsi="Arial"/>
          <w:sz w:val="13"/>
          <w:szCs w:val="13"/>
          <w:u w:val="single" w:color="auto"/>
          <w:color w:val="0000FF"/>
        </w:rPr>
        <w:t>Note 9. Redeemable Senior Preferred Stock and Warrants</w:t>
      </w:r>
      <w:r>
        <w:rPr>
          <w:rFonts w:ascii="Arial" w:cs="Arial" w:eastAsia="Arial" w:hAnsi="Arial"/>
          <w:sz w:val="13"/>
          <w:szCs w:val="13"/>
          <w:color w:val="auto"/>
        </w:rPr>
        <w:t>), which transitioned the Company's reference rates from LIBOR to SOFR. The adoption of this standard did not have a material impact on the Company's Unaudited Consolidated Financial Statements.</w:t>
      </w:r>
    </w:p>
    <w:p>
      <w:pPr>
        <w:spacing w:after="0" w:line="200" w:lineRule="exact"/>
        <w:rPr>
          <w:sz w:val="20"/>
          <w:szCs w:val="20"/>
          <w:color w:val="auto"/>
        </w:rPr>
      </w:pPr>
    </w:p>
    <w:p>
      <w:pPr>
        <w:spacing w:after="0" w:line="294" w:lineRule="exact"/>
        <w:rPr>
          <w:sz w:val="20"/>
          <w:szCs w:val="20"/>
          <w:color w:val="auto"/>
        </w:rPr>
      </w:pPr>
    </w:p>
    <w:p>
      <w:pPr>
        <w:ind w:right="10120" w:firstLine="5"/>
        <w:spacing w:after="0" w:line="593" w:lineRule="auto"/>
        <w:tabs>
          <w:tab w:leader="none" w:pos="248"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Plastiq Acquisition</w:t>
      </w:r>
    </w:p>
    <w:p>
      <w:pPr>
        <w:spacing w:after="0" w:line="1" w:lineRule="exact"/>
        <w:rPr>
          <w:sz w:val="20"/>
          <w:szCs w:val="20"/>
          <w:color w:val="auto"/>
        </w:rPr>
      </w:pPr>
    </w:p>
    <w:p>
      <w:pPr>
        <w:ind w:right="120"/>
        <w:spacing w:after="0" w:line="321" w:lineRule="auto"/>
        <w:rPr>
          <w:sz w:val="20"/>
          <w:szCs w:val="20"/>
          <w:color w:val="auto"/>
        </w:rPr>
      </w:pPr>
      <w:r>
        <w:rPr>
          <w:rFonts w:ascii="Arial" w:cs="Arial" w:eastAsia="Arial" w:hAnsi="Arial"/>
          <w:sz w:val="13"/>
          <w:szCs w:val="13"/>
          <w:color w:val="auto"/>
        </w:rPr>
        <w:t>On May 23, 2023, PRTH’s subsidiary, Plastiq, Powered by Priority, LLC (the "acquiring entity"), entered into a stalking horse equity and asset purchase agreement (the "Purchase Agreement") with Plastiq, Inc. and certain of its affiliates ("Plastiq") to acquire substantially all of the assets of Plastiq, including the equity interest in Plastiq Canada, Inc. Plastiq is a buyer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80"/>
        <w:spacing w:after="0" w:line="321" w:lineRule="auto"/>
        <w:rPr>
          <w:sz w:val="20"/>
          <w:szCs w:val="20"/>
          <w:color w:val="auto"/>
        </w:rPr>
      </w:pPr>
      <w:r>
        <w:rPr>
          <w:rFonts w:ascii="Arial" w:cs="Arial" w:eastAsia="Arial" w:hAnsi="Arial"/>
          <w:sz w:val="13"/>
          <w:szCs w:val="13"/>
          <w:color w:val="auto"/>
        </w:rPr>
        <w:t>B2B payments platform offering bill pay and instant access to working capital to its customers and will complement the Company's existing supplier-funded B2B payments business. On May 24, 2023, Plastiq filed voluntary petitions for relief under Chapter 11 of Title 11 of the United States Code in the United States Bankruptcy Court for the District of Delaware.</w:t>
      </w:r>
    </w:p>
    <w:p>
      <w:pPr>
        <w:spacing w:after="0" w:line="109" w:lineRule="exact"/>
        <w:rPr>
          <w:sz w:val="20"/>
          <w:szCs w:val="20"/>
          <w:color w:val="auto"/>
        </w:rPr>
      </w:pPr>
    </w:p>
    <w:p>
      <w:pPr>
        <w:jc w:val="both"/>
        <w:ind w:right="220"/>
        <w:spacing w:after="0" w:line="267" w:lineRule="auto"/>
        <w:rPr>
          <w:sz w:val="20"/>
          <w:szCs w:val="20"/>
          <w:color w:val="auto"/>
        </w:rPr>
      </w:pPr>
      <w:r>
        <w:rPr>
          <w:rFonts w:ascii="Arial" w:cs="Arial" w:eastAsia="Arial" w:hAnsi="Arial"/>
          <w:sz w:val="14"/>
          <w:szCs w:val="14"/>
          <w:color w:val="auto"/>
        </w:rPr>
        <w:t>The purchase was completed on July 31, 2023 for a total purchase consideration of approximately $37.3 million. The total purchase consideration included $28.5 million in cash and the remaining consideration is in the nature of deferred or contingent consideration and certain equity interest in the acquiring entity. The cash consideration for the purchase was funded by borrowings from the Company's revolving credit facility.</w:t>
      </w:r>
    </w:p>
    <w:p>
      <w:pPr>
        <w:spacing w:after="0" w:line="142"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The acquisition was accounted for as a business combination using the acquisition method of accounting, under which the acquired assets and assumed liabilities were recognized at their fair values as of July 31, 2023, with the excess of the fair value of consideration transferred over the fair value of the net assets acquired recognized as goodwill. The fair values of the acquired assets and assumed liabilities as of July 31, 2023 were estimated by management using the discounted cash flow method and other factors specific to certain assets and liabilities. The preliminary purchase price allocation is set forth in the table below and expected to be finalized as soon as practicable but no later than one year from the closing date.</w:t>
      </w:r>
    </w:p>
    <w:p>
      <w:pPr>
        <w:sectPr>
          <w:pgSz w:w="11900" w:h="16838" w:orient="portrait"/>
          <w:cols w:equalWidth="0" w:num="1">
            <w:col w:w="11280"/>
          </w:cols>
          <w:pgMar w:left="300" w:top="129" w:right="319" w:bottom="1440" w:gutter="0" w:footer="0" w:header="0"/>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Cash</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Contingent consideration payments </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114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Common equity of acquiring entity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Total purchase consideration, net of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61530" cy="1079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Recognized amounts of assets acquired and liabilities assumed: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Prepaid expenses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Equipment, net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Intangible assets</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61530" cy="114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Accounts payable and accrued expenses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Customer deposits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940" w:type="dxa"/>
            <w:vAlign w:val="bottom"/>
          </w:tcPr>
          <w:p>
            <w:pPr>
              <w:jc w:val="right"/>
              <w:ind w:right="78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28,500</w:t>
            </w:r>
          </w:p>
        </w:tc>
      </w:tr>
      <w:tr>
        <w:trPr>
          <w:trHeight w:val="180"/>
        </w:trPr>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8,419</w:t>
            </w:r>
          </w:p>
        </w:tc>
      </w:tr>
      <w:tr>
        <w:trPr>
          <w:trHeight w:val="180"/>
        </w:trPr>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181"/>
        </w:trPr>
        <w:tc>
          <w:tcPr>
            <w:tcW w:w="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r>
      <w:tr>
        <w:trPr>
          <w:trHeight w:val="171"/>
        </w:trPr>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36,931</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91"/>
        </w:trPr>
        <w:tc>
          <w:tcPr>
            <w:tcW w:w="940" w:type="dxa"/>
            <w:vAlign w:val="bottom"/>
          </w:tcPr>
          <w:p>
            <w:pPr>
              <w:jc w:val="right"/>
              <w:ind w:right="78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881</w:t>
            </w:r>
          </w:p>
        </w:tc>
      </w:tr>
      <w:tr>
        <w:trPr>
          <w:trHeight w:val="180"/>
        </w:trPr>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423</w:t>
            </w:r>
          </w:p>
        </w:tc>
      </w:tr>
      <w:tr>
        <w:trPr>
          <w:trHeight w:val="180"/>
        </w:trPr>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8,277</w:t>
            </w:r>
          </w:p>
        </w:tc>
      </w:tr>
      <w:tr>
        <w:trPr>
          <w:trHeight w:val="180"/>
        </w:trPr>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80"/>
        </w:trPr>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6,943</w:t>
            </w:r>
          </w:p>
        </w:tc>
      </w:tr>
      <w:tr>
        <w:trPr>
          <w:trHeight w:val="180"/>
        </w:trPr>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30,460</w:t>
            </w:r>
          </w:p>
        </w:tc>
      </w:tr>
      <w:tr>
        <w:trPr>
          <w:trHeight w:val="180"/>
        </w:trPr>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(1,607)</w:t>
            </w:r>
          </w:p>
        </w:tc>
      </w:tr>
      <w:tr>
        <w:trPr>
          <w:trHeight w:val="180"/>
        </w:trPr>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181"/>
        </w:trPr>
        <w:tc>
          <w:tcPr>
            <w:tcW w:w="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(8,279)</w:t>
            </w:r>
          </w:p>
        </w:tc>
      </w:tr>
      <w:tr>
        <w:trPr>
          <w:trHeight w:val="171"/>
        </w:trPr>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36,931</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240"/>
          </w:cols>
          <w:pgMar w:left="300" w:top="129" w:right="319" w:bottom="1440" w:gutter="0" w:footer="0" w:header="0"/>
          <w:type w:val="continuous"/>
        </w:sectPr>
      </w:pPr>
    </w:p>
    <w:p>
      <w:pPr>
        <w:spacing w:after="0" w:line="33" w:lineRule="exact"/>
        <w:rPr>
          <w:sz w:val="20"/>
          <w:szCs w:val="20"/>
          <w:color w:val="auto"/>
        </w:rPr>
      </w:pPr>
    </w:p>
    <w:p>
      <w:pPr>
        <w:jc w:val="both"/>
        <w:ind w:left="520" w:right="20" w:hanging="260"/>
        <w:spacing w:after="0" w:line="235" w:lineRule="auto"/>
        <w:tabs>
          <w:tab w:leader="none" w:pos="51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fair value of the contingent consideration payments issued was determined utilizing a Monte Carlo simulation. The contingent consideration payments were calculated based on the path for the simulated metrics and the contractual terms of the contingent consideration payments and were discounted to present value at a rate reflecting the risk associated with the payoffs. The fair value was estimated to be the average present value of the contingent consideration payments over all iterations of the simulation.</w:t>
      </w:r>
    </w:p>
    <w:p>
      <w:pPr>
        <w:spacing w:after="0" w:line="1" w:lineRule="exact"/>
        <w:rPr>
          <w:rFonts w:ascii="Arial" w:cs="Arial" w:eastAsia="Arial" w:hAnsi="Arial"/>
          <w:sz w:val="18"/>
          <w:szCs w:val="18"/>
          <w:color w:val="auto"/>
          <w:vertAlign w:val="superscript"/>
        </w:rPr>
      </w:pPr>
    </w:p>
    <w:p>
      <w:pPr>
        <w:ind w:left="500" w:hanging="240"/>
        <w:spacing w:after="0" w:line="208" w:lineRule="auto"/>
        <w:tabs>
          <w:tab w:leader="none" w:pos="50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The intangible assets acquired consist of $13.0 million for customer relationships, $7.0 million for referral partner relationships, $6.5 million for technology and $3.9 million for trade name.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color w:val="auto"/>
        </w:rPr>
        <w:t>This business is reported within the Company's B2B Payments reportable segment. The Company's Unaudited Consolidated Financial Statements for three and nine months ended September 30, 2023 include the operating results of Plastiq from August 1, 2023 through September 30, 2023 as noted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tcPr>
          <w:p>
            <w:pPr>
              <w:jc w:val="right"/>
              <w:ind w:right="1249"/>
              <w:spacing w:after="0"/>
              <w:rPr>
                <w:sz w:val="20"/>
                <w:szCs w:val="20"/>
                <w:color w:val="auto"/>
              </w:rPr>
            </w:pPr>
            <w:r>
              <w:rPr>
                <w:rFonts w:ascii="Arial" w:cs="Arial" w:eastAsia="Arial" w:hAnsi="Arial"/>
                <w:sz w:val="14"/>
                <w:szCs w:val="14"/>
                <w:b w:val="1"/>
                <w:bCs w:val="1"/>
                <w:color w:val="auto"/>
              </w:rPr>
              <w:t>Three Months Ended September 30, 2023</w:t>
            </w:r>
          </w:p>
        </w:tc>
      </w:tr>
      <w:tr>
        <w:trPr>
          <w:trHeight w:val="161"/>
        </w:trPr>
        <w:tc>
          <w:tcPr>
            <w:tcW w:w="6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13"/>
                <w:szCs w:val="13"/>
                <w:color w:val="auto"/>
              </w:rPr>
            </w:pPr>
          </w:p>
        </w:tc>
        <w:tc>
          <w:tcPr>
            <w:tcW w:w="4460" w:type="dxa"/>
            <w:vAlign w:val="bottom"/>
          </w:tcPr>
          <w:p>
            <w:pPr>
              <w:spacing w:after="0"/>
              <w:rPr>
                <w:sz w:val="13"/>
                <w:szCs w:val="13"/>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700" w:type="dxa"/>
            <w:vAlign w:val="bottom"/>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4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9,932</w:t>
            </w:r>
          </w:p>
        </w:tc>
      </w:tr>
      <w:tr>
        <w:trPr>
          <w:trHeight w:val="239"/>
        </w:trPr>
        <w:tc>
          <w:tcPr>
            <w:tcW w:w="6120" w:type="dxa"/>
            <w:vAlign w:val="bottom"/>
          </w:tcPr>
          <w:p>
            <w:pPr>
              <w:ind w:left="20"/>
              <w:spacing w:after="0"/>
              <w:rPr>
                <w:sz w:val="20"/>
                <w:szCs w:val="20"/>
                <w:color w:val="auto"/>
              </w:rPr>
            </w:pPr>
            <w:r>
              <w:rPr>
                <w:rFonts w:ascii="Arial" w:cs="Arial" w:eastAsia="Arial" w:hAnsi="Arial"/>
                <w:sz w:val="14"/>
                <w:szCs w:val="14"/>
                <w:color w:val="auto"/>
              </w:rPr>
              <w:t>Operating loss</w:t>
            </w:r>
            <w:r>
              <w:rPr>
                <w:rFonts w:ascii="Arial" w:cs="Arial" w:eastAsia="Arial" w:hAnsi="Arial"/>
                <w:sz w:val="18"/>
                <w:szCs w:val="18"/>
                <w:color w:val="auto"/>
                <w:vertAlign w:val="superscript"/>
              </w:rPr>
              <w:t>(1)</w:t>
            </w:r>
          </w:p>
        </w:tc>
        <w:tc>
          <w:tcPr>
            <w:tcW w:w="700" w:type="dxa"/>
            <w:vAlign w:val="bottom"/>
          </w:tcPr>
          <w:p>
            <w:pPr>
              <w:jc w:val="right"/>
              <w:ind w:right="549"/>
              <w:spacing w:after="0"/>
              <w:rPr>
                <w:sz w:val="20"/>
                <w:szCs w:val="20"/>
                <w:color w:val="auto"/>
              </w:rPr>
            </w:pPr>
            <w:r>
              <w:rPr>
                <w:rFonts w:ascii="Arial" w:cs="Arial" w:eastAsia="Arial" w:hAnsi="Arial"/>
                <w:sz w:val="14"/>
                <w:szCs w:val="14"/>
                <w:color w:val="auto"/>
                <w:w w:val="76"/>
              </w:rPr>
              <w:t>$</w:t>
            </w:r>
          </w:p>
        </w:tc>
        <w:tc>
          <w:tcPr>
            <w:tcW w:w="4460" w:type="dxa"/>
            <w:vAlign w:val="bottom"/>
          </w:tcPr>
          <w:p>
            <w:pPr>
              <w:jc w:val="right"/>
              <w:spacing w:after="0"/>
              <w:rPr>
                <w:sz w:val="20"/>
                <w:szCs w:val="20"/>
                <w:color w:val="auto"/>
              </w:rPr>
            </w:pPr>
            <w:r>
              <w:rPr>
                <w:rFonts w:ascii="Arial" w:cs="Arial" w:eastAsia="Arial" w:hAnsi="Arial"/>
                <w:sz w:val="14"/>
                <w:szCs w:val="14"/>
                <w:color w:val="auto"/>
              </w:rPr>
              <w:t>(699)</w:t>
            </w:r>
          </w:p>
        </w:tc>
      </w:tr>
    </w:tbl>
    <w:p>
      <w:pPr>
        <w:spacing w:after="0" w:line="148" w:lineRule="exact"/>
        <w:rPr>
          <w:sz w:val="20"/>
          <w:szCs w:val="20"/>
          <w:color w:val="auto"/>
        </w:rPr>
      </w:pPr>
    </w:p>
    <w:p>
      <w:pPr>
        <w:ind w:left="500" w:hanging="240"/>
        <w:spacing w:after="0"/>
        <w:tabs>
          <w:tab w:leader="none" w:pos="50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Excluding acquisition related costs of $1.3 million</w:t>
      </w:r>
    </w:p>
    <w:p>
      <w:pPr>
        <w:spacing w:after="0" w:line="160" w:lineRule="exact"/>
        <w:rPr>
          <w:sz w:val="20"/>
          <w:szCs w:val="20"/>
          <w:color w:val="auto"/>
        </w:rPr>
      </w:pPr>
    </w:p>
    <w:p>
      <w:pPr>
        <w:ind w:right="60"/>
        <w:spacing w:after="0" w:line="331" w:lineRule="auto"/>
        <w:rPr>
          <w:sz w:val="20"/>
          <w:szCs w:val="20"/>
          <w:color w:val="auto"/>
        </w:rPr>
      </w:pPr>
      <w:r>
        <w:rPr>
          <w:rFonts w:ascii="Arial" w:cs="Arial" w:eastAsia="Arial" w:hAnsi="Arial"/>
          <w:sz w:val="12"/>
          <w:szCs w:val="12"/>
          <w:color w:val="auto"/>
        </w:rPr>
        <w:t>For the three and nine months ended September 30, 2023, the Company incurred $1.3 million and $1.7 million respectively, in acquisition related costs, which primarily consisted of consulting, legal and accounting and valuation expenses. These expenses were recorded in selling, general and administrative expenses in the Company's Unaudited Consolidated Statements of Operations and Comprehensive Loss. Based on the purchase consideration and pre-acquisition operating results, this business combination did not meet the materiality requirements for pro forma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Ovvi Acquisition</w:t>
      </w:r>
    </w:p>
    <w:p>
      <w:pPr>
        <w:spacing w:after="0" w:line="183"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On November 18, 2022, the Company completed its acquisition of certain assets and assumption of a certain liability of Ovvi, LLC, under an asset purchase agreement through its wholly-owned subsidiary, Priority Ovvi, LLC ("Ovvi"). The acquisition was accounted for as a business combination using the acquisition method of accounting. Prior to this acquisition, the business operated as a SaaS proprietary platform for the restaurant, hospitality and retail industries by providing complete all-in-one point of sale software and hardware systems, comprehensive ancillary services including fraud detection and mitigation, and processing services for various types of cards including credit cards, debit cards, private label cards and prepaid cards. This business is reported within the Company's SMB Payments reportable segment. Transaction costs were not material and were expensed. The non-voting incentive shares issued to the seller will be evaluated at each reporting period to determine whether or not profit or loss should be allocated to NCI based on the subsidiary's operating agreement. The preliminary purchase price allocation is set forth in the table below and is expected to be finalized as soon as practicable, but no later than one year from the acquisition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1"/>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Consideration:</w:t>
            </w:r>
          </w:p>
        </w:tc>
        <w:tc>
          <w:tcPr>
            <w:tcW w:w="9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0"/>
        </w:trPr>
        <w:tc>
          <w:tcPr>
            <w:tcW w:w="904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Cash</w:t>
            </w:r>
            <w:r>
              <w:rPr>
                <w:rFonts w:ascii="Arial" w:cs="Arial" w:eastAsia="Arial" w:hAnsi="Arial"/>
                <w:sz w:val="18"/>
                <w:szCs w:val="18"/>
                <w:color w:val="auto"/>
                <w:vertAlign w:val="superscript"/>
              </w:rPr>
              <w:t>(1)</w:t>
            </w:r>
          </w:p>
        </w:tc>
        <w:tc>
          <w:tcPr>
            <w:tcW w:w="9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5,026</w:t>
            </w:r>
          </w:p>
        </w:tc>
      </w:tr>
      <w:tr>
        <w:trPr>
          <w:trHeight w:val="171"/>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purchase consideration</w:t>
            </w:r>
          </w:p>
        </w:tc>
        <w:tc>
          <w:tcPr>
            <w:tcW w:w="9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5,026</w:t>
            </w:r>
          </w:p>
        </w:tc>
      </w:tr>
      <w:tr>
        <w:trPr>
          <w:trHeight w:val="180"/>
        </w:trPr>
        <w:tc>
          <w:tcPr>
            <w:tcW w:w="904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Fair value of class B shares issued in Ovvi (NCI)</w:t>
            </w:r>
            <w:r>
              <w:rPr>
                <w:rFonts w:ascii="Arial" w:cs="Arial" w:eastAsia="Arial" w:hAnsi="Arial"/>
                <w:sz w:val="18"/>
                <w:szCs w:val="18"/>
                <w:color w:val="auto"/>
                <w:vertAlign w:val="superscript"/>
              </w:rPr>
              <w:t>(3)</w:t>
            </w:r>
          </w:p>
        </w:tc>
        <w:tc>
          <w:tcPr>
            <w:tcW w:w="9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w:t>
            </w:r>
          </w:p>
        </w:tc>
      </w:tr>
      <w:tr>
        <w:trPr>
          <w:trHeight w:val="196"/>
        </w:trPr>
        <w:tc>
          <w:tcPr>
            <w:tcW w:w="9040" w:type="dxa"/>
            <w:vAlign w:val="bottom"/>
            <w:tcBorders>
              <w:bottom w:val="single" w:sz="8" w:color="CCEEFF"/>
            </w:tcBorders>
            <w:shd w:val="clear" w:color="auto" w:fill="CCEEFF"/>
          </w:tcPr>
          <w:p>
            <w:pPr>
              <w:ind w:left="20"/>
              <w:spacing w:after="0" w:line="171" w:lineRule="exact"/>
              <w:rPr>
                <w:sz w:val="20"/>
                <w:szCs w:val="20"/>
                <w:color w:val="auto"/>
              </w:rPr>
            </w:pPr>
            <w:r>
              <w:rPr>
                <w:rFonts w:ascii="Arial" w:cs="Arial" w:eastAsia="Arial" w:hAnsi="Arial"/>
                <w:sz w:val="14"/>
                <w:szCs w:val="14"/>
                <w:b w:val="1"/>
                <w:bCs w:val="1"/>
                <w:color w:val="auto"/>
              </w:rPr>
              <w:t>Total enterprise value of business acquired</w:t>
            </w:r>
            <w:r>
              <w:rPr>
                <w:rFonts w:ascii="Arial" w:cs="Arial" w:eastAsia="Arial" w:hAnsi="Arial"/>
                <w:sz w:val="18"/>
                <w:szCs w:val="18"/>
                <w:color w:val="auto"/>
                <w:vertAlign w:val="superscript"/>
              </w:rPr>
              <w:t>(3)</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5,685</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ectPr>
          <w:pgSz w:w="11900" w:h="16838" w:orient="portrait"/>
          <w:cols w:equalWidth="0" w:num="1">
            <w:col w:w="11280"/>
          </w:cols>
          <w:pgMar w:left="300" w:top="129" w:right="319" w:bottom="1440" w:gutter="0" w:footer="0" w:header="0"/>
        </w:sectPr>
      </w:pPr>
    </w:p>
    <w:p>
      <w:pPr>
        <w:ind w:left="20"/>
        <w:spacing w:after="0"/>
        <w:rPr>
          <w:sz w:val="20"/>
          <w:szCs w:val="20"/>
          <w:color w:val="auto"/>
        </w:rPr>
      </w:pPr>
      <w:r>
        <w:rPr>
          <w:rFonts w:ascii="Arial" w:cs="Arial" w:eastAsia="Arial" w:hAnsi="Arial"/>
          <w:sz w:val="12"/>
          <w:szCs w:val="12"/>
          <w:b w:val="1"/>
          <w:bCs w:val="1"/>
          <w:color w:val="auto"/>
        </w:rPr>
        <w:t>Recognized amounts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161530" cy="114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Accounts receivable</w:t>
      </w:r>
      <w:r>
        <w:rPr>
          <w:rFonts w:ascii="Arial" w:cs="Arial" w:eastAsia="Arial" w:hAnsi="Arial"/>
          <w:sz w:val="18"/>
          <w:szCs w:val="1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61530" cy="114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line="219" w:lineRule="auto"/>
        <w:rPr>
          <w:sz w:val="20"/>
          <w:szCs w:val="20"/>
          <w:color w:val="auto"/>
        </w:rPr>
      </w:pPr>
      <w:r>
        <w:rPr>
          <w:rFonts w:ascii="Arial" w:cs="Arial" w:eastAsia="Arial" w:hAnsi="Arial"/>
          <w:sz w:val="14"/>
          <w:szCs w:val="14"/>
          <w:color w:val="auto"/>
        </w:rPr>
        <w:t>Inventory</w:t>
      </w:r>
      <w:r>
        <w:rPr>
          <w:rFonts w:ascii="Arial" w:cs="Arial" w:eastAsia="Arial" w:hAnsi="Arial"/>
          <w:sz w:val="18"/>
          <w:szCs w:val="18"/>
          <w:color w:val="auto"/>
          <w:vertAlign w:val="superscript"/>
        </w:rPr>
        <w:t>(4)</w:t>
      </w:r>
    </w:p>
    <w:p>
      <w:pPr>
        <w:ind w:left="20"/>
        <w:spacing w:after="0"/>
        <w:rPr>
          <w:sz w:val="20"/>
          <w:szCs w:val="20"/>
          <w:color w:val="auto"/>
        </w:rPr>
      </w:pPr>
      <w:r>
        <w:rPr>
          <w:rFonts w:ascii="Arial" w:cs="Arial" w:eastAsia="Arial" w:hAnsi="Arial"/>
          <w:sz w:val="14"/>
          <w:szCs w:val="14"/>
          <w:color w:val="auto"/>
        </w:rPr>
        <w:t>Property, equipment and software, net</w:t>
      </w:r>
    </w:p>
    <w:p>
      <w:pPr>
        <w:ind w:left="20"/>
        <w:spacing w:after="0" w:line="221" w:lineRule="auto"/>
        <w:rPr>
          <w:sz w:val="20"/>
          <w:szCs w:val="20"/>
          <w:color w:val="auto"/>
        </w:rPr>
      </w:pPr>
      <w:r>
        <w:rPr>
          <w:rFonts w:ascii="Arial" w:cs="Arial" w:eastAsia="Arial" w:hAnsi="Arial"/>
          <w:sz w:val="14"/>
          <w:szCs w:val="14"/>
          <w:color w:val="auto"/>
        </w:rPr>
        <w:t>Goodwill</w:t>
      </w:r>
      <w:r>
        <w:rPr>
          <w:rFonts w:ascii="Arial" w:cs="Arial" w:eastAsia="Arial" w:hAnsi="Arial"/>
          <w:sz w:val="18"/>
          <w:szCs w:val="18"/>
          <w:color w:val="auto"/>
          <w:vertAlign w:val="superscript"/>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61530" cy="114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line="219" w:lineRule="auto"/>
        <w:rPr>
          <w:sz w:val="20"/>
          <w:szCs w:val="20"/>
          <w:color w:val="auto"/>
        </w:rPr>
      </w:pPr>
      <w:r>
        <w:rPr>
          <w:rFonts w:ascii="Arial" w:cs="Arial" w:eastAsia="Arial" w:hAnsi="Arial"/>
          <w:sz w:val="14"/>
          <w:szCs w:val="14"/>
          <w:color w:val="auto"/>
        </w:rPr>
        <w:t>Intangible assets</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14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Other non-current asset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non-current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34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enterprise value of business acquired</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960" w:type="dxa"/>
            <w:vAlign w:val="bottom"/>
          </w:tcPr>
          <w:p>
            <w:pPr>
              <w:jc w:val="right"/>
              <w:ind w:right="80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0"/>
        </w:trPr>
        <w:tc>
          <w:tcPr>
            <w:tcW w:w="9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80"/>
        </w:trPr>
        <w:tc>
          <w:tcPr>
            <w:tcW w:w="9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0"/>
        </w:trPr>
        <w:tc>
          <w:tcPr>
            <w:tcW w:w="9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3,504</w:t>
            </w:r>
          </w:p>
        </w:tc>
      </w:tr>
      <w:tr>
        <w:trPr>
          <w:trHeight w:val="180"/>
        </w:trPr>
        <w:tc>
          <w:tcPr>
            <w:tcW w:w="9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2,021</w:t>
            </w:r>
          </w:p>
        </w:tc>
      </w:tr>
      <w:tr>
        <w:trPr>
          <w:trHeight w:val="180"/>
        </w:trPr>
        <w:tc>
          <w:tcPr>
            <w:tcW w:w="9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181"/>
        </w:trPr>
        <w:tc>
          <w:tcPr>
            <w:tcW w:w="9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r>
      <w:tr>
        <w:trPr>
          <w:trHeight w:val="171"/>
        </w:trPr>
        <w:tc>
          <w:tcPr>
            <w:tcW w:w="9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5,685</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240"/>
          </w:cols>
          <w:pgMar w:left="300" w:top="129" w:right="319" w:bottom="1440" w:gutter="0" w:footer="0" w:header="0"/>
          <w:type w:val="continuous"/>
        </w:sectPr>
      </w:pPr>
    </w:p>
    <w:p>
      <w:pPr>
        <w:spacing w:after="0" w:line="22" w:lineRule="exact"/>
        <w:rPr>
          <w:sz w:val="20"/>
          <w:szCs w:val="20"/>
          <w:color w:val="auto"/>
        </w:rPr>
      </w:pPr>
    </w:p>
    <w:p>
      <w:pPr>
        <w:ind w:left="500" w:hanging="240"/>
        <w:spacing w:after="0"/>
        <w:tabs>
          <w:tab w:leader="none" w:pos="500" w:val="left"/>
        </w:tabs>
        <w:numPr>
          <w:ilvl w:val="0"/>
          <w:numId w:val="7"/>
        </w:numPr>
        <w:rPr>
          <w:rFonts w:ascii="Arial" w:cs="Arial" w:eastAsia="Arial" w:hAnsi="Arial"/>
          <w:sz w:val="15"/>
          <w:szCs w:val="15"/>
          <w:color w:val="auto"/>
          <w:vertAlign w:val="superscript"/>
        </w:rPr>
      </w:pPr>
      <w:r>
        <w:rPr>
          <w:rFonts w:ascii="Arial" w:cs="Arial" w:eastAsia="Arial" w:hAnsi="Arial"/>
          <w:sz w:val="12"/>
          <w:szCs w:val="12"/>
          <w:color w:val="auto"/>
        </w:rPr>
        <w:t>Includes $50,000 withheld for inventory acquired which was subsequently released in March 2023.</w:t>
      </w:r>
    </w:p>
    <w:p>
      <w:pPr>
        <w:spacing w:after="0" w:line="200" w:lineRule="exact"/>
        <w:rPr>
          <w:rFonts w:ascii="Arial" w:cs="Arial" w:eastAsia="Arial" w:hAnsi="Arial"/>
          <w:sz w:val="15"/>
          <w:szCs w:val="15"/>
          <w:color w:val="auto"/>
          <w:vertAlign w:val="superscript"/>
        </w:rPr>
      </w:pPr>
    </w:p>
    <w:p>
      <w:pPr>
        <w:spacing w:after="0" w:line="200" w:lineRule="exact"/>
        <w:rPr>
          <w:rFonts w:ascii="Arial" w:cs="Arial" w:eastAsia="Arial" w:hAnsi="Arial"/>
          <w:sz w:val="15"/>
          <w:szCs w:val="15"/>
          <w:color w:val="auto"/>
          <w:vertAlign w:val="superscript"/>
        </w:rPr>
      </w:pPr>
    </w:p>
    <w:p>
      <w:pPr>
        <w:spacing w:after="0" w:line="318" w:lineRule="exact"/>
        <w:rPr>
          <w:rFonts w:ascii="Arial" w:cs="Arial" w:eastAsia="Arial" w:hAnsi="Arial"/>
          <w:sz w:val="15"/>
          <w:szCs w:val="15"/>
          <w:color w:val="auto"/>
          <w:vertAlign w:val="superscript"/>
        </w:rPr>
      </w:pPr>
    </w:p>
    <w:p>
      <w:pPr>
        <w:ind w:left="5580"/>
        <w:spacing w:after="0"/>
        <w:rPr>
          <w:rFonts w:ascii="Arial" w:cs="Arial" w:eastAsia="Arial" w:hAnsi="Arial"/>
          <w:sz w:val="15"/>
          <w:szCs w:val="15"/>
          <w:color w:val="auto"/>
          <w:vertAlign w:val="superscript"/>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0" w:hanging="240"/>
        <w:spacing w:after="0"/>
        <w:tabs>
          <w:tab w:leader="none" w:pos="50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intangible assets consist of $1.3 million for technology, $0.4 million for customer relationships and $0.3 million for trade names.</w:t>
      </w:r>
    </w:p>
    <w:p>
      <w:pPr>
        <w:spacing w:after="0" w:line="1" w:lineRule="exact"/>
        <w:rPr>
          <w:rFonts w:ascii="Arial" w:cs="Arial" w:eastAsia="Arial" w:hAnsi="Arial"/>
          <w:sz w:val="18"/>
          <w:szCs w:val="18"/>
          <w:color w:val="auto"/>
          <w:vertAlign w:val="superscript"/>
        </w:rPr>
      </w:pPr>
    </w:p>
    <w:p>
      <w:pPr>
        <w:ind w:left="520" w:right="40" w:hanging="260"/>
        <w:spacing w:after="0" w:line="220" w:lineRule="auto"/>
        <w:tabs>
          <w:tab w:leader="none" w:pos="51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During the three months ended March 31, 2023, the Company recorded measurement period adjustments due to additional information received related to the valuation of the Class B shares. This measurement period adjustment resulted in a decrease of $0.6 million in goodwill and NCI.</w:t>
      </w:r>
    </w:p>
    <w:p>
      <w:pPr>
        <w:ind w:left="520" w:right="440" w:hanging="260"/>
        <w:spacing w:after="0" w:line="236" w:lineRule="auto"/>
        <w:tabs>
          <w:tab w:leader="none" w:pos="51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During the three months ended September 30, 2023, the Company recorded measurement period adjustments due to additional information received related to accounts receivable and inventory. This measurement period adjustment resulted in a decrease of $0.1 million in accounts receivable and inventory, offset by an increase in goodwill of $0.1 million.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Acquisition</w:t>
      </w:r>
    </w:p>
    <w:p>
      <w:pPr>
        <w:spacing w:after="0" w:line="179"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color w:val="auto"/>
        </w:rPr>
        <w:t>The Company also completed another acquisition during 2022 for approximately $1.2 million, which was not material. The acquisition did not meet the definition of a business, therefore it was accounted for as an asset acquisition under which the cost of acquisition was allocated to the technology asset acquired.</w:t>
      </w:r>
    </w:p>
    <w:p>
      <w:pPr>
        <w:spacing w:after="0" w:line="200" w:lineRule="exact"/>
        <w:rPr>
          <w:sz w:val="20"/>
          <w:szCs w:val="20"/>
          <w:color w:val="auto"/>
        </w:rPr>
      </w:pPr>
    </w:p>
    <w:p>
      <w:pPr>
        <w:spacing w:after="0" w:line="289"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1"/>
          <w:szCs w:val="11"/>
          <w:b w:val="1"/>
          <w:bCs w:val="1"/>
          <w:color w:val="auto"/>
        </w:rPr>
        <w:t>Revenues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Disaggregation of Revenues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disaggregation of our consolidated revenues by type: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49"/>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2022</w:t>
            </w:r>
          </w:p>
        </w:tc>
      </w:tr>
      <w:tr>
        <w:trPr>
          <w:trHeight w:val="160"/>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 Type:</w:t>
            </w: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80"/>
        </w:trPr>
        <w:tc>
          <w:tcPr>
            <w:tcW w:w="4460" w:type="dxa"/>
            <w:vAlign w:val="bottom"/>
          </w:tcPr>
          <w:p>
            <w:pPr>
              <w:ind w:left="180"/>
              <w:spacing w:after="0"/>
              <w:rPr>
                <w:sz w:val="20"/>
                <w:szCs w:val="20"/>
                <w:color w:val="auto"/>
              </w:rPr>
            </w:pPr>
            <w:r>
              <w:rPr>
                <w:rFonts w:ascii="Arial" w:cs="Arial" w:eastAsia="Arial" w:hAnsi="Arial"/>
                <w:sz w:val="14"/>
                <w:szCs w:val="14"/>
                <w:color w:val="auto"/>
              </w:rPr>
              <w:t>Merchant card fees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146,974</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137,659</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441,142</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405,404</w:t>
            </w:r>
          </w:p>
        </w:tc>
      </w:tr>
      <w:tr>
        <w:trPr>
          <w:trHeight w:val="181"/>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Money transmission services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25,831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70,955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51,757</w:t>
            </w:r>
          </w:p>
        </w:tc>
      </w:tr>
      <w:tr>
        <w:trPr>
          <w:trHeight w:val="180"/>
        </w:trPr>
        <w:tc>
          <w:tcPr>
            <w:tcW w:w="4460" w:type="dxa"/>
            <w:vAlign w:val="bottom"/>
          </w:tcPr>
          <w:p>
            <w:pPr>
              <w:ind w:left="180"/>
              <w:spacing w:after="0"/>
              <w:rPr>
                <w:sz w:val="20"/>
                <w:szCs w:val="20"/>
                <w:color w:val="auto"/>
              </w:rPr>
            </w:pPr>
            <w:r>
              <w:rPr>
                <w:rFonts w:ascii="Arial" w:cs="Arial" w:eastAsia="Arial" w:hAnsi="Arial"/>
                <w:sz w:val="14"/>
                <w:szCs w:val="14"/>
                <w:color w:val="auto"/>
              </w:rPr>
              <w:t>Outsourced services and other services</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13,181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7,933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34,768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21,917</w:t>
            </w:r>
          </w:p>
        </w:tc>
      </w:tr>
      <w:tr>
        <w:trPr>
          <w:trHeight w:val="18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w:t>
            </w: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9,468</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7,008</w:t>
            </w:r>
          </w:p>
        </w:tc>
      </w:tr>
      <w:tr>
        <w:trPr>
          <w:trHeight w:val="171"/>
        </w:trPr>
        <w:tc>
          <w:tcPr>
            <w:tcW w:w="4460" w:type="dxa"/>
            <w:vAlign w:val="bottom"/>
          </w:tcPr>
          <w:p>
            <w:pPr>
              <w:ind w:left="20"/>
              <w:spacing w:after="0" w:line="171" w:lineRule="exact"/>
              <w:rPr>
                <w:sz w:val="20"/>
                <w:szCs w:val="20"/>
                <w:color w:val="auto"/>
              </w:rPr>
            </w:pPr>
            <w:r>
              <w:rPr>
                <w:rFonts w:ascii="Arial" w:cs="Arial" w:eastAsia="Arial" w:hAnsi="Arial"/>
                <w:sz w:val="14"/>
                <w:szCs w:val="14"/>
                <w:b w:val="1"/>
                <w:bCs w:val="1"/>
                <w:color w:val="auto"/>
              </w:rPr>
              <w:t>Total revenues</w:t>
            </w:r>
            <w:r>
              <w:rPr>
                <w:rFonts w:ascii="Arial" w:cs="Arial" w:eastAsia="Arial" w:hAnsi="Arial"/>
                <w:sz w:val="18"/>
                <w:szCs w:val="18"/>
                <w:color w:val="auto"/>
                <w:vertAlign w:val="superscript"/>
              </w:rPr>
              <w:t>(1),(2)</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189,015</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166,417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556,333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486,086</w:t>
            </w:r>
          </w:p>
        </w:tc>
      </w:tr>
      <w:tr>
        <w:trPr>
          <w:trHeight w:val="20"/>
        </w:trPr>
        <w:tc>
          <w:tcPr>
            <w:tcW w:w="4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520" w:right="120" w:hanging="260"/>
        <w:spacing w:after="0" w:line="228" w:lineRule="auto"/>
        <w:tabs>
          <w:tab w:leader="none" w:pos="51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ind w:left="520" w:right="80" w:hanging="260"/>
        <w:spacing w:after="0" w:line="257" w:lineRule="auto"/>
        <w:tabs>
          <w:tab w:leader="none" w:pos="51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Approximately $9.7 million and $21.9 million of interest income for the three and nine months ended September 30, 2023 and $2.0 million and $3.4 million for the three and nine months ended September 30, 2022, respectively, is included in outsourced services and other services revenue in the table above. Approximately $0.5 million and $1.1 million of interest income for the three and nine months ended September 30, 2023, and $0.2 million and $0.4 million three and nine months ended September 30, 2022, respectively, is included in other income, net on the Company's Unaudited Consolidated Statements of Operations and Comprehensive Loss and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disaggregation of our consolidated revenues by segment: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10"/>
          </w:tcPr>
          <w:p>
            <w:pPr>
              <w:jc w:val="right"/>
              <w:ind w:right="49"/>
              <w:spacing w:after="0"/>
              <w:rPr>
                <w:sz w:val="20"/>
                <w:szCs w:val="20"/>
                <w:color w:val="auto"/>
              </w:rPr>
            </w:pPr>
            <w:r>
              <w:rPr>
                <w:rFonts w:ascii="Arial" w:cs="Arial" w:eastAsia="Arial" w:hAnsi="Arial"/>
                <w:sz w:val="14"/>
                <w:szCs w:val="14"/>
                <w:b w:val="1"/>
                <w:bCs w:val="1"/>
                <w:color w:val="auto"/>
              </w:rPr>
              <w:t>Three Months Ended September 30, 2023</w:t>
            </w: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29"/>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Money Transmission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Outsourced and Other</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91"/>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Merchant Card Fees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Equipment</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Total</w:t>
            </w:r>
          </w:p>
        </w:tc>
      </w:tr>
      <w:tr>
        <w:trPr>
          <w:trHeight w:val="161"/>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80"/>
        </w:trPr>
        <w:tc>
          <w:tcPr>
            <w:tcW w:w="2160" w:type="dxa"/>
            <w:vAlign w:val="bottom"/>
          </w:tcPr>
          <w:p>
            <w:pPr>
              <w:ind w:left="180"/>
              <w:spacing w:after="0"/>
              <w:rPr>
                <w:sz w:val="20"/>
                <w:szCs w:val="20"/>
                <w:color w:val="auto"/>
              </w:rPr>
            </w:pPr>
            <w:r>
              <w:rPr>
                <w:rFonts w:ascii="Arial" w:cs="Arial" w:eastAsia="Arial" w:hAnsi="Arial"/>
                <w:sz w:val="14"/>
                <w:szCs w:val="14"/>
                <w:color w:val="auto"/>
              </w:rPr>
              <w:t>SMB Payments</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136,086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4"/>
                <w:szCs w:val="14"/>
                <w:color w:val="auto"/>
              </w:rPr>
              <w:t>994</w:t>
            </w:r>
          </w:p>
        </w:tc>
        <w:tc>
          <w:tcPr>
            <w:tcW w:w="20" w:type="dxa"/>
            <w:vAlign w:val="bottom"/>
          </w:tcPr>
          <w:p>
            <w:pPr>
              <w:spacing w:after="0"/>
              <w:rPr>
                <w:sz w:val="15"/>
                <w:szCs w:val="15"/>
                <w:color w:val="auto"/>
              </w:rPr>
            </w:pPr>
          </w:p>
        </w:tc>
        <w:tc>
          <w:tcPr>
            <w:tcW w:w="42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3,029</w:t>
            </w:r>
          </w:p>
        </w:tc>
        <w:tc>
          <w:tcPr>
            <w:tcW w:w="480" w:type="dxa"/>
            <w:vAlign w:val="bottom"/>
            <w:gridSpan w:val="3"/>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140,109</w:t>
            </w:r>
          </w:p>
        </w:tc>
      </w:tr>
      <w:tr>
        <w:trPr>
          <w:trHeight w:val="181"/>
        </w:trPr>
        <w:tc>
          <w:tcPr>
            <w:tcW w:w="2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B2B Payments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10,837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2,911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13,748</w:t>
            </w:r>
          </w:p>
        </w:tc>
      </w:tr>
      <w:tr>
        <w:trPr>
          <w:trHeight w:val="180"/>
        </w:trPr>
        <w:tc>
          <w:tcPr>
            <w:tcW w:w="2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Enterprise Payments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25,831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9,276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35,158</w:t>
            </w:r>
          </w:p>
        </w:tc>
      </w:tr>
      <w:tr>
        <w:trPr>
          <w:trHeight w:val="19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146,974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25,831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13,181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3,029</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189,015</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08"/>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0"/>
          </w:tcPr>
          <w:p>
            <w:pPr>
              <w:jc w:val="right"/>
              <w:ind w:right="89"/>
              <w:spacing w:after="0"/>
              <w:rPr>
                <w:sz w:val="20"/>
                <w:szCs w:val="20"/>
                <w:color w:val="auto"/>
              </w:rPr>
            </w:pPr>
            <w:r>
              <w:rPr>
                <w:rFonts w:ascii="Arial" w:cs="Arial" w:eastAsia="Arial" w:hAnsi="Arial"/>
                <w:sz w:val="14"/>
                <w:szCs w:val="14"/>
                <w:b w:val="1"/>
                <w:bCs w:val="1"/>
                <w:color w:val="auto"/>
              </w:rPr>
              <w:t>Nine months ended September 30, 2023</w:t>
            </w: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29"/>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Money Transmission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Outsourced and Other</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91"/>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Merchant Card Fees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Equipment</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Total</w:t>
            </w:r>
          </w:p>
        </w:tc>
      </w:tr>
      <w:tr>
        <w:trPr>
          <w:trHeight w:val="161"/>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80"/>
        </w:trPr>
        <w:tc>
          <w:tcPr>
            <w:tcW w:w="2160" w:type="dxa"/>
            <w:vAlign w:val="bottom"/>
          </w:tcPr>
          <w:p>
            <w:pPr>
              <w:ind w:left="180"/>
              <w:spacing w:after="0"/>
              <w:rPr>
                <w:sz w:val="20"/>
                <w:szCs w:val="20"/>
                <w:color w:val="auto"/>
              </w:rPr>
            </w:pPr>
            <w:r>
              <w:rPr>
                <w:rFonts w:ascii="Arial" w:cs="Arial" w:eastAsia="Arial" w:hAnsi="Arial"/>
                <w:sz w:val="14"/>
                <w:szCs w:val="14"/>
                <w:color w:val="auto"/>
              </w:rPr>
              <w:t>SMB Payments</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428,318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4"/>
                <w:szCs w:val="14"/>
                <w:color w:val="auto"/>
              </w:rPr>
              <w:t>5,151</w:t>
            </w:r>
          </w:p>
        </w:tc>
        <w:tc>
          <w:tcPr>
            <w:tcW w:w="20" w:type="dxa"/>
            <w:vAlign w:val="bottom"/>
          </w:tcPr>
          <w:p>
            <w:pPr>
              <w:spacing w:after="0"/>
              <w:rPr>
                <w:sz w:val="15"/>
                <w:szCs w:val="15"/>
                <w:color w:val="auto"/>
              </w:rPr>
            </w:pPr>
          </w:p>
        </w:tc>
        <w:tc>
          <w:tcPr>
            <w:tcW w:w="42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9,468</w:t>
            </w:r>
          </w:p>
        </w:tc>
        <w:tc>
          <w:tcPr>
            <w:tcW w:w="480" w:type="dxa"/>
            <w:vAlign w:val="bottom"/>
            <w:gridSpan w:val="3"/>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442,937</w:t>
            </w:r>
          </w:p>
        </w:tc>
      </w:tr>
      <w:tr>
        <w:trPr>
          <w:trHeight w:val="181"/>
        </w:trPr>
        <w:tc>
          <w:tcPr>
            <w:tcW w:w="2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B2B Payments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12,718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6,787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19,505</w:t>
            </w:r>
          </w:p>
        </w:tc>
      </w:tr>
      <w:tr>
        <w:trPr>
          <w:trHeight w:val="180"/>
        </w:trPr>
        <w:tc>
          <w:tcPr>
            <w:tcW w:w="2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Enterprise Payments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70,955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22,830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93,891</w:t>
            </w:r>
          </w:p>
        </w:tc>
      </w:tr>
      <w:tr>
        <w:trPr>
          <w:trHeight w:val="19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441,142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70,955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34,768</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9,468</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556,333</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2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0"/>
          </w:tcPr>
          <w:p>
            <w:pPr>
              <w:jc w:val="center"/>
              <w:ind w:left="1029"/>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35"/>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Money Transmission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Outsourced and Other</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84"/>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Merchant Card Fees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Services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Equipment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649"/>
              <w:spacing w:after="0"/>
              <w:rPr>
                <w:sz w:val="20"/>
                <w:szCs w:val="20"/>
                <w:color w:val="auto"/>
              </w:rPr>
            </w:pPr>
            <w:r>
              <w:rPr>
                <w:rFonts w:ascii="Arial" w:cs="Arial" w:eastAsia="Arial" w:hAnsi="Arial"/>
                <w:sz w:val="14"/>
                <w:szCs w:val="14"/>
                <w:b w:val="1"/>
                <w:bCs w:val="1"/>
                <w:color w:val="auto"/>
              </w:rPr>
              <w:t>Total</w:t>
            </w:r>
          </w:p>
        </w:tc>
      </w:tr>
      <w:tr>
        <w:trPr>
          <w:trHeight w:val="161"/>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r>
      <w:tr>
        <w:trPr>
          <w:trHeight w:val="180"/>
        </w:trPr>
        <w:tc>
          <w:tcPr>
            <w:tcW w:w="2160" w:type="dxa"/>
            <w:vAlign w:val="bottom"/>
          </w:tcPr>
          <w:p>
            <w:pPr>
              <w:ind w:left="180"/>
              <w:spacing w:after="0"/>
              <w:rPr>
                <w:sz w:val="20"/>
                <w:szCs w:val="20"/>
                <w:color w:val="auto"/>
              </w:rPr>
            </w:pPr>
            <w:r>
              <w:rPr>
                <w:rFonts w:ascii="Arial" w:cs="Arial" w:eastAsia="Arial" w:hAnsi="Arial"/>
                <w:sz w:val="14"/>
                <w:szCs w:val="14"/>
                <w:color w:val="auto"/>
              </w:rPr>
              <w:t>SMB Payments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136,340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1,018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2,534</w:t>
            </w:r>
          </w:p>
        </w:tc>
        <w:tc>
          <w:tcPr>
            <w:tcW w:w="8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139,892</w:t>
            </w:r>
          </w:p>
        </w:tc>
      </w:tr>
      <w:tr>
        <w:trPr>
          <w:trHeight w:val="181"/>
        </w:trPr>
        <w:tc>
          <w:tcPr>
            <w:tcW w:w="2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B2B Payments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4,868</w:t>
            </w:r>
          </w:p>
        </w:tc>
      </w:tr>
      <w:tr>
        <w:trPr>
          <w:trHeight w:val="180"/>
        </w:trPr>
        <w:tc>
          <w:tcPr>
            <w:tcW w:w="2160" w:type="dxa"/>
            <w:vAlign w:val="bottom"/>
          </w:tcPr>
          <w:p>
            <w:pPr>
              <w:ind w:left="180"/>
              <w:spacing w:after="0"/>
              <w:rPr>
                <w:sz w:val="20"/>
                <w:szCs w:val="20"/>
                <w:color w:val="auto"/>
              </w:rPr>
            </w:pPr>
            <w:r>
              <w:rPr>
                <w:rFonts w:ascii="Arial" w:cs="Arial" w:eastAsia="Arial" w:hAnsi="Arial"/>
                <w:sz w:val="14"/>
                <w:szCs w:val="14"/>
                <w:color w:val="auto"/>
              </w:rPr>
              <w:t>Enterprise Payments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18,291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3,366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21,657</w:t>
            </w:r>
          </w:p>
        </w:tc>
      </w:tr>
      <w:tr>
        <w:trPr>
          <w:trHeight w:val="196"/>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137,659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166,417</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gridSpan w:val="3"/>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08"/>
        </w:trPr>
        <w:tc>
          <w:tcPr>
            <w:tcW w:w="2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0"/>
          </w:tcPr>
          <w:p>
            <w:pPr>
              <w:jc w:val="center"/>
              <w:ind w:left="1029"/>
              <w:spacing w:after="0"/>
              <w:rPr>
                <w:sz w:val="20"/>
                <w:szCs w:val="20"/>
                <w:color w:val="auto"/>
              </w:rPr>
            </w:pPr>
            <w:r>
              <w:rPr>
                <w:rFonts w:ascii="Arial" w:cs="Arial" w:eastAsia="Arial" w:hAnsi="Arial"/>
                <w:sz w:val="14"/>
                <w:szCs w:val="14"/>
                <w:b w:val="1"/>
                <w:bCs w:val="1"/>
                <w:color w:val="auto"/>
                <w:w w:val="91"/>
              </w:rPr>
              <w:t>Nine Months Ended September 30, 2022</w:t>
            </w: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29"/>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Money Transmission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1"/>
              </w:rPr>
              <w:t>Outsourced and Other</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91"/>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Merchant Card Fees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Services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Equipment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649"/>
              <w:spacing w:after="0"/>
              <w:rPr>
                <w:sz w:val="20"/>
                <w:szCs w:val="20"/>
                <w:color w:val="auto"/>
              </w:rPr>
            </w:pPr>
            <w:r>
              <w:rPr>
                <w:rFonts w:ascii="Arial" w:cs="Arial" w:eastAsia="Arial" w:hAnsi="Arial"/>
                <w:sz w:val="14"/>
                <w:szCs w:val="14"/>
                <w:b w:val="1"/>
                <w:bCs w:val="1"/>
                <w:color w:val="auto"/>
              </w:rPr>
              <w:t>Total</w:t>
            </w:r>
          </w:p>
        </w:tc>
      </w:tr>
      <w:tr>
        <w:trPr>
          <w:trHeight w:val="161"/>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r>
      <w:tr>
        <w:trPr>
          <w:trHeight w:val="180"/>
        </w:trPr>
        <w:tc>
          <w:tcPr>
            <w:tcW w:w="2160" w:type="dxa"/>
            <w:vAlign w:val="bottom"/>
          </w:tcPr>
          <w:p>
            <w:pPr>
              <w:ind w:left="180"/>
              <w:spacing w:after="0"/>
              <w:rPr>
                <w:sz w:val="20"/>
                <w:szCs w:val="20"/>
                <w:color w:val="auto"/>
              </w:rPr>
            </w:pPr>
            <w:r>
              <w:rPr>
                <w:rFonts w:ascii="Arial" w:cs="Arial" w:eastAsia="Arial" w:hAnsi="Arial"/>
                <w:sz w:val="14"/>
                <w:szCs w:val="14"/>
                <w:color w:val="auto"/>
              </w:rPr>
              <w:t>SMB Payments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402,890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2,459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7,008</w:t>
            </w:r>
          </w:p>
        </w:tc>
        <w:tc>
          <w:tcPr>
            <w:tcW w:w="8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412,357</w:t>
            </w:r>
          </w:p>
        </w:tc>
      </w:tr>
      <w:tr>
        <w:trPr>
          <w:trHeight w:val="181"/>
        </w:trPr>
        <w:tc>
          <w:tcPr>
            <w:tcW w:w="2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B2B Payments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16,088</w:t>
            </w:r>
          </w:p>
        </w:tc>
      </w:tr>
      <w:tr>
        <w:trPr>
          <w:trHeight w:val="180"/>
        </w:trPr>
        <w:tc>
          <w:tcPr>
            <w:tcW w:w="2160" w:type="dxa"/>
            <w:vAlign w:val="bottom"/>
          </w:tcPr>
          <w:p>
            <w:pPr>
              <w:ind w:left="180"/>
              <w:spacing w:after="0"/>
              <w:rPr>
                <w:sz w:val="20"/>
                <w:szCs w:val="20"/>
                <w:color w:val="auto"/>
              </w:rPr>
            </w:pPr>
            <w:r>
              <w:rPr>
                <w:rFonts w:ascii="Arial" w:cs="Arial" w:eastAsia="Arial" w:hAnsi="Arial"/>
                <w:sz w:val="14"/>
                <w:szCs w:val="14"/>
                <w:color w:val="auto"/>
              </w:rPr>
              <w:t>Enterprise Payments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51,757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5,884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57,641</w:t>
            </w:r>
          </w:p>
        </w:tc>
      </w:tr>
      <w:tr>
        <w:trPr>
          <w:trHeight w:val="196"/>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405,404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51,757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486,086</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Deferred revenues were not material for the three and nine months ended September 30, 2023 and 2022.</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Assets and Contract Liabilities</w:t>
      </w:r>
    </w:p>
    <w:p>
      <w:pPr>
        <w:spacing w:after="0" w:line="179" w:lineRule="exact"/>
        <w:rPr>
          <w:sz w:val="20"/>
          <w:szCs w:val="20"/>
          <w:color w:val="auto"/>
        </w:rPr>
      </w:pPr>
    </w:p>
    <w:p>
      <w:pPr>
        <w:jc w:val="both"/>
        <w:ind w:right="40"/>
        <w:spacing w:after="0" w:line="281" w:lineRule="auto"/>
        <w:rPr>
          <w:sz w:val="20"/>
          <w:szCs w:val="20"/>
          <w:color w:val="auto"/>
        </w:rPr>
      </w:pPr>
      <w:r>
        <w:rPr>
          <w:rFonts w:ascii="Arial" w:cs="Arial" w:eastAsia="Arial" w:hAnsi="Arial"/>
          <w:sz w:val="14"/>
          <w:szCs w:val="14"/>
          <w:color w:val="auto"/>
        </w:rPr>
        <w:t>Material contract assets and liabilities are presented net at the individual contract level in the Unaudited Consolidated Balance Sheets and are classified as current or noncurrent based on the nature of the underlying contractual rights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Contract liabilities were $0.4 million and $0.2 million as of September 30, 2023 and December 31, 2022, respectively. Substantially all of these balances are recognized as revenue within 12 months.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Net contract assets were not material for any period presented.</w:t>
      </w:r>
    </w:p>
    <w:p>
      <w:pPr>
        <w:spacing w:after="0" w:line="179"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Impairment losses recognized on receivables or contract assets arising from the Company's contracts with customers were not material for the three and nine months ended September 30, 2023 and September 30, 2022.</w:t>
      </w:r>
    </w:p>
    <w:p>
      <w:pPr>
        <w:spacing w:after="0" w:line="200" w:lineRule="exact"/>
        <w:rPr>
          <w:sz w:val="20"/>
          <w:szCs w:val="20"/>
          <w:color w:val="auto"/>
        </w:rPr>
      </w:pPr>
    </w:p>
    <w:p>
      <w:pPr>
        <w:spacing w:after="0" w:line="289"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2"/>
          <w:szCs w:val="12"/>
          <w:b w:val="1"/>
          <w:bCs w:val="1"/>
          <w:color w:val="auto"/>
        </w:rPr>
        <w:t>Settlement Assets and Customer/Subscriber Account Balances and Related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SMB Payments Segment</w:t>
      </w:r>
    </w:p>
    <w:p>
      <w:pPr>
        <w:spacing w:after="0" w:line="179"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are not liabilities of the Company. Therefore, neither is recognized in the Company's Unaudited Consolidated Balance Sheets. Member banks held merchant funds of $102.9 million and $110.3 million at September 30, 2023 and December 31, 2022, respectively.</w:t>
      </w:r>
    </w:p>
    <w:p>
      <w:pPr>
        <w:spacing w:after="0" w:line="13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Exception items that become the liability of the Company are recorded as merchant losses, a component of cost of revenue in the Company's Unaudited Consolidated Statements of Operations and Comprehensive Loss. Exception items that the Company is still attempting to collect from the merchants through the funds settlement process or merchant reserves are recognized as settlement assets and customer/subscriber account balances in the Company's Unaudited Consolidated Balance Sheets, with an offsetting reserve for those amounts the Company estimates it will not be able to recover. Expenses for merchant losses for the three and nine months ended September 30, 2023 were $1.6 million and $3.7 million, respectively. Expenses for merchant losses for the three and nine months ended September 30, 2022 were $0.7 million and $2.8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B2B Payments Segment</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In the Company's B2B Payments segment, the Company earns revenues by processing transactions for FIs and other business customers. Customers transfer funds to the Company, which are held in either company-owned bank accounts controlled by the Company or bank-owned FBO accounts controlled by the banks, until such time that the transactions are settled with the customer payees. Amounts due to customer payees that are held by the Company in company-owned bank accounts are included in restricted cash. Amounts due to customer payees that are held in bank-owned FBO accounts are not assets of the Company, and the associated obligations are not liabilities of the Company. Therefore, neither is recognized in the Company's Unaudited Consolidated Balance Sheets. Bank-owned FBO accounts held funds of $93.4 million and $42.7 million at September 30, 2023 and December 31, 2022, respectively. Company-owned bank accounts held $9.5 million and $1.8 million at September 30, 2023 and December 31, 2022, respectively, which are included in restricted cash and settlement and customer/subscriber account obligations in the Company's Unaudited Consolidated Balance Sheets.</w:t>
      </w:r>
    </w:p>
    <w:p>
      <w:pPr>
        <w:spacing w:after="0" w:line="151"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For the Plastiq business, the Company accepts card payments from its customers and processes disbursements to their vendors. The time lag between authorization and settlement of card transactions creates certain receivables (from card networks) and payables (to the vendors of customers). These receivables and payables arise from the settlement activities that the Company performs on the behalf of its customers and therefore, are presented as Settlement assets and related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Enterprise Payments Segment</w:t>
      </w:r>
    </w:p>
    <w:p>
      <w:pPr>
        <w:spacing w:after="0" w:line="179" w:lineRule="exact"/>
        <w:rPr>
          <w:sz w:val="20"/>
          <w:szCs w:val="20"/>
          <w:color w:val="auto"/>
        </w:rPr>
      </w:pPr>
    </w:p>
    <w:p>
      <w:pPr>
        <w:ind w:right="160"/>
        <w:spacing w:after="0" w:line="288" w:lineRule="auto"/>
        <w:rPr>
          <w:sz w:val="20"/>
          <w:szCs w:val="20"/>
          <w:color w:val="auto"/>
        </w:rPr>
      </w:pPr>
      <w:r>
        <w:rPr>
          <w:rFonts w:ascii="Arial" w:cs="Arial" w:eastAsia="Arial" w:hAnsi="Arial"/>
          <w:sz w:val="13"/>
          <w:szCs w:val="13"/>
          <w:color w:val="auto"/>
        </w:rPr>
        <w:t>In the Company's Enterprise Payments segment revenue is derived primarily from enrollment fees, monthly subscription fees and transaction-based fees from licensed money transmission services. As part of its licensed money transmission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 These balances are payable on demand. As such, the Company recorded these balances and related obligations as 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color w:val="auto"/>
        </w:rPr>
        <w:t>and current liabilities. The nature of these balances are cash and cash equivalents, but they are not available for day-to-day operations of the Company. Therefore, the Company has classified these balances as settlement assets and customer/subscriber account balances and the related obligations as settlement and customer/subscriber account obligations in the Company's Unaudited Consolidated Balance Sheets.</w:t>
      </w:r>
    </w:p>
    <w:p>
      <w:pPr>
        <w:spacing w:after="0" w:line="14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In certain states, the Company accepts deposits under agency arrangement with member banks wherein accepted deposits remain under the control of the member banks. Therefore, the Company does not record assets for the deposits accepted and liabilities for the associated obligation. Agency owned accounts held $8.6 million and $6.1 million at September 30, 2023 and December 31, 2022,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Company's consolidated settlement assets and customer/subscriber account balances and settlement and customer/subscriber account obligations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September 30, 2023</w:t>
            </w: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December 31, 2022</w:t>
            </w:r>
          </w:p>
        </w:tc>
      </w:tr>
      <w:tr>
        <w:trPr>
          <w:trHeight w:val="161"/>
        </w:trPr>
        <w:tc>
          <w:tcPr>
            <w:tcW w:w="6360" w:type="dxa"/>
            <w:vAlign w:val="bottom"/>
            <w:shd w:val="clear" w:color="auto" w:fill="CCEEFF"/>
          </w:tcPr>
          <w:p>
            <w:pPr>
              <w:ind w:left="20"/>
              <w:spacing w:after="0" w:line="161" w:lineRule="exact"/>
              <w:rPr>
                <w:sz w:val="20"/>
                <w:szCs w:val="20"/>
                <w:color w:val="auto"/>
              </w:rPr>
            </w:pPr>
            <w:r>
              <w:rPr>
                <w:rFonts w:ascii="Arial" w:cs="Arial" w:eastAsia="Arial" w:hAnsi="Arial"/>
                <w:sz w:val="14"/>
                <w:szCs w:val="14"/>
                <w:b w:val="1"/>
                <w:bCs w:val="1"/>
                <w:color w:val="auto"/>
              </w:rPr>
              <w:t>Settlement Assets, net of estimated losses</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w:t>
            </w:r>
          </w:p>
        </w:tc>
        <w:tc>
          <w:tcPr>
            <w:tcW w:w="3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80"/>
        </w:trPr>
        <w:tc>
          <w:tcPr>
            <w:tcW w:w="6360" w:type="dxa"/>
            <w:vAlign w:val="bottom"/>
          </w:tcPr>
          <w:p>
            <w:pPr>
              <w:ind w:left="100"/>
              <w:spacing w:after="0"/>
              <w:rPr>
                <w:sz w:val="20"/>
                <w:szCs w:val="20"/>
                <w:color w:val="auto"/>
              </w:rPr>
            </w:pPr>
            <w:r>
              <w:rPr>
                <w:rFonts w:ascii="Arial" w:cs="Arial" w:eastAsia="Arial" w:hAnsi="Arial"/>
                <w:sz w:val="14"/>
                <w:szCs w:val="14"/>
                <w:color w:val="auto"/>
              </w:rPr>
              <w:t>Card settlements due from merchants</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2060" w:type="dxa"/>
            <w:vAlign w:val="bottom"/>
          </w:tcPr>
          <w:p>
            <w:pPr>
              <w:jc w:val="right"/>
              <w:spacing w:after="0"/>
              <w:rPr>
                <w:sz w:val="20"/>
                <w:szCs w:val="20"/>
                <w:color w:val="auto"/>
              </w:rPr>
            </w:pPr>
            <w:r>
              <w:rPr>
                <w:rFonts w:ascii="Arial" w:cs="Arial" w:eastAsia="Arial" w:hAnsi="Arial"/>
                <w:sz w:val="14"/>
                <w:szCs w:val="14"/>
                <w:color w:val="auto"/>
              </w:rPr>
              <w:t>4,768</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206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181"/>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Card settlements due from networks</w:t>
            </w:r>
          </w:p>
        </w:tc>
        <w:tc>
          <w:tcPr>
            <w:tcW w:w="36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80"/>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Customer/Subscriber Account Balances:</w:t>
            </w:r>
          </w:p>
        </w:tc>
        <w:tc>
          <w:tcPr>
            <w:tcW w:w="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36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700,610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531,574</w:t>
            </w:r>
          </w:p>
        </w:tc>
      </w:tr>
      <w:tr>
        <w:trPr>
          <w:trHeight w:val="171"/>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Total settlement assets and customer/subscriber account balances</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76"/>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712,170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76"/>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532,018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31"/>
        </w:trPr>
        <w:tc>
          <w:tcPr>
            <w:tcW w:w="6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80"/>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Settlement and Customer/Subscriber Account Obligations:</w:t>
            </w:r>
          </w:p>
        </w:tc>
        <w:tc>
          <w:tcPr>
            <w:tcW w:w="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6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Customer account obligations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672,183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516,086</w:t>
            </w:r>
          </w:p>
        </w:tc>
      </w:tr>
      <w:tr>
        <w:trPr>
          <w:trHeight w:val="180"/>
        </w:trPr>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Subscriber account obligations</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28,427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15,488</w:t>
            </w:r>
          </w:p>
        </w:tc>
      </w:tr>
      <w:tr>
        <w:trPr>
          <w:trHeight w:val="171"/>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customer/subscriber account obligations</w:t>
            </w:r>
          </w:p>
        </w:tc>
        <w:tc>
          <w:tcPr>
            <w:tcW w:w="36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700,610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531,574</w:t>
            </w:r>
          </w:p>
        </w:tc>
      </w:tr>
      <w:tr>
        <w:trPr>
          <w:trHeight w:val="180"/>
        </w:trPr>
        <w:tc>
          <w:tcPr>
            <w:tcW w:w="6360" w:type="dxa"/>
            <w:vAlign w:val="bottom"/>
            <w:tcBorders>
              <w:bottom w:val="single" w:sz="8" w:color="CCEEFF"/>
            </w:tcBorders>
          </w:tcPr>
          <w:p>
            <w:pPr>
              <w:ind w:left="120"/>
              <w:spacing w:after="0" w:line="181" w:lineRule="exact"/>
              <w:rPr>
                <w:sz w:val="20"/>
                <w:szCs w:val="20"/>
                <w:color w:val="auto"/>
              </w:rPr>
            </w:pPr>
            <w:r>
              <w:rPr>
                <w:rFonts w:ascii="Arial" w:cs="Arial" w:eastAsia="Arial" w:hAnsi="Arial"/>
                <w:sz w:val="14"/>
                <w:szCs w:val="14"/>
                <w:color w:val="auto"/>
              </w:rPr>
              <w:t>Due to customers' payees</w:t>
            </w:r>
            <w:r>
              <w:rPr>
                <w:rFonts w:ascii="Arial" w:cs="Arial" w:eastAsia="Arial" w:hAnsi="Arial"/>
                <w:sz w:val="18"/>
                <w:szCs w:val="18"/>
                <w:color w:val="auto"/>
                <w:vertAlign w:val="superscript"/>
              </w:rPr>
              <w:t>(2)</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1,766</w:t>
            </w:r>
          </w:p>
        </w:tc>
      </w:tr>
      <w:tr>
        <w:trPr>
          <w:trHeight w:val="19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settlement and customer/subscriber account obligations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w w:val="76"/>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710,068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w w:val="76"/>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533,340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500" w:hanging="240"/>
        <w:spacing w:after="0"/>
        <w:tabs>
          <w:tab w:leader="none" w:pos="500" w:val="left"/>
        </w:tabs>
        <w:numPr>
          <w:ilvl w:val="1"/>
          <w:numId w:val="10"/>
        </w:numPr>
        <w:rPr>
          <w:rFonts w:ascii="Arial" w:cs="Arial" w:eastAsia="Arial" w:hAnsi="Arial"/>
          <w:sz w:val="18"/>
          <w:szCs w:val="18"/>
          <w:color w:val="auto"/>
          <w:vertAlign w:val="superscript"/>
        </w:rPr>
      </w:pPr>
      <w:r>
        <w:rPr>
          <w:rFonts w:ascii="Arial" w:cs="Arial" w:eastAsia="Arial" w:hAnsi="Arial"/>
          <w:sz w:val="14"/>
          <w:szCs w:val="14"/>
          <w:color w:val="auto"/>
        </w:rPr>
        <w:t>Allowance for estimated losses was $5.6 million and $5.0 million as of September 30, 2023 and December 31, 2022, respectively</w:t>
      </w:r>
    </w:p>
    <w:p>
      <w:pPr>
        <w:spacing w:after="0" w:line="1" w:lineRule="exact"/>
        <w:rPr>
          <w:rFonts w:ascii="Arial" w:cs="Arial" w:eastAsia="Arial" w:hAnsi="Arial"/>
          <w:sz w:val="18"/>
          <w:szCs w:val="18"/>
          <w:color w:val="auto"/>
          <w:vertAlign w:val="superscript"/>
        </w:rPr>
      </w:pPr>
    </w:p>
    <w:p>
      <w:pPr>
        <w:ind w:left="500" w:hanging="240"/>
        <w:spacing w:after="0" w:line="194" w:lineRule="auto"/>
        <w:tabs>
          <w:tab w:leader="none" w:pos="500" w:val="left"/>
        </w:tabs>
        <w:numPr>
          <w:ilvl w:val="1"/>
          <w:numId w:val="10"/>
        </w:numPr>
        <w:rPr>
          <w:rFonts w:ascii="Arial" w:cs="Arial" w:eastAsia="Arial" w:hAnsi="Arial"/>
          <w:sz w:val="18"/>
          <w:szCs w:val="18"/>
          <w:color w:val="auto"/>
          <w:vertAlign w:val="superscript"/>
        </w:rPr>
      </w:pPr>
      <w:r>
        <w:rPr>
          <w:rFonts w:ascii="Arial" w:cs="Arial" w:eastAsia="Arial" w:hAnsi="Arial"/>
          <w:sz w:val="14"/>
          <w:szCs w:val="14"/>
          <w:color w:val="auto"/>
        </w:rPr>
        <w:t>Card settlements due from networks includes $6.8 million of related assets and remainder are included in restricted cash on our Unaudited Consolidated Balance Sheets.</w:t>
      </w:r>
    </w:p>
    <w:p>
      <w:pPr>
        <w:spacing w:after="0" w:line="200" w:lineRule="exact"/>
        <w:rPr>
          <w:rFonts w:ascii="Arial" w:cs="Arial" w:eastAsia="Arial" w:hAnsi="Arial"/>
          <w:sz w:val="18"/>
          <w:szCs w:val="18"/>
          <w:color w:val="auto"/>
          <w:vertAlign w:val="superscript"/>
        </w:rPr>
      </w:pPr>
    </w:p>
    <w:p>
      <w:pPr>
        <w:spacing w:after="0" w:line="274" w:lineRule="exact"/>
        <w:rPr>
          <w:rFonts w:ascii="Arial" w:cs="Arial" w:eastAsia="Arial" w:hAnsi="Arial"/>
          <w:sz w:val="18"/>
          <w:szCs w:val="18"/>
          <w:color w:val="auto"/>
          <w:vertAlign w:val="superscript"/>
        </w:rPr>
      </w:pPr>
    </w:p>
    <w:p>
      <w:pPr>
        <w:ind w:left="280" w:hanging="275"/>
        <w:spacing w:after="0"/>
        <w:tabs>
          <w:tab w:leader="none" w:pos="28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Notes Receivable</w:t>
      </w:r>
    </w:p>
    <w:p>
      <w:pPr>
        <w:spacing w:after="0" w:line="18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Company had notes receivable of $5.2 million and $4.7 million as of September 30, 2023 and December 31, 2022, respectively, which are reported as current portion of notes receivable and notes receivable less current portion on the Company's Unaudited Consolidated Balance Sheets. The notes receivable carried weighted-average interest rates of 18.2% and 15.4% as of September 30, 2023 and December 31, 2022. The notes receivable are comprised of notes receivable from ISOs, and under the terms of the agreements the Company preserves the right to hold back residual payments due to the ISOs and to apply such residuals against future payments due to the Company. As of September 30, 2023 and December 31, 2022, the Company had no allowance for doubtful notes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2023, the principal payments for the Company's notes receivable are due as follows: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Twelve months ending September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78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Arial" w:cs="Arial" w:eastAsia="Arial" w:hAnsi="Arial"/>
                <w:sz w:val="14"/>
                <w:szCs w:val="14"/>
                <w:color w:val="auto"/>
              </w:rPr>
              <w:t>2025</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Arial" w:cs="Arial" w:eastAsia="Arial" w:hAnsi="Arial"/>
                <w:sz w:val="14"/>
                <w:szCs w:val="14"/>
                <w:color w:val="auto"/>
              </w:rPr>
              <w:t>2027</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After 2027</w:t>
            </w: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71"/>
        </w:trPr>
        <w:tc>
          <w:tcPr>
            <w:tcW w:w="326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5,177</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6.  Property, Equipment and Software</w:t>
            </w: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32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040" w:type="dxa"/>
            <w:vAlign w:val="bottom"/>
            <w:gridSpan w:val="2"/>
          </w:tcPr>
          <w:p>
            <w:pPr>
              <w:spacing w:after="0"/>
              <w:rPr>
                <w:sz w:val="20"/>
                <w:szCs w:val="20"/>
                <w:color w:val="auto"/>
              </w:rPr>
            </w:pPr>
            <w:r>
              <w:rPr>
                <w:rFonts w:ascii="Arial" w:cs="Arial" w:eastAsia="Arial" w:hAnsi="Arial"/>
                <w:sz w:val="14"/>
                <w:szCs w:val="14"/>
                <w:color w:val="auto"/>
                <w:w w:val="94"/>
              </w:rPr>
              <w:t>A summary of property, equipment and software, net was as follows: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ind w:right="349"/>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71"/>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Computer software</w:t>
            </w:r>
          </w:p>
        </w:tc>
        <w:tc>
          <w:tcPr>
            <w:tcW w:w="7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71,463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64,197</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Arial" w:cs="Arial" w:eastAsia="Arial" w:hAnsi="Arial"/>
                <w:sz w:val="14"/>
                <w:szCs w:val="14"/>
                <w:color w:val="auto"/>
              </w:rPr>
              <w:t>Equipment</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10,027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13,302</w:t>
            </w: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6,990</w:t>
            </w:r>
          </w:p>
        </w:tc>
        <w:tc>
          <w:tcPr>
            <w:tcW w:w="0" w:type="dxa"/>
            <w:vAlign w:val="bottom"/>
          </w:tcPr>
          <w:p>
            <w:pPr>
              <w:spacing w:after="0"/>
              <w:rPr>
                <w:sz w:val="1"/>
                <w:szCs w:val="1"/>
                <w:color w:val="auto"/>
              </w:rPr>
            </w:pPr>
          </w:p>
        </w:tc>
      </w:tr>
      <w:tr>
        <w:trPr>
          <w:trHeight w:val="18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Furniture and fixtures</w:t>
            </w:r>
          </w:p>
        </w:tc>
        <w:tc>
          <w:tcPr>
            <w:tcW w:w="78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1,442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2,909</w:t>
            </w:r>
          </w:p>
        </w:tc>
        <w:tc>
          <w:tcPr>
            <w:tcW w:w="0" w:type="dxa"/>
            <w:vAlign w:val="bottom"/>
          </w:tcPr>
          <w:p>
            <w:pPr>
              <w:spacing w:after="0"/>
              <w:rPr>
                <w:sz w:val="1"/>
                <w:szCs w:val="1"/>
                <w:color w:val="auto"/>
              </w:rPr>
            </w:pPr>
          </w:p>
        </w:tc>
      </w:tr>
      <w:tr>
        <w:trPr>
          <w:trHeight w:val="171"/>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equipment and software</w:t>
            </w:r>
          </w:p>
        </w:tc>
        <w:tc>
          <w:tcPr>
            <w:tcW w:w="7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84,467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87,398</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(53,208)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(58,409)</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work in-progress</w:t>
            </w: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10,592</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5,698</w:t>
            </w:r>
          </w:p>
        </w:tc>
        <w:tc>
          <w:tcPr>
            <w:tcW w:w="0" w:type="dxa"/>
            <w:vAlign w:val="bottom"/>
          </w:tcPr>
          <w:p>
            <w:pPr>
              <w:spacing w:after="0"/>
              <w:rPr>
                <w:sz w:val="1"/>
                <w:szCs w:val="1"/>
                <w:color w:val="auto"/>
              </w:rPr>
            </w:pPr>
          </w:p>
        </w:tc>
      </w:tr>
      <w:tr>
        <w:trPr>
          <w:trHeight w:val="171"/>
        </w:trPr>
        <w:tc>
          <w:tcPr>
            <w:tcW w:w="3260" w:type="dxa"/>
            <w:vAlign w:val="bottom"/>
          </w:tcPr>
          <w:p>
            <w:pPr>
              <w:ind w:left="100"/>
              <w:spacing w:after="0"/>
              <w:rPr>
                <w:sz w:val="20"/>
                <w:szCs w:val="20"/>
                <w:color w:val="auto"/>
              </w:rPr>
            </w:pPr>
            <w:r>
              <w:rPr>
                <w:rFonts w:ascii="Arial" w:cs="Arial" w:eastAsia="Arial" w:hAnsi="Arial"/>
                <w:sz w:val="14"/>
                <w:szCs w:val="14"/>
                <w:b w:val="1"/>
                <w:bCs w:val="1"/>
                <w:color w:val="auto"/>
              </w:rPr>
              <w:t>Property, equipment and software, net</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41,851</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34,687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2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right"/>
              <w:ind w:right="649"/>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64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Depreciation expense</w:t>
            </w:r>
          </w:p>
        </w:tc>
        <w:tc>
          <w:tcPr>
            <w:tcW w:w="780" w:type="dxa"/>
            <w:vAlign w:val="bottom"/>
            <w:shd w:val="clear" w:color="auto" w:fill="CCEEFF"/>
          </w:tcPr>
          <w:p>
            <w:pPr>
              <w:jc w:val="right"/>
              <w:ind w:right="629"/>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2,763</w:t>
            </w: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1629"/>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2,365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8,335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6,902</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Computer software represents purchased software and internally developed software that is used to provide the Company's services to its customers.</w:t>
      </w:r>
    </w:p>
    <w:p>
      <w:pPr>
        <w:spacing w:after="0" w:line="179"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color w:val="auto"/>
        </w:rPr>
        <w:t>Fully depreciated assets are retained in property, equipment and software, net, until removed from service. During the quarter ended September 30, 2023, certain fully depreciated assets were removed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724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3"/>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7.  Goodwill and Other Intangible Assets</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Goodwill</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40" w:type="dxa"/>
            <w:vAlign w:val="bottom"/>
            <w:gridSpan w:val="2"/>
          </w:tcPr>
          <w:p>
            <w:pPr>
              <w:spacing w:after="0"/>
              <w:rPr>
                <w:sz w:val="20"/>
                <w:szCs w:val="20"/>
                <w:color w:val="auto"/>
              </w:rPr>
            </w:pPr>
            <w:r>
              <w:rPr>
                <w:rFonts w:ascii="Arial" w:cs="Arial" w:eastAsia="Arial" w:hAnsi="Arial"/>
                <w:sz w:val="14"/>
                <w:szCs w:val="14"/>
                <w:color w:val="auto"/>
              </w:rPr>
              <w:t>The Company's goodwill relates to the following reporting units:</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2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2023</w:t>
            </w:r>
          </w:p>
        </w:tc>
        <w:tc>
          <w:tcPr>
            <w:tcW w:w="4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1"/>
        </w:trPr>
        <w:tc>
          <w:tcPr>
            <w:tcW w:w="7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SMB Payments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124,139</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124,625</w:t>
            </w:r>
          </w:p>
        </w:tc>
        <w:tc>
          <w:tcPr>
            <w:tcW w:w="0" w:type="dxa"/>
            <w:vAlign w:val="bottom"/>
          </w:tcPr>
          <w:p>
            <w:pPr>
              <w:spacing w:after="0"/>
              <w:rPr>
                <w:sz w:val="1"/>
                <w:szCs w:val="1"/>
                <w:color w:val="auto"/>
              </w:rPr>
            </w:pPr>
          </w:p>
        </w:tc>
      </w:tr>
      <w:tr>
        <w:trPr>
          <w:trHeight w:val="180"/>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Enterprise Payments</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244,712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244,712</w:t>
            </w:r>
          </w:p>
        </w:tc>
        <w:tc>
          <w:tcPr>
            <w:tcW w:w="0" w:type="dxa"/>
            <w:vAlign w:val="bottom"/>
          </w:tcPr>
          <w:p>
            <w:pPr>
              <w:spacing w:after="0"/>
              <w:rPr>
                <w:sz w:val="1"/>
                <w:szCs w:val="1"/>
                <w:color w:val="auto"/>
              </w:rPr>
            </w:pPr>
          </w:p>
        </w:tc>
      </w:tr>
      <w:tr>
        <w:trPr>
          <w:trHeight w:val="18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Plastiq (B2B Payments)</w:t>
            </w:r>
          </w:p>
        </w:tc>
        <w:tc>
          <w:tcPr>
            <w:tcW w:w="2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6,943</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2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375,794</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369,337</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4"/>
                <w:szCs w:val="14"/>
                <w:color w:val="auto"/>
              </w:rPr>
              <w:t>The following table summarizes the changes in the carrying value of goodwill:</w:t>
            </w: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2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369,337</w:t>
            </w:r>
          </w:p>
        </w:tc>
        <w:tc>
          <w:tcPr>
            <w:tcW w:w="0" w:type="dxa"/>
            <w:vAlign w:val="bottom"/>
          </w:tcPr>
          <w:p>
            <w:pPr>
              <w:spacing w:after="0"/>
              <w:rPr>
                <w:sz w:val="1"/>
                <w:szCs w:val="1"/>
                <w:color w:val="auto"/>
              </w:rPr>
            </w:pPr>
          </w:p>
        </w:tc>
      </w:tr>
      <w:tr>
        <w:trPr>
          <w:trHeight w:val="180"/>
        </w:trPr>
        <w:tc>
          <w:tcPr>
            <w:tcW w:w="7240" w:type="dxa"/>
            <w:vAlign w:val="bottom"/>
            <w:gridSpan w:val="2"/>
          </w:tcPr>
          <w:p>
            <w:pPr>
              <w:ind w:left="120"/>
              <w:spacing w:after="0"/>
              <w:rPr>
                <w:sz w:val="20"/>
                <w:szCs w:val="20"/>
                <w:color w:val="auto"/>
              </w:rPr>
            </w:pPr>
            <w:r>
              <w:rPr>
                <w:rFonts w:ascii="Arial" w:cs="Arial" w:eastAsia="Arial" w:hAnsi="Arial"/>
                <w:sz w:val="14"/>
                <w:szCs w:val="14"/>
                <w:color w:val="auto"/>
              </w:rPr>
              <w:t>Purchase price adjustment for Ovvi</w:t>
            </w: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81"/>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Plastiq acquisition</w:t>
            </w:r>
          </w:p>
        </w:tc>
        <w:tc>
          <w:tcPr>
            <w:tcW w:w="2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6,943</w:t>
            </w:r>
          </w:p>
        </w:tc>
        <w:tc>
          <w:tcPr>
            <w:tcW w:w="0" w:type="dxa"/>
            <w:vAlign w:val="bottom"/>
          </w:tcPr>
          <w:p>
            <w:pPr>
              <w:spacing w:after="0"/>
              <w:rPr>
                <w:sz w:val="1"/>
                <w:szCs w:val="1"/>
                <w:color w:val="auto"/>
              </w:rPr>
            </w:pPr>
          </w:p>
        </w:tc>
      </w:tr>
      <w:tr>
        <w:trPr>
          <w:trHeight w:val="171"/>
        </w:trPr>
        <w:tc>
          <w:tcPr>
            <w:tcW w:w="7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375,794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2023, the Company is not aware of any triggering events for impairment that have occurred since the last annual impairment test.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20"/>
                <w:szCs w:val="20"/>
                <w:color w:val="auto"/>
              </w:rPr>
            </w:pPr>
            <w:r>
              <w:rPr>
                <w:rFonts w:ascii="Arial" w:cs="Arial" w:eastAsia="Arial" w:hAnsi="Arial"/>
                <w:sz w:val="14"/>
                <w:szCs w:val="14"/>
                <w:b w:val="1"/>
                <w:bCs w:val="1"/>
                <w:color w:val="auto"/>
              </w:rPr>
              <w:t>Other Intangible Assets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4180" w:type="dxa"/>
            <w:vAlign w:val="bottom"/>
          </w:tcPr>
          <w:p>
            <w:pPr>
              <w:spacing w:after="0"/>
              <w:rPr>
                <w:sz w:val="20"/>
                <w:szCs w:val="20"/>
                <w:color w:val="auto"/>
              </w:rPr>
            </w:pPr>
            <w:r>
              <w:rPr>
                <w:rFonts w:ascii="Arial" w:cs="Arial" w:eastAsia="Arial" w:hAnsi="Arial"/>
                <w:sz w:val="14"/>
                <w:szCs w:val="14"/>
                <w:color w:val="auto"/>
              </w:rPr>
              <w:t>Other intangible assets consisted of the following:</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25"/>
        </w:trPr>
        <w:tc>
          <w:tcPr>
            <w:tcW w:w="4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weighted-average data)</w:t>
            </w:r>
          </w:p>
        </w:tc>
        <w:tc>
          <w:tcPr>
            <w:tcW w:w="16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 Carrying Value</w:t>
            </w:r>
          </w:p>
        </w:tc>
        <w:tc>
          <w:tcPr>
            <w:tcW w:w="1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Accumulated Amortization</w:t>
            </w:r>
          </w:p>
        </w:tc>
        <w:tc>
          <w:tcPr>
            <w:tcW w:w="180" w:type="dxa"/>
            <w:vAlign w:val="bottom"/>
          </w:tcPr>
          <w:p>
            <w:pPr>
              <w:spacing w:after="0"/>
              <w:rPr>
                <w:sz w:val="16"/>
                <w:szCs w:val="16"/>
                <w:color w:val="auto"/>
              </w:rPr>
            </w:pPr>
          </w:p>
        </w:tc>
        <w:tc>
          <w:tcPr>
            <w:tcW w:w="1580" w:type="dxa"/>
            <w:vAlign w:val="bottom"/>
          </w:tcPr>
          <w:p>
            <w:pPr>
              <w:jc w:val="right"/>
              <w:ind w:right="229"/>
              <w:spacing w:after="0"/>
              <w:rPr>
                <w:sz w:val="20"/>
                <w:szCs w:val="20"/>
                <w:color w:val="auto"/>
              </w:rPr>
            </w:pPr>
            <w:r>
              <w:rPr>
                <w:rFonts w:ascii="Arial" w:cs="Arial" w:eastAsia="Arial" w:hAnsi="Arial"/>
                <w:sz w:val="14"/>
                <w:szCs w:val="14"/>
                <w:b w:val="1"/>
                <w:bCs w:val="1"/>
                <w:color w:val="auto"/>
              </w:rPr>
              <w:t>Net Carrying Value</w:t>
            </w:r>
          </w:p>
        </w:tc>
        <w:tc>
          <w:tcPr>
            <w:tcW w:w="100" w:type="dxa"/>
            <w:vAlign w:val="bottom"/>
          </w:tcPr>
          <w:p>
            <w:pPr>
              <w:spacing w:after="0"/>
              <w:rPr>
                <w:sz w:val="16"/>
                <w:szCs w:val="16"/>
                <w:color w:val="auto"/>
              </w:rPr>
            </w:pPr>
          </w:p>
        </w:tc>
        <w:tc>
          <w:tcPr>
            <w:tcW w:w="1520" w:type="dxa"/>
            <w:vAlign w:val="bottom"/>
          </w:tcPr>
          <w:p>
            <w:pPr>
              <w:ind w:left="42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16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intangible assets:</w:t>
            </w:r>
          </w:p>
        </w:tc>
        <w:tc>
          <w:tcPr>
            <w:tcW w:w="1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rPr>
                <w:sz w:val="20"/>
                <w:szCs w:val="20"/>
                <w:color w:val="auto"/>
              </w:rPr>
            </w:pPr>
            <w:r>
              <w:rPr>
                <w:rFonts w:ascii="Arial" w:cs="Arial" w:eastAsia="Arial" w:hAnsi="Arial"/>
                <w:sz w:val="14"/>
                <w:szCs w:val="14"/>
                <w:color w:val="auto"/>
              </w:rPr>
              <w:t>ISO and referral partner relationships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182,339</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(33,764)</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148,575</w:t>
            </w:r>
          </w:p>
        </w:tc>
        <w:tc>
          <w:tcPr>
            <w:tcW w:w="1620" w:type="dxa"/>
            <w:vAlign w:val="bottom"/>
            <w:gridSpan w:val="2"/>
          </w:tcPr>
          <w:p>
            <w:pPr>
              <w:jc w:val="center"/>
              <w:ind w:left="29"/>
              <w:spacing w:after="0"/>
              <w:rPr>
                <w:sz w:val="20"/>
                <w:szCs w:val="20"/>
                <w:color w:val="auto"/>
              </w:rPr>
            </w:pPr>
            <w:r>
              <w:rPr>
                <w:rFonts w:ascii="Arial" w:cs="Arial" w:eastAsia="Arial" w:hAnsi="Arial"/>
                <w:sz w:val="14"/>
                <w:szCs w:val="14"/>
                <w:color w:val="auto"/>
                <w:w w:val="87"/>
              </w:rPr>
              <w:t>14.7</w:t>
            </w:r>
          </w:p>
        </w:tc>
        <w:tc>
          <w:tcPr>
            <w:tcW w:w="0" w:type="dxa"/>
            <w:vAlign w:val="bottom"/>
          </w:tcPr>
          <w:p>
            <w:pPr>
              <w:spacing w:after="0"/>
              <w:rPr>
                <w:sz w:val="1"/>
                <w:szCs w:val="1"/>
                <w:color w:val="auto"/>
              </w:rPr>
            </w:pPr>
          </w:p>
        </w:tc>
      </w:tr>
      <w:tr>
        <w:trPr>
          <w:trHeight w:val="181"/>
        </w:trPr>
        <w:tc>
          <w:tcPr>
            <w:tcW w:w="4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Residual buyouts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45,943</w:t>
            </w:r>
          </w:p>
        </w:tc>
        <w:tc>
          <w:tcPr>
            <w:tcW w:w="16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1"/>
              </w:rPr>
              <w:t>6.3</w:t>
            </w: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rPr>
                <w:sz w:val="20"/>
                <w:szCs w:val="20"/>
                <w:color w:val="auto"/>
              </w:rPr>
            </w:pPr>
            <w:r>
              <w:rPr>
                <w:rFonts w:ascii="Arial" w:cs="Arial" w:eastAsia="Arial" w:hAnsi="Arial"/>
                <w:sz w:val="14"/>
                <w:szCs w:val="14"/>
                <w:color w:val="auto"/>
              </w:rPr>
              <w:t>Customer relationships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109,017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(91,619)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17,398</w:t>
            </w:r>
          </w:p>
        </w:tc>
        <w:tc>
          <w:tcPr>
            <w:tcW w:w="1620" w:type="dxa"/>
            <w:vAlign w:val="bottom"/>
            <w:gridSpan w:val="2"/>
          </w:tcPr>
          <w:p>
            <w:pPr>
              <w:jc w:val="center"/>
              <w:ind w:left="29"/>
              <w:spacing w:after="0"/>
              <w:rPr>
                <w:sz w:val="20"/>
                <w:szCs w:val="20"/>
                <w:color w:val="auto"/>
              </w:rPr>
            </w:pPr>
            <w:r>
              <w:rPr>
                <w:rFonts w:ascii="Arial" w:cs="Arial" w:eastAsia="Arial" w:hAnsi="Arial"/>
                <w:sz w:val="14"/>
                <w:szCs w:val="14"/>
                <w:color w:val="auto"/>
                <w:w w:val="81"/>
              </w:rPr>
              <w:t>8.4</w:t>
            </w:r>
          </w:p>
        </w:tc>
        <w:tc>
          <w:tcPr>
            <w:tcW w:w="0" w:type="dxa"/>
            <w:vAlign w:val="bottom"/>
          </w:tcPr>
          <w:p>
            <w:pPr>
              <w:spacing w:after="0"/>
              <w:rPr>
                <w:sz w:val="1"/>
                <w:szCs w:val="1"/>
                <w:color w:val="auto"/>
              </w:rPr>
            </w:pPr>
          </w:p>
        </w:tc>
      </w:tr>
      <w:tr>
        <w:trPr>
          <w:trHeight w:val="181"/>
        </w:trPr>
        <w:tc>
          <w:tcPr>
            <w:tcW w:w="4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Merchant portfolios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30,639</w:t>
            </w:r>
          </w:p>
        </w:tc>
        <w:tc>
          <w:tcPr>
            <w:tcW w:w="16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1"/>
              </w:rPr>
              <w:t>6.5</w:t>
            </w: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rPr>
                <w:sz w:val="20"/>
                <w:szCs w:val="20"/>
                <w:color w:val="auto"/>
              </w:rPr>
            </w:pPr>
            <w:r>
              <w:rPr>
                <w:rFonts w:ascii="Arial" w:cs="Arial" w:eastAsia="Arial" w:hAnsi="Arial"/>
                <w:sz w:val="14"/>
                <w:szCs w:val="14"/>
                <w:color w:val="auto"/>
              </w:rPr>
              <w:t>Technology</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57,639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(21,525)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36,114</w:t>
            </w:r>
          </w:p>
        </w:tc>
        <w:tc>
          <w:tcPr>
            <w:tcW w:w="1620" w:type="dxa"/>
            <w:vAlign w:val="bottom"/>
            <w:gridSpan w:val="2"/>
          </w:tcPr>
          <w:p>
            <w:pPr>
              <w:jc w:val="center"/>
              <w:ind w:left="29"/>
              <w:spacing w:after="0"/>
              <w:rPr>
                <w:sz w:val="20"/>
                <w:szCs w:val="20"/>
                <w:color w:val="auto"/>
              </w:rPr>
            </w:pPr>
            <w:r>
              <w:rPr>
                <w:rFonts w:ascii="Arial" w:cs="Arial" w:eastAsia="Arial" w:hAnsi="Arial"/>
                <w:sz w:val="14"/>
                <w:szCs w:val="14"/>
                <w:color w:val="auto"/>
                <w:w w:val="81"/>
              </w:rPr>
              <w:t>9.0</w:t>
            </w:r>
          </w:p>
        </w:tc>
        <w:tc>
          <w:tcPr>
            <w:tcW w:w="0" w:type="dxa"/>
            <w:vAlign w:val="bottom"/>
          </w:tcPr>
          <w:p>
            <w:pPr>
              <w:spacing w:after="0"/>
              <w:rPr>
                <w:sz w:val="1"/>
                <w:szCs w:val="1"/>
                <w:color w:val="auto"/>
              </w:rPr>
            </w:pPr>
          </w:p>
        </w:tc>
      </w:tr>
      <w:tr>
        <w:trPr>
          <w:trHeight w:val="181"/>
        </w:trPr>
        <w:tc>
          <w:tcPr>
            <w:tcW w:w="4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Trade names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4,721</w:t>
            </w:r>
          </w:p>
        </w:tc>
        <w:tc>
          <w:tcPr>
            <w:tcW w:w="16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7"/>
              </w:rPr>
              <w:t>10.6</w:t>
            </w: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rPr>
                <w:sz w:val="20"/>
                <w:szCs w:val="20"/>
                <w:color w:val="auto"/>
              </w:rPr>
            </w:pPr>
            <w:r>
              <w:rPr>
                <w:rFonts w:ascii="Arial" w:cs="Arial" w:eastAsia="Arial" w:hAnsi="Arial"/>
                <w:sz w:val="14"/>
                <w:szCs w:val="14"/>
                <w:color w:val="auto"/>
              </w:rPr>
              <w:t>Non-compete agreements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center"/>
              <w:ind w:left="29"/>
              <w:spacing w:after="0"/>
              <w:rPr>
                <w:sz w:val="20"/>
                <w:szCs w:val="20"/>
                <w:color w:val="auto"/>
              </w:rPr>
            </w:pPr>
            <w:r>
              <w:rPr>
                <w:rFonts w:ascii="Arial" w:cs="Arial" w:eastAsia="Arial" w:hAnsi="Arial"/>
                <w:sz w:val="14"/>
                <w:szCs w:val="14"/>
                <w:color w:val="auto"/>
                <w:w w:val="81"/>
              </w:rPr>
              <w:t>0.0</w:t>
            </w:r>
          </w:p>
        </w:tc>
        <w:tc>
          <w:tcPr>
            <w:tcW w:w="0" w:type="dxa"/>
            <w:vAlign w:val="bottom"/>
          </w:tcPr>
          <w:p>
            <w:pPr>
              <w:spacing w:after="0"/>
              <w:rPr>
                <w:sz w:val="1"/>
                <w:szCs w:val="1"/>
                <w:color w:val="auto"/>
              </w:rPr>
            </w:pPr>
          </w:p>
        </w:tc>
      </w:tr>
      <w:tr>
        <w:trPr>
          <w:trHeight w:val="181"/>
        </w:trPr>
        <w:tc>
          <w:tcPr>
            <w:tcW w:w="4180" w:type="dxa"/>
            <w:vAlign w:val="bottom"/>
            <w:shd w:val="clear" w:color="auto" w:fill="CCEEFF"/>
          </w:tcPr>
          <w:p>
            <w:pPr>
              <w:ind w:left="120"/>
              <w:spacing w:after="0" w:line="181" w:lineRule="exact"/>
              <w:rPr>
                <w:sz w:val="20"/>
                <w:szCs w:val="20"/>
                <w:color w:val="auto"/>
              </w:rPr>
            </w:pPr>
            <w:r>
              <w:rPr>
                <w:rFonts w:ascii="Arial" w:cs="Arial" w:eastAsia="Arial" w:hAnsi="Arial"/>
                <w:sz w:val="14"/>
                <w:szCs w:val="14"/>
                <w:color w:val="auto"/>
              </w:rPr>
              <w:t>Money transmission licenses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8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581,003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(295,513)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285,490</w:t>
            </w:r>
          </w:p>
        </w:tc>
        <w:tc>
          <w:tcPr>
            <w:tcW w:w="162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w w:val="81"/>
              </w:rPr>
              <w:t>9.7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00" w:hanging="240"/>
        <w:spacing w:after="0"/>
        <w:tabs>
          <w:tab w:leader="none" w:pos="5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These assets have an indefinite useful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December 31, 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18"/>
        </w:trPr>
        <w:tc>
          <w:tcPr>
            <w:tcW w:w="3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weighted-average data)</w:t>
            </w:r>
          </w:p>
        </w:tc>
        <w:tc>
          <w:tcPr>
            <w:tcW w:w="900" w:type="dxa"/>
            <w:vAlign w:val="bottom"/>
          </w:tcPr>
          <w:p>
            <w:pPr>
              <w:spacing w:after="0"/>
              <w:rPr>
                <w:sz w:val="16"/>
                <w:szCs w:val="16"/>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Gross Carrying Value</w:t>
            </w:r>
          </w:p>
        </w:tc>
        <w:tc>
          <w:tcPr>
            <w:tcW w:w="186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4"/>
              </w:rPr>
              <w:t>Accumulated Amortization</w:t>
            </w:r>
          </w:p>
        </w:tc>
        <w:tc>
          <w:tcPr>
            <w:tcW w:w="180" w:type="dxa"/>
            <w:vAlign w:val="bottom"/>
          </w:tcPr>
          <w:p>
            <w:pPr>
              <w:spacing w:after="0"/>
              <w:rPr>
                <w:sz w:val="16"/>
                <w:szCs w:val="16"/>
                <w:color w:val="auto"/>
              </w:rPr>
            </w:pPr>
          </w:p>
        </w:tc>
        <w:tc>
          <w:tcPr>
            <w:tcW w:w="138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rPr>
              <w:t>Net Carrying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349"/>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161"/>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intangible assets:</w:t>
            </w:r>
          </w:p>
        </w:tc>
        <w:tc>
          <w:tcPr>
            <w:tcW w:w="9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80" w:type="dxa"/>
            <w:vAlign w:val="bottom"/>
          </w:tcPr>
          <w:p>
            <w:pPr>
              <w:ind w:left="120"/>
              <w:spacing w:after="0"/>
              <w:rPr>
                <w:sz w:val="20"/>
                <w:szCs w:val="20"/>
                <w:color w:val="auto"/>
              </w:rPr>
            </w:pPr>
            <w:r>
              <w:rPr>
                <w:rFonts w:ascii="Arial" w:cs="Arial" w:eastAsia="Arial" w:hAnsi="Arial"/>
                <w:sz w:val="14"/>
                <w:szCs w:val="14"/>
                <w:color w:val="auto"/>
              </w:rPr>
              <w:t>ISO and referral partner relationships</w:t>
            </w:r>
          </w:p>
        </w:tc>
        <w:tc>
          <w:tcPr>
            <w:tcW w:w="900" w:type="dxa"/>
            <w:vAlign w:val="bottom"/>
          </w:tcPr>
          <w:p>
            <w:pPr>
              <w:spacing w:after="0"/>
              <w:rPr>
                <w:sz w:val="15"/>
                <w:szCs w:val="15"/>
                <w:color w:val="auto"/>
              </w:rPr>
            </w:pPr>
          </w:p>
        </w:tc>
        <w:tc>
          <w:tcPr>
            <w:tcW w:w="1240" w:type="dxa"/>
            <w:vAlign w:val="bottom"/>
          </w:tcPr>
          <w:p>
            <w:pPr>
              <w:jc w:val="right"/>
              <w:ind w:right="1069"/>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w w:val="90"/>
              </w:rPr>
              <w:t>175,300</w:t>
            </w:r>
          </w:p>
        </w:tc>
        <w:tc>
          <w:tcPr>
            <w:tcW w:w="100" w:type="dxa"/>
            <w:vAlign w:val="bottom"/>
          </w:tcPr>
          <w:p>
            <w:pPr>
              <w:spacing w:after="0"/>
              <w:rPr>
                <w:sz w:val="15"/>
                <w:szCs w:val="15"/>
                <w:color w:val="auto"/>
              </w:rPr>
            </w:pPr>
          </w:p>
        </w:tc>
        <w:tc>
          <w:tcPr>
            <w:tcW w:w="1060" w:type="dxa"/>
            <w:vAlign w:val="bottom"/>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gridSpan w:val="5"/>
          </w:tcPr>
          <w:p>
            <w:pPr>
              <w:jc w:val="right"/>
              <w:spacing w:after="0"/>
              <w:rPr>
                <w:sz w:val="20"/>
                <w:szCs w:val="20"/>
                <w:color w:val="auto"/>
              </w:rPr>
            </w:pPr>
            <w:r>
              <w:rPr>
                <w:rFonts w:ascii="Arial" w:cs="Arial" w:eastAsia="Arial" w:hAnsi="Arial"/>
                <w:sz w:val="14"/>
                <w:szCs w:val="14"/>
                <w:color w:val="auto"/>
              </w:rPr>
              <w:t>(24,021)</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580" w:type="dxa"/>
            <w:vAlign w:val="bottom"/>
            <w:gridSpan w:val="5"/>
          </w:tcPr>
          <w:p>
            <w:pPr>
              <w:jc w:val="right"/>
              <w:spacing w:after="0"/>
              <w:rPr>
                <w:sz w:val="20"/>
                <w:szCs w:val="20"/>
                <w:color w:val="auto"/>
              </w:rPr>
            </w:pPr>
            <w:r>
              <w:rPr>
                <w:rFonts w:ascii="Arial" w:cs="Arial" w:eastAsia="Arial" w:hAnsi="Arial"/>
                <w:sz w:val="14"/>
                <w:szCs w:val="14"/>
                <w:color w:val="auto"/>
              </w:rPr>
              <w:t>151,279</w:t>
            </w:r>
          </w:p>
        </w:tc>
        <w:tc>
          <w:tcPr>
            <w:tcW w:w="1620" w:type="dxa"/>
            <w:vAlign w:val="bottom"/>
            <w:gridSpan w:val="2"/>
          </w:tcPr>
          <w:p>
            <w:pPr>
              <w:jc w:val="center"/>
              <w:ind w:left="29"/>
              <w:spacing w:after="0"/>
              <w:rPr>
                <w:sz w:val="20"/>
                <w:szCs w:val="20"/>
                <w:color w:val="auto"/>
              </w:rPr>
            </w:pPr>
            <w:r>
              <w:rPr>
                <w:rFonts w:ascii="Arial" w:cs="Arial" w:eastAsia="Arial" w:hAnsi="Arial"/>
                <w:sz w:val="14"/>
                <w:szCs w:val="14"/>
                <w:color w:val="auto"/>
                <w:w w:val="87"/>
              </w:rPr>
              <w:t>14.8</w:t>
            </w: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Residual buyouts</w:t>
            </w:r>
          </w:p>
        </w:tc>
        <w:tc>
          <w:tcPr>
            <w:tcW w:w="9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0"/>
              </w:rPr>
              <w:t>132,325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(76,316)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83"/>
              </w:rPr>
              <w:t>56,009</w:t>
            </w:r>
          </w:p>
        </w:tc>
        <w:tc>
          <w:tcPr>
            <w:tcW w:w="16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1"/>
              </w:rPr>
              <w:t>6.6</w:t>
            </w:r>
          </w:p>
        </w:tc>
        <w:tc>
          <w:tcPr>
            <w:tcW w:w="0" w:type="dxa"/>
            <w:vAlign w:val="bottom"/>
          </w:tcPr>
          <w:p>
            <w:pPr>
              <w:spacing w:after="0"/>
              <w:rPr>
                <w:sz w:val="1"/>
                <w:szCs w:val="1"/>
                <w:color w:val="auto"/>
              </w:rPr>
            </w:pPr>
          </w:p>
        </w:tc>
      </w:tr>
      <w:tr>
        <w:trPr>
          <w:trHeight w:val="180"/>
        </w:trPr>
        <w:tc>
          <w:tcPr>
            <w:tcW w:w="3280" w:type="dxa"/>
            <w:vAlign w:val="bottom"/>
          </w:tcPr>
          <w:p>
            <w:pPr>
              <w:ind w:left="120"/>
              <w:spacing w:after="0"/>
              <w:rPr>
                <w:sz w:val="20"/>
                <w:szCs w:val="20"/>
                <w:color w:val="auto"/>
              </w:rPr>
            </w:pPr>
            <w:r>
              <w:rPr>
                <w:rFonts w:ascii="Arial" w:cs="Arial" w:eastAsia="Arial" w:hAnsi="Arial"/>
                <w:sz w:val="14"/>
                <w:szCs w:val="14"/>
                <w:color w:val="auto"/>
              </w:rPr>
              <w:t>Customer relationships</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96,000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gridSpan w:val="5"/>
          </w:tcPr>
          <w:p>
            <w:pPr>
              <w:jc w:val="right"/>
              <w:spacing w:after="0"/>
              <w:rPr>
                <w:sz w:val="20"/>
                <w:szCs w:val="20"/>
                <w:color w:val="auto"/>
              </w:rPr>
            </w:pPr>
            <w:r>
              <w:rPr>
                <w:rFonts w:ascii="Arial" w:cs="Arial" w:eastAsia="Arial" w:hAnsi="Arial"/>
                <w:sz w:val="14"/>
                <w:szCs w:val="14"/>
                <w:color w:val="auto"/>
              </w:rPr>
              <w:t>(83,298)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gridSpan w:val="4"/>
          </w:tcPr>
          <w:p>
            <w:pPr>
              <w:jc w:val="right"/>
              <w:spacing w:after="0"/>
              <w:rPr>
                <w:sz w:val="20"/>
                <w:szCs w:val="20"/>
                <w:color w:val="auto"/>
              </w:rPr>
            </w:pPr>
            <w:r>
              <w:rPr>
                <w:rFonts w:ascii="Arial" w:cs="Arial" w:eastAsia="Arial" w:hAnsi="Arial"/>
                <w:sz w:val="14"/>
                <w:szCs w:val="14"/>
                <w:color w:val="auto"/>
                <w:w w:val="83"/>
              </w:rPr>
              <w:t>12,702</w:t>
            </w:r>
          </w:p>
        </w:tc>
        <w:tc>
          <w:tcPr>
            <w:tcW w:w="1620" w:type="dxa"/>
            <w:vAlign w:val="bottom"/>
            <w:gridSpan w:val="2"/>
          </w:tcPr>
          <w:p>
            <w:pPr>
              <w:jc w:val="center"/>
              <w:ind w:left="29"/>
              <w:spacing w:after="0"/>
              <w:rPr>
                <w:sz w:val="20"/>
                <w:szCs w:val="20"/>
                <w:color w:val="auto"/>
              </w:rPr>
            </w:pPr>
            <w:r>
              <w:rPr>
                <w:rFonts w:ascii="Arial" w:cs="Arial" w:eastAsia="Arial" w:hAnsi="Arial"/>
                <w:sz w:val="14"/>
                <w:szCs w:val="14"/>
                <w:color w:val="auto"/>
                <w:w w:val="81"/>
              </w:rPr>
              <w:t>8.2</w:t>
            </w: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Merchant portfolios</w:t>
            </w:r>
          </w:p>
        </w:tc>
        <w:tc>
          <w:tcPr>
            <w:tcW w:w="9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76,423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(43,170)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83"/>
              </w:rPr>
              <w:t>33,253</w:t>
            </w:r>
          </w:p>
        </w:tc>
        <w:tc>
          <w:tcPr>
            <w:tcW w:w="16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1"/>
              </w:rPr>
              <w:t>6.7</w:t>
            </w:r>
          </w:p>
        </w:tc>
        <w:tc>
          <w:tcPr>
            <w:tcW w:w="0" w:type="dxa"/>
            <w:vAlign w:val="bottom"/>
          </w:tcPr>
          <w:p>
            <w:pPr>
              <w:spacing w:after="0"/>
              <w:rPr>
                <w:sz w:val="1"/>
                <w:szCs w:val="1"/>
                <w:color w:val="auto"/>
              </w:rPr>
            </w:pPr>
          </w:p>
        </w:tc>
      </w:tr>
      <w:tr>
        <w:trPr>
          <w:trHeight w:val="180"/>
        </w:trPr>
        <w:tc>
          <w:tcPr>
            <w:tcW w:w="3280" w:type="dxa"/>
            <w:vAlign w:val="bottom"/>
          </w:tcPr>
          <w:p>
            <w:pPr>
              <w:ind w:left="120"/>
              <w:spacing w:after="0"/>
              <w:rPr>
                <w:sz w:val="20"/>
                <w:szCs w:val="20"/>
                <w:color w:val="auto"/>
              </w:rPr>
            </w:pPr>
            <w:r>
              <w:rPr>
                <w:rFonts w:ascii="Arial" w:cs="Arial" w:eastAsia="Arial" w:hAnsi="Arial"/>
                <w:sz w:val="14"/>
                <w:szCs w:val="14"/>
                <w:color w:val="auto"/>
              </w:rPr>
              <w:t>Technology</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50,963</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gridSpan w:val="5"/>
          </w:tcPr>
          <w:p>
            <w:pPr>
              <w:jc w:val="right"/>
              <w:spacing w:after="0"/>
              <w:rPr>
                <w:sz w:val="20"/>
                <w:szCs w:val="20"/>
                <w:color w:val="auto"/>
              </w:rPr>
            </w:pPr>
            <w:r>
              <w:rPr>
                <w:rFonts w:ascii="Arial" w:cs="Arial" w:eastAsia="Arial" w:hAnsi="Arial"/>
                <w:sz w:val="14"/>
                <w:szCs w:val="14"/>
                <w:color w:val="auto"/>
              </w:rPr>
              <w:t>(18,566)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gridSpan w:val="4"/>
          </w:tcPr>
          <w:p>
            <w:pPr>
              <w:jc w:val="right"/>
              <w:spacing w:after="0"/>
              <w:rPr>
                <w:sz w:val="20"/>
                <w:szCs w:val="20"/>
                <w:color w:val="auto"/>
              </w:rPr>
            </w:pPr>
            <w:r>
              <w:rPr>
                <w:rFonts w:ascii="Arial" w:cs="Arial" w:eastAsia="Arial" w:hAnsi="Arial"/>
                <w:sz w:val="14"/>
                <w:szCs w:val="14"/>
                <w:color w:val="auto"/>
                <w:w w:val="83"/>
              </w:rPr>
              <w:t>32,397</w:t>
            </w:r>
          </w:p>
        </w:tc>
        <w:tc>
          <w:tcPr>
            <w:tcW w:w="1620" w:type="dxa"/>
            <w:vAlign w:val="bottom"/>
            <w:gridSpan w:val="2"/>
          </w:tcPr>
          <w:p>
            <w:pPr>
              <w:jc w:val="center"/>
              <w:ind w:left="29"/>
              <w:spacing w:after="0"/>
              <w:rPr>
                <w:sz w:val="20"/>
                <w:szCs w:val="20"/>
                <w:color w:val="auto"/>
              </w:rPr>
            </w:pPr>
            <w:r>
              <w:rPr>
                <w:rFonts w:ascii="Arial" w:cs="Arial" w:eastAsia="Arial" w:hAnsi="Arial"/>
                <w:sz w:val="14"/>
                <w:szCs w:val="14"/>
                <w:color w:val="auto"/>
                <w:w w:val="81"/>
              </w:rPr>
              <w:t>8.4</w:t>
            </w: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Trade names</w:t>
            </w:r>
          </w:p>
        </w:tc>
        <w:tc>
          <w:tcPr>
            <w:tcW w:w="9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3,183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(2,129)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6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87"/>
              </w:rPr>
              <w:t>11.6</w:t>
            </w:r>
          </w:p>
        </w:tc>
        <w:tc>
          <w:tcPr>
            <w:tcW w:w="0" w:type="dxa"/>
            <w:vAlign w:val="bottom"/>
          </w:tcPr>
          <w:p>
            <w:pPr>
              <w:spacing w:after="0"/>
              <w:rPr>
                <w:sz w:val="1"/>
                <w:szCs w:val="1"/>
                <w:color w:val="auto"/>
              </w:rPr>
            </w:pPr>
          </w:p>
        </w:tc>
      </w:tr>
      <w:tr>
        <w:trPr>
          <w:trHeight w:val="180"/>
        </w:trPr>
        <w:tc>
          <w:tcPr>
            <w:tcW w:w="3280" w:type="dxa"/>
            <w:vAlign w:val="bottom"/>
          </w:tcPr>
          <w:p>
            <w:pPr>
              <w:ind w:left="120"/>
              <w:spacing w:after="0"/>
              <w:rPr>
                <w:sz w:val="20"/>
                <w:szCs w:val="20"/>
                <w:color w:val="auto"/>
              </w:rPr>
            </w:pPr>
            <w:r>
              <w:rPr>
                <w:rFonts w:ascii="Arial" w:cs="Arial" w:eastAsia="Arial" w:hAnsi="Arial"/>
                <w:sz w:val="14"/>
                <w:szCs w:val="14"/>
                <w:color w:val="auto"/>
              </w:rPr>
              <w:t>Non-compete agreements</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3,390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gridSpan w:val="5"/>
          </w:tcPr>
          <w:p>
            <w:pPr>
              <w:jc w:val="right"/>
              <w:spacing w:after="0"/>
              <w:rPr>
                <w:sz w:val="20"/>
                <w:szCs w:val="20"/>
                <w:color w:val="auto"/>
              </w:rPr>
            </w:pPr>
            <w:r>
              <w:rPr>
                <w:rFonts w:ascii="Arial" w:cs="Arial" w:eastAsia="Arial" w:hAnsi="Arial"/>
                <w:sz w:val="14"/>
                <w:szCs w:val="14"/>
                <w:color w:val="auto"/>
              </w:rPr>
              <w:t>(3,390)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1620" w:type="dxa"/>
            <w:vAlign w:val="bottom"/>
            <w:gridSpan w:val="2"/>
          </w:tcPr>
          <w:p>
            <w:pPr>
              <w:jc w:val="center"/>
              <w:ind w:left="29"/>
              <w:spacing w:after="0"/>
              <w:rPr>
                <w:sz w:val="20"/>
                <w:szCs w:val="20"/>
                <w:color w:val="auto"/>
              </w:rPr>
            </w:pPr>
            <w:r>
              <w:rPr>
                <w:rFonts w:ascii="Arial" w:cs="Arial" w:eastAsia="Arial" w:hAnsi="Arial"/>
                <w:sz w:val="14"/>
                <w:szCs w:val="14"/>
                <w:color w:val="auto"/>
                <w:w w:val="81"/>
              </w:rPr>
              <w:t>0.0</w:t>
            </w: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120"/>
              <w:spacing w:after="0" w:line="181" w:lineRule="exact"/>
              <w:rPr>
                <w:sz w:val="20"/>
                <w:szCs w:val="20"/>
                <w:color w:val="auto"/>
              </w:rPr>
            </w:pPr>
            <w:r>
              <w:rPr>
                <w:rFonts w:ascii="Arial" w:cs="Arial" w:eastAsia="Arial" w:hAnsi="Arial"/>
                <w:sz w:val="14"/>
                <w:szCs w:val="14"/>
                <w:color w:val="auto"/>
              </w:rPr>
              <w:t>Money transmission licenses</w:t>
            </w:r>
            <w:r>
              <w:rPr>
                <w:rFonts w:ascii="Arial" w:cs="Arial" w:eastAsia="Arial" w:hAnsi="Arial"/>
                <w:sz w:val="18"/>
                <w:szCs w:val="18"/>
                <w:color w:val="auto"/>
                <w:vertAlign w:val="superscript"/>
              </w:rPr>
              <w:t>(1)</w:t>
            </w:r>
          </w:p>
        </w:tc>
        <w:tc>
          <w:tcPr>
            <w:tcW w:w="9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85"/>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1069"/>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539,684</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09"/>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(250,890)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5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288,794</w:t>
            </w:r>
          </w:p>
        </w:tc>
        <w:tc>
          <w:tcPr>
            <w:tcW w:w="162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w w:val="81"/>
              </w:rPr>
              <w:t>9.7</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26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These assets have an indefinite useful life.</w:t>
            </w:r>
          </w:p>
        </w:tc>
        <w:tc>
          <w:tcPr>
            <w:tcW w:w="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32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469"/>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right"/>
              <w:ind w:right="64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Amortization expense</w:t>
            </w:r>
          </w:p>
        </w:tc>
        <w:tc>
          <w:tcPr>
            <w:tcW w:w="90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15,452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44,968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45,773</w:t>
            </w:r>
          </w:p>
        </w:tc>
        <w:tc>
          <w:tcPr>
            <w:tcW w:w="0" w:type="dxa"/>
            <w:vAlign w:val="bottom"/>
          </w:tcPr>
          <w:p>
            <w:pPr>
              <w:spacing w:after="0"/>
              <w:rPr>
                <w:sz w:val="1"/>
                <w:szCs w:val="1"/>
                <w:color w:val="auto"/>
              </w:rPr>
            </w:pPr>
          </w:p>
        </w:tc>
      </w:tr>
      <w:tr>
        <w:trPr>
          <w:trHeight w:val="403"/>
        </w:trPr>
        <w:tc>
          <w:tcPr>
            <w:tcW w:w="4180" w:type="dxa"/>
            <w:vAlign w:val="bottom"/>
            <w:gridSpan w:val="2"/>
          </w:tcPr>
          <w:p>
            <w:pPr>
              <w:spacing w:after="0"/>
              <w:rPr>
                <w:sz w:val="20"/>
                <w:szCs w:val="20"/>
                <w:color w:val="auto"/>
              </w:rPr>
            </w:pPr>
            <w:r>
              <w:rPr>
                <w:rFonts w:ascii="Arial" w:cs="Arial" w:eastAsia="Arial" w:hAnsi="Arial"/>
                <w:sz w:val="14"/>
                <w:szCs w:val="14"/>
                <w:color w:val="auto"/>
                <w:w w:val="92"/>
              </w:rPr>
              <w:t>As of September 30, 2023, there were no impairment indicators present.</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280" w:type="dxa"/>
            <w:vAlign w:val="bottom"/>
          </w:tcPr>
          <w:p>
            <w:pPr>
              <w:spacing w:after="0"/>
              <w:rPr>
                <w:sz w:val="20"/>
                <w:szCs w:val="20"/>
                <w:color w:val="auto"/>
              </w:rPr>
            </w:pPr>
            <w:r>
              <w:rPr>
                <w:rFonts w:ascii="Arial" w:cs="Arial" w:eastAsia="Arial" w:hAnsi="Arial"/>
                <w:sz w:val="14"/>
                <w:szCs w:val="14"/>
                <w:b w:val="1"/>
                <w:bCs w:val="1"/>
                <w:color w:val="auto"/>
              </w:rPr>
              <w:t>8.  Debt Obligations</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280" w:type="dxa"/>
            <w:vAlign w:val="bottom"/>
          </w:tcPr>
          <w:p>
            <w:pPr>
              <w:spacing w:after="0"/>
              <w:rPr>
                <w:sz w:val="20"/>
                <w:szCs w:val="20"/>
                <w:color w:val="auto"/>
              </w:rPr>
            </w:pPr>
            <w:r>
              <w:rPr>
                <w:rFonts w:ascii="Arial" w:cs="Arial" w:eastAsia="Arial" w:hAnsi="Arial"/>
                <w:sz w:val="14"/>
                <w:szCs w:val="14"/>
                <w:color w:val="auto"/>
                <w:w w:val="95"/>
              </w:rPr>
              <w:t>Outstanding debt obligations consisted of the following:</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329"/>
              <w:spacing w:after="0"/>
              <w:rPr>
                <w:sz w:val="20"/>
                <w:szCs w:val="20"/>
                <w:color w:val="auto"/>
              </w:rPr>
            </w:pPr>
            <w:r>
              <w:rPr>
                <w:rFonts w:ascii="Arial" w:cs="Arial" w:eastAsia="Arial" w:hAnsi="Arial"/>
                <w:sz w:val="14"/>
                <w:szCs w:val="14"/>
                <w:b w:val="1"/>
                <w:bCs w:val="1"/>
                <w:color w:val="auto"/>
                <w:w w:val="88"/>
              </w:rPr>
              <w:t>September 30, 2023</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349"/>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129"/>
        </w:trPr>
        <w:tc>
          <w:tcPr>
            <w:tcW w:w="7100" w:type="dxa"/>
            <w:vAlign w:val="bottom"/>
            <w:gridSpan w:val="8"/>
            <w:shd w:val="clear" w:color="auto" w:fill="CCEEFF"/>
          </w:tcPr>
          <w:p>
            <w:pPr>
              <w:ind w:left="20"/>
              <w:spacing w:after="0" w:line="129" w:lineRule="exact"/>
              <w:rPr>
                <w:sz w:val="20"/>
                <w:szCs w:val="20"/>
                <w:color w:val="auto"/>
              </w:rPr>
            </w:pPr>
            <w:r>
              <w:rPr>
                <w:rFonts w:ascii="Arial" w:cs="Arial" w:eastAsia="Arial" w:hAnsi="Arial"/>
                <w:sz w:val="14"/>
                <w:szCs w:val="14"/>
                <w:color w:val="auto"/>
                <w:w w:val="92"/>
              </w:rPr>
              <w:t>Term facility - matures April 27, 2027, interest rates of 11.43% and 9.82% at September 30, 2023 and December 31, 2022,</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respectively</w:t>
            </w:r>
          </w:p>
        </w:tc>
        <w:tc>
          <w:tcPr>
            <w:tcW w:w="9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606,050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610,700</w:t>
            </w:r>
          </w:p>
        </w:tc>
        <w:tc>
          <w:tcPr>
            <w:tcW w:w="0" w:type="dxa"/>
            <w:vAlign w:val="bottom"/>
          </w:tcPr>
          <w:p>
            <w:pPr>
              <w:spacing w:after="0"/>
              <w:rPr>
                <w:sz w:val="1"/>
                <w:szCs w:val="1"/>
                <w:color w:val="auto"/>
              </w:rPr>
            </w:pPr>
          </w:p>
        </w:tc>
      </w:tr>
      <w:tr>
        <w:trPr>
          <w:trHeight w:val="148"/>
        </w:trPr>
        <w:tc>
          <w:tcPr>
            <w:tcW w:w="7100" w:type="dxa"/>
            <w:vAlign w:val="bottom"/>
            <w:gridSpan w:val="8"/>
          </w:tcPr>
          <w:p>
            <w:pPr>
              <w:ind w:left="20"/>
              <w:spacing w:after="0" w:line="149" w:lineRule="exact"/>
              <w:rPr>
                <w:sz w:val="20"/>
                <w:szCs w:val="20"/>
                <w:color w:val="auto"/>
              </w:rPr>
            </w:pPr>
            <w:r>
              <w:rPr>
                <w:rFonts w:ascii="Arial" w:cs="Arial" w:eastAsia="Arial" w:hAnsi="Arial"/>
                <w:sz w:val="14"/>
                <w:szCs w:val="14"/>
                <w:color w:val="auto"/>
                <w:w w:val="93"/>
              </w:rPr>
              <w:t>Revolving credit facility - $65.0 million line as of September 30, 2023 and $40.0 million as of December 31, 2022, matures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100" w:type="dxa"/>
            <w:vAlign w:val="bottom"/>
            <w:tcBorders>
              <w:bottom w:val="single" w:sz="8" w:color="CCEEFF"/>
            </w:tcBorders>
            <w:gridSpan w:val="8"/>
          </w:tcPr>
          <w:p>
            <w:pPr>
              <w:ind w:left="20"/>
              <w:spacing w:after="0"/>
              <w:rPr>
                <w:sz w:val="20"/>
                <w:szCs w:val="20"/>
                <w:color w:val="auto"/>
              </w:rPr>
            </w:pPr>
            <w:r>
              <w:rPr>
                <w:rFonts w:ascii="Arial" w:cs="Arial" w:eastAsia="Arial" w:hAnsi="Arial"/>
                <w:sz w:val="14"/>
                <w:szCs w:val="14"/>
                <w:color w:val="auto"/>
              </w:rPr>
              <w:t>April 27, 2026, interest rates of 10.20% and 8.82% at September 30, 2023 and December 31, 2022, respectively</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33,000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Total debt obligations</w:t>
            </w:r>
          </w:p>
        </w:tc>
        <w:tc>
          <w:tcPr>
            <w:tcW w:w="9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639,050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623,200</w:t>
            </w:r>
          </w:p>
        </w:tc>
        <w:tc>
          <w:tcPr>
            <w:tcW w:w="0" w:type="dxa"/>
            <w:vAlign w:val="bottom"/>
          </w:tcPr>
          <w:p>
            <w:pPr>
              <w:spacing w:after="0"/>
              <w:rPr>
                <w:sz w:val="1"/>
                <w:szCs w:val="1"/>
                <w:color w:val="auto"/>
              </w:rPr>
            </w:pPr>
          </w:p>
        </w:tc>
      </w:tr>
      <w:tr>
        <w:trPr>
          <w:trHeight w:val="180"/>
        </w:trPr>
        <w:tc>
          <w:tcPr>
            <w:tcW w:w="3280" w:type="dxa"/>
            <w:vAlign w:val="bottom"/>
          </w:tcPr>
          <w:p>
            <w:pPr>
              <w:ind w:left="20"/>
              <w:spacing w:after="0"/>
              <w:rPr>
                <w:sz w:val="20"/>
                <w:szCs w:val="20"/>
                <w:color w:val="auto"/>
              </w:rPr>
            </w:pPr>
            <w:r>
              <w:rPr>
                <w:rFonts w:ascii="Arial" w:cs="Arial" w:eastAsia="Arial" w:hAnsi="Arial"/>
                <w:sz w:val="14"/>
                <w:szCs w:val="14"/>
                <w:color w:val="auto"/>
              </w:rPr>
              <w:t>Less: current portion of long-term debt</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(6,200)</w:t>
            </w:r>
          </w:p>
        </w:tc>
        <w:tc>
          <w:tcPr>
            <w:tcW w:w="0" w:type="dxa"/>
            <w:vAlign w:val="bottom"/>
          </w:tcPr>
          <w:p>
            <w:pPr>
              <w:spacing w:after="0"/>
              <w:rPr>
                <w:sz w:val="1"/>
                <w:szCs w:val="1"/>
                <w:color w:val="auto"/>
              </w:rPr>
            </w:pPr>
          </w:p>
        </w:tc>
      </w:tr>
      <w:tr>
        <w:trPr>
          <w:trHeight w:val="181"/>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unamortized debt discounts and deferred financing costs</w:t>
            </w: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(16,069)</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(18,074)</w:t>
            </w:r>
          </w:p>
        </w:tc>
        <w:tc>
          <w:tcPr>
            <w:tcW w:w="0" w:type="dxa"/>
            <w:vAlign w:val="bottom"/>
          </w:tcPr>
          <w:p>
            <w:pPr>
              <w:spacing w:after="0"/>
              <w:rPr>
                <w:sz w:val="1"/>
                <w:szCs w:val="1"/>
                <w:color w:val="auto"/>
              </w:rPr>
            </w:pPr>
          </w:p>
        </w:tc>
      </w:tr>
      <w:tr>
        <w:trPr>
          <w:trHeight w:val="171"/>
        </w:trPr>
        <w:tc>
          <w:tcPr>
            <w:tcW w:w="3280" w:type="dxa"/>
            <w:vAlign w:val="bottom"/>
          </w:tcPr>
          <w:p>
            <w:pPr>
              <w:ind w:left="120"/>
              <w:spacing w:after="0"/>
              <w:rPr>
                <w:sz w:val="20"/>
                <w:szCs w:val="20"/>
                <w:color w:val="auto"/>
              </w:rPr>
            </w:pPr>
            <w:r>
              <w:rPr>
                <w:rFonts w:ascii="Arial" w:cs="Arial" w:eastAsia="Arial" w:hAnsi="Arial"/>
                <w:sz w:val="14"/>
                <w:szCs w:val="14"/>
                <w:b w:val="1"/>
                <w:bCs w:val="1"/>
                <w:color w:val="auto"/>
              </w:rPr>
              <w:t>Long-term debt, net</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76"/>
              </w:rPr>
              <w:t>$</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616,781</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598,926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Expense and Amortization of Deferred Loan Costs and Discounts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Deferred financing costs and debt discounts are amortized using the effective interest method over the remaining term of the respective debt and are recorded as a component of interest expense.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Unamortized deferred financing costs and debt discounts are included in long-term debt on the Company's Unaudited Consolidated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for outstanding debt, including fees for undrawn amounts and amortization of deferred financing costs and debt discounts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2022</w:t>
            </w:r>
          </w:p>
        </w:tc>
      </w:tr>
      <w:tr>
        <w:trPr>
          <w:trHeight w:val="171"/>
        </w:trPr>
        <w:tc>
          <w:tcPr>
            <w:tcW w:w="4080" w:type="dxa"/>
            <w:vAlign w:val="bottom"/>
            <w:shd w:val="clear" w:color="auto" w:fill="CCEEFF"/>
          </w:tcPr>
          <w:p>
            <w:pPr>
              <w:ind w:left="100"/>
              <w:spacing w:after="0" w:line="171" w:lineRule="exact"/>
              <w:rPr>
                <w:sz w:val="20"/>
                <w:szCs w:val="20"/>
                <w:color w:val="auto"/>
              </w:rPr>
            </w:pPr>
            <w:r>
              <w:rPr>
                <w:rFonts w:ascii="Arial" w:cs="Arial" w:eastAsia="Arial" w:hAnsi="Arial"/>
                <w:sz w:val="14"/>
                <w:szCs w:val="14"/>
                <w:color w:val="auto"/>
              </w:rPr>
              <w:t>Interest expense</w:t>
            </w:r>
            <w:r>
              <w:rPr>
                <w:rFonts w:ascii="Arial" w:cs="Arial" w:eastAsia="Arial" w:hAnsi="Arial"/>
                <w:sz w:val="18"/>
                <w:szCs w:val="18"/>
                <w:color w:val="auto"/>
                <w:vertAlign w:val="superscript"/>
              </w:rPr>
              <w:t>(1),(2)</w:t>
            </w:r>
          </w:p>
        </w:tc>
        <w:tc>
          <w:tcPr>
            <w:tcW w:w="1140" w:type="dxa"/>
            <w:vAlign w:val="bottom"/>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19,997</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0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55,461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right="160" w:hanging="260"/>
        <w:spacing w:after="0" w:line="228" w:lineRule="auto"/>
        <w:tabs>
          <w:tab w:leader="none" w:pos="51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Included in interest expense is $0.6 million and $0.8 million related to the accretion of contingent consideration from acquisitions for the three and nine months ended September 30, 2023, respectively, $0.1 million and $0.7 million for the three and nine months ended September 30, 2022, respectively.</w:t>
      </w:r>
    </w:p>
    <w:p>
      <w:pPr>
        <w:spacing w:after="0" w:line="159" w:lineRule="exact"/>
        <w:rPr>
          <w:rFonts w:ascii="Arial" w:cs="Arial" w:eastAsia="Arial" w:hAnsi="Arial"/>
          <w:sz w:val="18"/>
          <w:szCs w:val="18"/>
          <w:color w:val="auto"/>
          <w:vertAlign w:val="superscript"/>
        </w:rPr>
      </w:pPr>
    </w:p>
    <w:p>
      <w:pPr>
        <w:ind w:left="520" w:right="80" w:hanging="260"/>
        <w:spacing w:after="0" w:line="228" w:lineRule="auto"/>
        <w:tabs>
          <w:tab w:leader="none" w:pos="51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Interest expense included amortization of deferred financing costs and debt discounts of $1.0 million and $2.8 million for the three and nine months ended September 30, 2023, respectively, and $0.9 million and $2.6 million for the three and nine months ended September 30, 2022,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Third Amendment to the April 2021 Credit Agreement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On June 30, 2023, the Credit Agreement of the Company was amended to incorporate the following:</w:t>
      </w:r>
    </w:p>
    <w:p>
      <w:pPr>
        <w:spacing w:after="0" w:line="175" w:lineRule="exact"/>
        <w:rPr>
          <w:sz w:val="20"/>
          <w:szCs w:val="20"/>
          <w:color w:val="auto"/>
        </w:rPr>
      </w:pPr>
    </w:p>
    <w:p>
      <w:pPr>
        <w:ind w:left="520" w:hanging="260"/>
        <w:spacing w:after="0" w:line="241" w:lineRule="auto"/>
        <w:tabs>
          <w:tab w:leader="none" w:pos="512"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b w:val="1"/>
          <w:bCs w:val="1"/>
          <w:color w:val="auto"/>
        </w:rPr>
        <w:t>Reference rate</w:t>
      </w:r>
      <w:r>
        <w:rPr>
          <w:rFonts w:ascii="Arial" w:cs="Arial" w:eastAsia="Arial" w:hAnsi="Arial"/>
          <w:sz w:val="14"/>
          <w:szCs w:val="14"/>
          <w:color w:val="auto"/>
        </w:rPr>
        <w:t>: The reference rate for the calculation of interest on the Company’s term loan and revolving credit facility was amended from LIBOR to SOFR effective June 30, 2023. Per</w:t>
      </w:r>
      <w:r>
        <w:rPr>
          <w:rFonts w:ascii="Arial" w:cs="Arial" w:eastAsia="Arial" w:hAnsi="Arial"/>
          <w:sz w:val="14"/>
          <w:szCs w:val="14"/>
          <w:b w:val="1"/>
          <w:bCs w:val="1"/>
          <w:color w:val="auto"/>
        </w:rPr>
        <w:t xml:space="preserve"> </w:t>
      </w:r>
      <w:r>
        <w:rPr>
          <w:rFonts w:ascii="Arial" w:cs="Arial" w:eastAsia="Arial" w:hAnsi="Arial"/>
          <w:sz w:val="14"/>
          <w:szCs w:val="14"/>
          <w:color w:val="auto"/>
        </w:rPr>
        <w:t>the amended terms, the outstanding borrowings under the Credit Agreement interest will accrue using the SOFR rate plus a term SOFR adjustment plus an applicable margin per year, subject to a SOFR floor of 1.00% per year. The applicable interest rate as of September 30, 2023, for the revolving credit facility based on one-month SOFR was 10.20% and for the term facility based on three-month SOFR was 11.43%.</w:t>
      </w:r>
    </w:p>
    <w:p>
      <w:pPr>
        <w:spacing w:after="0" w:line="132" w:lineRule="exact"/>
        <w:rPr>
          <w:rFonts w:ascii="Arial" w:cs="Arial" w:eastAsia="Arial" w:hAnsi="Arial"/>
          <w:sz w:val="18"/>
          <w:szCs w:val="18"/>
          <w:color w:val="auto"/>
          <w:vertAlign w:val="superscript"/>
        </w:rPr>
      </w:pPr>
    </w:p>
    <w:p>
      <w:pPr>
        <w:ind w:left="500" w:hanging="240"/>
        <w:spacing w:after="0"/>
        <w:tabs>
          <w:tab w:leader="none" w:pos="5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b w:val="1"/>
          <w:bCs w:val="1"/>
          <w:color w:val="auto"/>
        </w:rPr>
        <w:t xml:space="preserve">Increase in the revolving credit facility: </w:t>
      </w:r>
      <w:r>
        <w:rPr>
          <w:rFonts w:ascii="Arial" w:cs="Arial" w:eastAsia="Arial" w:hAnsi="Arial"/>
          <w:sz w:val="14"/>
          <w:szCs w:val="14"/>
          <w:color w:val="auto"/>
        </w:rPr>
        <w:t>The amendments also resulted in an increase in the Company’s revolving credit facility from $40 million to $65 million.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Debt Covenants</w:t>
      </w:r>
    </w:p>
    <w:p>
      <w:pPr>
        <w:spacing w:after="0" w:line="179"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2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If the aggregate principal amount of outstanding revolving loans and letters of credit under the Credit Agreement exceeds 35% of the total revolving credit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September 30, 2023, the Company was in compliance with the covenants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724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903"/>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9.  Redeemable Senior Preferred Stock and Warrants</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0"/>
        </w:trPr>
        <w:tc>
          <w:tcPr>
            <w:tcW w:w="7240" w:type="dxa"/>
            <w:vAlign w:val="bottom"/>
            <w:gridSpan w:val="2"/>
          </w:tcPr>
          <w:p>
            <w:pPr>
              <w:spacing w:after="0"/>
              <w:rPr>
                <w:sz w:val="20"/>
                <w:szCs w:val="20"/>
                <w:color w:val="auto"/>
              </w:rPr>
            </w:pPr>
            <w:r>
              <w:rPr>
                <w:rFonts w:ascii="Arial" w:cs="Arial" w:eastAsia="Arial" w:hAnsi="Arial"/>
                <w:sz w:val="14"/>
                <w:szCs w:val="14"/>
                <w:color w:val="auto"/>
                <w:w w:val="99"/>
              </w:rPr>
              <w:t>The following table provides the redemption value of the redeemable senior preferred stock for the periods presented:</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2"/>
        </w:trPr>
        <w:tc>
          <w:tcPr>
            <w:tcW w:w="72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24"/>
                <w:szCs w:val="24"/>
                <w:color w:val="auto"/>
              </w:rPr>
            </w:pPr>
          </w:p>
        </w:tc>
        <w:tc>
          <w:tcPr>
            <w:tcW w:w="1720" w:type="dxa"/>
            <w:vAlign w:val="bottom"/>
          </w:tcPr>
          <w:p>
            <w:pPr>
              <w:jc w:val="right"/>
              <w:ind w:right="349"/>
              <w:spacing w:after="0"/>
              <w:rPr>
                <w:sz w:val="20"/>
                <w:szCs w:val="20"/>
                <w:color w:val="auto"/>
              </w:rPr>
            </w:pPr>
            <w:r>
              <w:rPr>
                <w:rFonts w:ascii="Arial" w:cs="Arial" w:eastAsia="Arial" w:hAnsi="Arial"/>
                <w:sz w:val="14"/>
                <w:szCs w:val="14"/>
                <w:b w:val="1"/>
                <w:bCs w:val="1"/>
                <w:color w:val="auto"/>
              </w:rPr>
              <w:t>December 31, 2022</w:t>
            </w:r>
          </w:p>
        </w:tc>
      </w:tr>
      <w:tr>
        <w:trPr>
          <w:trHeight w:val="171"/>
        </w:trPr>
        <w:tc>
          <w:tcPr>
            <w:tcW w:w="7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Redeemable senior preferred stock</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225,000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225,000</w:t>
            </w:r>
          </w:p>
        </w:tc>
      </w:tr>
      <w:tr>
        <w:trPr>
          <w:trHeight w:val="180"/>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Accumulated unpaid dividend</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38,880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25,498</w:t>
            </w:r>
          </w:p>
        </w:tc>
      </w:tr>
      <w:tr>
        <w:trPr>
          <w:trHeight w:val="181"/>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payable</w:t>
            </w:r>
          </w:p>
        </w:tc>
        <w:tc>
          <w:tcPr>
            <w:tcW w:w="2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5,341</w:t>
            </w:r>
          </w:p>
        </w:tc>
      </w:tr>
      <w:tr>
        <w:trPr>
          <w:trHeight w:val="171"/>
        </w:trPr>
        <w:tc>
          <w:tcPr>
            <w:tcW w:w="72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Redemption value</w:t>
            </w:r>
          </w:p>
        </w:tc>
        <w:tc>
          <w:tcPr>
            <w:tcW w:w="2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270,690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255,839</w:t>
            </w:r>
          </w:p>
        </w:tc>
      </w:tr>
      <w:tr>
        <w:trPr>
          <w:trHeight w:val="18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unamortized discounts and issuance costs</w:t>
            </w:r>
          </w:p>
        </w:tc>
        <w:tc>
          <w:tcPr>
            <w:tcW w:w="2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(17,767)</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(20,260)</w:t>
            </w:r>
          </w:p>
        </w:tc>
      </w:tr>
      <w:tr>
        <w:trPr>
          <w:trHeight w:val="171"/>
        </w:trPr>
        <w:tc>
          <w:tcPr>
            <w:tcW w:w="7240" w:type="dxa"/>
            <w:vAlign w:val="bottom"/>
            <w:gridSpan w:val="2"/>
          </w:tcPr>
          <w:p>
            <w:pPr>
              <w:ind w:left="20"/>
              <w:spacing w:after="0"/>
              <w:rPr>
                <w:sz w:val="20"/>
                <w:szCs w:val="20"/>
                <w:color w:val="auto"/>
              </w:rPr>
            </w:pPr>
            <w:r>
              <w:rPr>
                <w:rFonts w:ascii="Arial" w:cs="Arial" w:eastAsia="Arial" w:hAnsi="Arial"/>
                <w:sz w:val="14"/>
                <w:szCs w:val="14"/>
                <w:b w:val="1"/>
                <w:bCs w:val="1"/>
                <w:color w:val="auto"/>
              </w:rPr>
              <w:t>Redeemable senior preferred stock, net of discounts and issuance costs: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252,923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235,579</w:t>
            </w:r>
          </w:p>
        </w:tc>
      </w:tr>
      <w:tr>
        <w:trPr>
          <w:trHeight w:val="20"/>
        </w:trPr>
        <w:tc>
          <w:tcPr>
            <w:tcW w:w="10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a reconciliation of the beginning and ending carrying amounts of the redeemable senior preferred stock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235,579</w:t>
            </w:r>
          </w:p>
        </w:tc>
        <w:tc>
          <w:tcPr>
            <w:tcW w:w="0" w:type="dxa"/>
            <w:vAlign w:val="bottom"/>
          </w:tcPr>
          <w:p>
            <w:pPr>
              <w:spacing w:after="0"/>
              <w:rPr>
                <w:sz w:val="1"/>
                <w:szCs w:val="1"/>
                <w:color w:val="auto"/>
              </w:rPr>
            </w:pPr>
          </w:p>
        </w:tc>
      </w:tr>
      <w:tr>
        <w:trPr>
          <w:trHeight w:val="180"/>
        </w:trPr>
        <w:tc>
          <w:tcPr>
            <w:tcW w:w="5080" w:type="dxa"/>
            <w:vAlign w:val="bottom"/>
          </w:tcPr>
          <w:p>
            <w:pPr>
              <w:ind w:left="100"/>
              <w:spacing w:after="0"/>
              <w:rPr>
                <w:sz w:val="20"/>
                <w:szCs w:val="20"/>
                <w:color w:val="auto"/>
              </w:rPr>
            </w:pPr>
            <w:r>
              <w:rPr>
                <w:rFonts w:ascii="Arial" w:cs="Arial" w:eastAsia="Arial" w:hAnsi="Arial"/>
                <w:sz w:val="14"/>
                <w:szCs w:val="14"/>
                <w:color w:val="auto"/>
                <w:w w:val="92"/>
              </w:rPr>
              <w:t>Payment of cash portion of dividend and ticking fee outstanding at December 31, 2022</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(5,341)</w:t>
            </w:r>
          </w:p>
        </w:tc>
        <w:tc>
          <w:tcPr>
            <w:tcW w:w="0" w:type="dxa"/>
            <w:vAlign w:val="bottom"/>
          </w:tcPr>
          <w:p>
            <w:pPr>
              <w:spacing w:after="0"/>
              <w:rPr>
                <w:sz w:val="1"/>
                <w:szCs w:val="1"/>
                <w:color w:val="auto"/>
              </w:rPr>
            </w:pPr>
          </w:p>
        </w:tc>
      </w:tr>
      <w:tr>
        <w:trPr>
          <w:trHeight w:val="181"/>
        </w:trPr>
        <w:tc>
          <w:tcPr>
            <w:tcW w:w="5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Unpaid dividend on redeemable senior preferred stock</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4,383</w:t>
            </w:r>
          </w:p>
        </w:tc>
        <w:tc>
          <w:tcPr>
            <w:tcW w:w="0" w:type="dxa"/>
            <w:vAlign w:val="bottom"/>
          </w:tcPr>
          <w:p>
            <w:pPr>
              <w:spacing w:after="0"/>
              <w:rPr>
                <w:sz w:val="1"/>
                <w:szCs w:val="1"/>
                <w:color w:val="auto"/>
              </w:rPr>
            </w:pPr>
          </w:p>
        </w:tc>
      </w:tr>
      <w:tr>
        <w:trPr>
          <w:trHeight w:val="180"/>
        </w:trPr>
        <w:tc>
          <w:tcPr>
            <w:tcW w:w="5080" w:type="dxa"/>
            <w:vAlign w:val="bottom"/>
          </w:tcPr>
          <w:p>
            <w:pPr>
              <w:ind w:left="100"/>
              <w:spacing w:after="0"/>
              <w:rPr>
                <w:sz w:val="20"/>
                <w:szCs w:val="20"/>
                <w:color w:val="auto"/>
              </w:rPr>
            </w:pPr>
            <w:r>
              <w:rPr>
                <w:rFonts w:ascii="Arial" w:cs="Arial" w:eastAsia="Arial" w:hAnsi="Arial"/>
                <w:sz w:val="14"/>
                <w:szCs w:val="14"/>
                <w:color w:val="auto"/>
              </w:rPr>
              <w:t>Accretion of discounts and issuance costs</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171"/>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March 31, 2023</w:t>
            </w:r>
          </w:p>
        </w:tc>
        <w:tc>
          <w:tcPr>
            <w:tcW w:w="2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235,439</w:t>
            </w:r>
          </w:p>
        </w:tc>
        <w:tc>
          <w:tcPr>
            <w:tcW w:w="0" w:type="dxa"/>
            <w:vAlign w:val="bottom"/>
          </w:tcPr>
          <w:p>
            <w:pPr>
              <w:spacing w:after="0"/>
              <w:rPr>
                <w:sz w:val="1"/>
                <w:szCs w:val="1"/>
                <w:color w:val="auto"/>
              </w:rPr>
            </w:pPr>
          </w:p>
        </w:tc>
      </w:tr>
      <w:tr>
        <w:trPr>
          <w:trHeight w:val="180"/>
        </w:trPr>
        <w:tc>
          <w:tcPr>
            <w:tcW w:w="5080" w:type="dxa"/>
            <w:vAlign w:val="bottom"/>
          </w:tcPr>
          <w:p>
            <w:pPr>
              <w:ind w:left="100"/>
              <w:spacing w:after="0"/>
              <w:rPr>
                <w:sz w:val="20"/>
                <w:szCs w:val="20"/>
                <w:color w:val="auto"/>
              </w:rPr>
            </w:pPr>
            <w:r>
              <w:rPr>
                <w:rFonts w:ascii="Arial" w:cs="Arial" w:eastAsia="Arial" w:hAnsi="Arial"/>
                <w:sz w:val="14"/>
                <w:szCs w:val="14"/>
                <w:color w:val="auto"/>
              </w:rPr>
              <w:t>Unpaid dividend on redeemable senior preferred stock</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4,461</w:t>
            </w:r>
          </w:p>
        </w:tc>
        <w:tc>
          <w:tcPr>
            <w:tcW w:w="0" w:type="dxa"/>
            <w:vAlign w:val="bottom"/>
          </w:tcPr>
          <w:p>
            <w:pPr>
              <w:spacing w:after="0"/>
              <w:rPr>
                <w:sz w:val="1"/>
                <w:szCs w:val="1"/>
                <w:color w:val="auto"/>
              </w:rPr>
            </w:pPr>
          </w:p>
        </w:tc>
      </w:tr>
      <w:tr>
        <w:trPr>
          <w:trHeight w:val="181"/>
        </w:trPr>
        <w:tc>
          <w:tcPr>
            <w:tcW w:w="5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Accretion of discounts and issuance costs</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171"/>
        </w:trPr>
        <w:tc>
          <w:tcPr>
            <w:tcW w:w="5080" w:type="dxa"/>
            <w:vAlign w:val="bottom"/>
          </w:tcPr>
          <w:p>
            <w:pPr>
              <w:ind w:left="20"/>
              <w:spacing w:after="0"/>
              <w:rPr>
                <w:sz w:val="20"/>
                <w:szCs w:val="20"/>
                <w:color w:val="auto"/>
              </w:rPr>
            </w:pPr>
            <w:r>
              <w:rPr>
                <w:rFonts w:ascii="Arial" w:cs="Arial" w:eastAsia="Arial" w:hAnsi="Arial"/>
                <w:sz w:val="14"/>
                <w:szCs w:val="14"/>
                <w:color w:val="auto"/>
              </w:rPr>
              <w:t>June 30, 2023</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240,731</w:t>
            </w:r>
          </w:p>
        </w:tc>
        <w:tc>
          <w:tcPr>
            <w:tcW w:w="0" w:type="dxa"/>
            <w:vAlign w:val="bottom"/>
          </w:tcPr>
          <w:p>
            <w:pPr>
              <w:spacing w:after="0"/>
              <w:rPr>
                <w:sz w:val="1"/>
                <w:szCs w:val="1"/>
                <w:color w:val="auto"/>
              </w:rPr>
            </w:pPr>
          </w:p>
        </w:tc>
      </w:tr>
      <w:tr>
        <w:trPr>
          <w:trHeight w:val="181"/>
        </w:trPr>
        <w:tc>
          <w:tcPr>
            <w:tcW w:w="5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Unpaid dividend on redeemable senior preferred stock</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4,538</w:t>
            </w:r>
          </w:p>
        </w:tc>
        <w:tc>
          <w:tcPr>
            <w:tcW w:w="0" w:type="dxa"/>
            <w:vAlign w:val="bottom"/>
          </w:tcPr>
          <w:p>
            <w:pPr>
              <w:spacing w:after="0"/>
              <w:rPr>
                <w:sz w:val="1"/>
                <w:szCs w:val="1"/>
                <w:color w:val="auto"/>
              </w:rPr>
            </w:pPr>
          </w:p>
        </w:tc>
      </w:tr>
      <w:tr>
        <w:trPr>
          <w:trHeight w:val="180"/>
        </w:trPr>
        <w:tc>
          <w:tcPr>
            <w:tcW w:w="5080" w:type="dxa"/>
            <w:vAlign w:val="bottom"/>
          </w:tcPr>
          <w:p>
            <w:pPr>
              <w:ind w:left="100"/>
              <w:spacing w:after="0"/>
              <w:rPr>
                <w:sz w:val="20"/>
                <w:szCs w:val="20"/>
                <w:color w:val="auto"/>
              </w:rPr>
            </w:pPr>
            <w:r>
              <w:rPr>
                <w:rFonts w:ascii="Arial" w:cs="Arial" w:eastAsia="Arial" w:hAnsi="Arial"/>
                <w:sz w:val="14"/>
                <w:szCs w:val="14"/>
                <w:color w:val="auto"/>
              </w:rPr>
              <w:t>Accretion of discounts and issuance cost</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181"/>
        </w:trPr>
        <w:tc>
          <w:tcPr>
            <w:tcW w:w="5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portion of dividend outstanding at September 30, 2023</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6,810</w:t>
            </w:r>
          </w:p>
        </w:tc>
        <w:tc>
          <w:tcPr>
            <w:tcW w:w="0" w:type="dxa"/>
            <w:vAlign w:val="bottom"/>
          </w:tcPr>
          <w:p>
            <w:pPr>
              <w:spacing w:after="0"/>
              <w:rPr>
                <w:sz w:val="1"/>
                <w:szCs w:val="1"/>
                <w:color w:val="auto"/>
              </w:rPr>
            </w:pPr>
          </w:p>
        </w:tc>
      </w:tr>
      <w:tr>
        <w:trPr>
          <w:trHeight w:val="171"/>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225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252,923</w:t>
            </w:r>
          </w:p>
        </w:tc>
        <w:tc>
          <w:tcPr>
            <w:tcW w:w="0" w:type="dxa"/>
            <w:vAlign w:val="bottom"/>
          </w:tcPr>
          <w:p>
            <w:pPr>
              <w:spacing w:after="0"/>
              <w:rPr>
                <w:sz w:val="1"/>
                <w:szCs w:val="1"/>
                <w:color w:val="auto"/>
              </w:rPr>
            </w:pPr>
          </w:p>
        </w:tc>
      </w:tr>
      <w:tr>
        <w:trPr>
          <w:trHeight w:val="20"/>
        </w:trPr>
        <w:tc>
          <w:tcPr>
            <w:tcW w:w="6660" w:type="dxa"/>
            <w:vAlign w:val="bottom"/>
            <w:gridSpan w:val="4"/>
            <w:vMerge w:val="restart"/>
          </w:tcPr>
          <w:p>
            <w:pPr>
              <w:spacing w:after="0"/>
              <w:rPr>
                <w:sz w:val="20"/>
                <w:szCs w:val="20"/>
                <w:color w:val="auto"/>
              </w:rPr>
            </w:pPr>
            <w:r>
              <w:rPr>
                <w:rFonts w:ascii="Arial" w:cs="Arial" w:eastAsia="Arial" w:hAnsi="Arial"/>
                <w:sz w:val="14"/>
                <w:szCs w:val="14"/>
                <w:color w:val="auto"/>
              </w:rPr>
              <w:t>The dividend rate as of September 30, 2023 and December 31, 2022, was 17.5% and 15.7% respectively.</w:t>
            </w: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6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080" w:type="dxa"/>
            <w:vAlign w:val="bottom"/>
          </w:tcPr>
          <w:p>
            <w:pPr>
              <w:spacing w:after="0"/>
              <w:rPr>
                <w:sz w:val="20"/>
                <w:szCs w:val="20"/>
                <w:color w:val="auto"/>
              </w:rPr>
            </w:pPr>
            <w:r>
              <w:rPr>
                <w:rFonts w:ascii="Arial" w:cs="Arial" w:eastAsia="Arial" w:hAnsi="Arial"/>
                <w:sz w:val="14"/>
                <w:szCs w:val="14"/>
                <w:color w:val="auto"/>
              </w:rPr>
              <w:t>The following table provides a summary of the dividends for the period presented:</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900" w:type="dxa"/>
            <w:vAlign w:val="bottom"/>
            <w:gridSpan w:val="7"/>
          </w:tcPr>
          <w:p>
            <w:pPr>
              <w:jc w:val="right"/>
              <w:ind w:right="38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line="171" w:lineRule="exact"/>
              <w:rPr>
                <w:sz w:val="20"/>
                <w:szCs w:val="20"/>
                <w:color w:val="auto"/>
              </w:rPr>
            </w:pPr>
            <w:r>
              <w:rPr>
                <w:rFonts w:ascii="Arial" w:cs="Arial" w:eastAsia="Arial" w:hAnsi="Arial"/>
                <w:sz w:val="14"/>
                <w:szCs w:val="14"/>
                <w:color w:val="auto"/>
              </w:rPr>
              <w:t>Dividends paid in cash</w:t>
            </w:r>
            <w:r>
              <w:rPr>
                <w:rFonts w:ascii="Arial" w:cs="Arial" w:eastAsia="Arial" w:hAnsi="Arial"/>
                <w:sz w:val="18"/>
                <w:szCs w:val="18"/>
                <w:color w:val="auto"/>
                <w:vertAlign w:val="superscript"/>
              </w:rPr>
              <w:t>(1)</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11,478</w:t>
            </w:r>
          </w:p>
        </w:tc>
        <w:tc>
          <w:tcPr>
            <w:tcW w:w="0" w:type="dxa"/>
            <w:vAlign w:val="bottom"/>
          </w:tcPr>
          <w:p>
            <w:pPr>
              <w:spacing w:after="0"/>
              <w:rPr>
                <w:sz w:val="1"/>
                <w:szCs w:val="1"/>
                <w:color w:val="auto"/>
              </w:rPr>
            </w:pPr>
          </w:p>
        </w:tc>
      </w:tr>
      <w:tr>
        <w:trPr>
          <w:trHeight w:val="148"/>
        </w:trPr>
        <w:tc>
          <w:tcPr>
            <w:tcW w:w="5080" w:type="dxa"/>
            <w:vAlign w:val="bottom"/>
          </w:tcPr>
          <w:p>
            <w:pPr>
              <w:ind w:left="20"/>
              <w:spacing w:after="0" w:line="149" w:lineRule="exact"/>
              <w:rPr>
                <w:sz w:val="20"/>
                <w:szCs w:val="20"/>
                <w:color w:val="auto"/>
              </w:rPr>
            </w:pPr>
            <w:r>
              <w:rPr>
                <w:rFonts w:ascii="Arial" w:cs="Arial" w:eastAsia="Arial" w:hAnsi="Arial"/>
                <w:sz w:val="14"/>
                <w:szCs w:val="14"/>
                <w:color w:val="auto"/>
                <w:w w:val="98"/>
              </w:rPr>
              <w:t>Accumulated dividends accrued as part of the carrying value of redeemable senior</w:t>
            </w:r>
          </w:p>
        </w:tc>
        <w:tc>
          <w:tcPr>
            <w:tcW w:w="2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4,538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4,234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13,382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12,485</w:t>
            </w:r>
          </w:p>
        </w:tc>
        <w:tc>
          <w:tcPr>
            <w:tcW w:w="0" w:type="dxa"/>
            <w:vAlign w:val="bottom"/>
          </w:tcPr>
          <w:p>
            <w:pPr>
              <w:spacing w:after="0"/>
              <w:rPr>
                <w:sz w:val="1"/>
                <w:szCs w:val="1"/>
                <w:color w:val="auto"/>
              </w:rPr>
            </w:pPr>
          </w:p>
        </w:tc>
      </w:tr>
      <w:tr>
        <w:trPr>
          <w:trHeight w:val="106"/>
        </w:trPr>
        <w:tc>
          <w:tcPr>
            <w:tcW w:w="5080" w:type="dxa"/>
            <w:vAlign w:val="bottom"/>
            <w:vMerge w:val="restart"/>
          </w:tcPr>
          <w:p>
            <w:pPr>
              <w:ind w:left="20"/>
              <w:spacing w:after="0"/>
              <w:rPr>
                <w:sz w:val="20"/>
                <w:szCs w:val="20"/>
                <w:color w:val="auto"/>
              </w:rPr>
            </w:pPr>
            <w:r>
              <w:rPr>
                <w:rFonts w:ascii="Arial" w:cs="Arial" w:eastAsia="Arial" w:hAnsi="Arial"/>
                <w:sz w:val="14"/>
                <w:szCs w:val="14"/>
                <w:color w:val="auto"/>
              </w:rPr>
              <w:t>preferred stock</w:t>
            </w:r>
          </w:p>
        </w:tc>
        <w:tc>
          <w:tcPr>
            <w:tcW w:w="2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508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Dividends declared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11,348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8,636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32,759</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23,963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8"/>
          <w:szCs w:val="18"/>
          <w:color w:val="212529"/>
          <w:vertAlign w:val="superscript"/>
        </w:rPr>
      </w:pPr>
      <w:r>
        <w:rPr>
          <w:rFonts w:ascii="Arial" w:cs="Arial" w:eastAsia="Arial" w:hAnsi="Arial"/>
          <w:sz w:val="14"/>
          <w:szCs w:val="14"/>
          <w:color w:val="212529"/>
        </w:rPr>
        <w:t>Dividend payable for the three months ended September 30, 2023 paid on October 2, 2023.</w:t>
      </w:r>
    </w:p>
    <w:p>
      <w:pPr>
        <w:spacing w:after="0" w:line="160"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On June 30, 2023, the Company amended the Certificate of Designation of its redeemable senior preferred stock to transition the reference rate used for the calculation of dividends from LIBOR to SOFR. Under the Amended Certificate of Designation, the dividend rate (capped at 22.50%) will be equal to the three-month term SOFR (minimum of 1.00%), plus the three-month term SOFR spread adjustment of 0.26% plus the applicable margin of 12.00%. All other terms in the agreement were unchanged. For the three months ended September 30, 2023, SOFR is the reference rate for calculation of the dividend. The dividend rate is subject to future increases if the Company doesn't comply with the minimum cash payment requirements outlined in the agreement, which includes required payments of dividends, required payments related to redemption or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color w:val="auto"/>
        </w:rPr>
        <w:t>prepayments. The dividend rate may also increase if the Company fails to obtain the required stockholder approval for a forced sale transaction triggered by investors or if an event of default as outlined in the agreement occurs.</w:t>
      </w:r>
    </w:p>
    <w:p>
      <w:pPr>
        <w:spacing w:after="0" w:line="132"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In 2021, the Company issued warrants to purchase up to 1,803,841 shares of the Common Stock, at an exercise price of $0.001. As of September 30, 2023, none of the warrants have been exercised. The warrants are considered to be equity contracts indexed in the Company's own shares and therefore were recorded at their inception date relative fair value and are included in additional paid-in capital on the Company's Unaudited Consolidated Balance Sheets.</w:t>
      </w:r>
    </w:p>
    <w:p>
      <w:pPr>
        <w:spacing w:after="0" w:line="200" w:lineRule="exact"/>
        <w:rPr>
          <w:sz w:val="20"/>
          <w:szCs w:val="20"/>
          <w:color w:val="auto"/>
        </w:rPr>
      </w:pPr>
    </w:p>
    <w:p>
      <w:pPr>
        <w:spacing w:after="0" w:line="29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2"/>
          <w:szCs w:val="12"/>
          <w:b w:val="1"/>
          <w:bCs w:val="1"/>
          <w:color w:val="auto"/>
        </w:rPr>
        <w:t>Income Taxes</w:t>
      </w:r>
    </w:p>
    <w:p>
      <w:pPr>
        <w:spacing w:after="0" w:line="183" w:lineRule="exact"/>
        <w:rPr>
          <w:sz w:val="20"/>
          <w:szCs w:val="20"/>
          <w:color w:val="auto"/>
        </w:rPr>
      </w:pPr>
    </w:p>
    <w:p>
      <w:pPr>
        <w:jc w:val="both"/>
        <w:ind w:right="120"/>
        <w:spacing w:after="0" w:line="267" w:lineRule="auto"/>
        <w:rPr>
          <w:sz w:val="20"/>
          <w:szCs w:val="20"/>
          <w:color w:val="auto"/>
        </w:rPr>
      </w:pPr>
      <w:r>
        <w:rPr>
          <w:rFonts w:ascii="Arial" w:cs="Arial" w:eastAsia="Arial" w:hAnsi="Arial"/>
          <w:sz w:val="14"/>
          <w:szCs w:val="14"/>
          <w:color w:val="auto"/>
        </w:rPr>
        <w:t>The Company's consolidated effective income tax rate for the three and nine months ended September 30, 2023, was 102.1% and 122.5%, respectively, compared to a consolidated effective income tax rate of 188.1% and 184.2% for the three and nine months ended September 30, 2022, respectively. The effective rates differed from the statutory rate of 21.0% primarily due to an increase in the valuation allowance against certain business interest carryover deferred tax assets.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 Allowance for Deferred Income Tax Assets</w:t>
      </w:r>
    </w:p>
    <w:p>
      <w:pPr>
        <w:spacing w:after="0" w:line="179" w:lineRule="exact"/>
        <w:rPr>
          <w:sz w:val="20"/>
          <w:szCs w:val="20"/>
          <w:color w:val="auto"/>
        </w:rPr>
      </w:pPr>
    </w:p>
    <w:p>
      <w:pPr>
        <w:jc w:val="both"/>
        <w:ind w:right="220"/>
        <w:spacing w:after="0" w:line="267" w:lineRule="auto"/>
        <w:rPr>
          <w:sz w:val="20"/>
          <w:szCs w:val="20"/>
          <w:color w:val="auto"/>
        </w:rPr>
      </w:pPr>
      <w:r>
        <w:rPr>
          <w:rFonts w:ascii="Arial" w:cs="Arial" w:eastAsia="Arial" w:hAnsi="Arial"/>
          <w:sz w:val="14"/>
          <w:szCs w:val="14"/>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Arial" w:cs="Arial" w:eastAsia="Arial" w:hAnsi="Arial"/>
          <w:sz w:val="14"/>
          <w:szCs w:val="14"/>
          <w:i w:val="1"/>
          <w:iCs w:val="1"/>
          <w:color w:val="auto"/>
        </w:rPr>
        <w:t>Income Taxes</w:t>
      </w:r>
      <w:r>
        <w:rPr>
          <w:rFonts w:ascii="Arial" w:cs="Arial" w:eastAsia="Arial" w:hAnsi="Arial"/>
          <w:sz w:val="14"/>
          <w:szCs w:val="14"/>
          <w:color w:val="auto"/>
        </w:rPr>
        <w:t>, the Company is required to provide a valuation allowance against deferred income tax assets when it is "more likely than not" that some portion or all of the deferred tax assets will not be realized.</w:t>
      </w:r>
    </w:p>
    <w:p>
      <w:pPr>
        <w:spacing w:after="0" w:line="142" w:lineRule="exact"/>
        <w:rPr>
          <w:sz w:val="20"/>
          <w:szCs w:val="20"/>
          <w:color w:val="auto"/>
        </w:rPr>
      </w:pPr>
    </w:p>
    <w:p>
      <w:pPr>
        <w:jc w:val="both"/>
        <w:ind w:right="240"/>
        <w:spacing w:after="0" w:line="281" w:lineRule="auto"/>
        <w:rPr>
          <w:sz w:val="20"/>
          <w:szCs w:val="20"/>
          <w:color w:val="auto"/>
        </w:rPr>
      </w:pPr>
      <w:r>
        <w:rPr>
          <w:rFonts w:ascii="Arial" w:cs="Arial" w:eastAsia="Arial" w:hAnsi="Arial"/>
          <w:sz w:val="14"/>
          <w:szCs w:val="14"/>
          <w:color w:val="auto"/>
        </w:rPr>
        <w:t>Based on management's assessment, as of September 30, 2023,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200" w:lineRule="exact"/>
        <w:rPr>
          <w:sz w:val="20"/>
          <w:szCs w:val="20"/>
          <w:color w:val="auto"/>
        </w:rPr>
      </w:pPr>
    </w:p>
    <w:p>
      <w:pPr>
        <w:spacing w:after="0" w:line="289" w:lineRule="exact"/>
        <w:rPr>
          <w:sz w:val="20"/>
          <w:szCs w:val="20"/>
          <w:color w:val="auto"/>
        </w:rPr>
      </w:pPr>
    </w:p>
    <w:p>
      <w:pPr>
        <w:ind w:left="360" w:hanging="355"/>
        <w:spacing w:after="0"/>
        <w:tabs>
          <w:tab w:leader="none" w:pos="36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Deficit</w:t>
      </w:r>
    </w:p>
    <w:p>
      <w:pPr>
        <w:spacing w:after="0" w:line="183"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color w:val="auto"/>
        </w:rPr>
        <w:t>The Company is authorized to issue 100,000,000 shares of preferred stock with such designations, voting and other rights and preferences as may be determined from time to time by the Board of Directors. As of September 30, 2023 and December 31, 2022, the Company has not issued any shares of preferred stock.</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 Program</w:t>
      </w:r>
    </w:p>
    <w:p>
      <w:pPr>
        <w:spacing w:after="0" w:line="179" w:lineRule="exact"/>
        <w:rPr>
          <w:sz w:val="20"/>
          <w:szCs w:val="20"/>
          <w:color w:val="auto"/>
        </w:rPr>
      </w:pPr>
    </w:p>
    <w:p>
      <w:pPr>
        <w:ind w:right="320"/>
        <w:spacing w:after="0" w:line="267" w:lineRule="auto"/>
        <w:rPr>
          <w:sz w:val="20"/>
          <w:szCs w:val="20"/>
          <w:color w:val="auto"/>
        </w:rPr>
      </w:pPr>
      <w:r>
        <w:rPr>
          <w:rFonts w:ascii="Arial" w:cs="Arial" w:eastAsia="Arial" w:hAnsi="Arial"/>
          <w:sz w:val="14"/>
          <w:szCs w:val="14"/>
          <w:color w:val="auto"/>
        </w:rPr>
        <w:t>During the second quarter of 2022, PRTH's Board of Directors authorized a general share repurchase program under which the Company may purchase up to 2.0 million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data, which is in whole units</w:t>
            </w:r>
          </w:p>
        </w:tc>
        <w:tc>
          <w:tcPr>
            <w:tcW w:w="240" w:type="dxa"/>
            <w:vAlign w:val="bottom"/>
          </w:tcPr>
          <w:p>
            <w:pPr>
              <w:spacing w:after="0"/>
              <w:rPr>
                <w:sz w:val="16"/>
                <w:szCs w:val="16"/>
                <w:color w:val="auto"/>
              </w:rPr>
            </w:pPr>
          </w:p>
        </w:tc>
        <w:tc>
          <w:tcPr>
            <w:tcW w:w="1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6"/>
                <w:szCs w:val="16"/>
                <w:color w:val="auto"/>
              </w:rPr>
            </w:pPr>
          </w:p>
        </w:tc>
        <w:tc>
          <w:tcPr>
            <w:tcW w:w="1680" w:type="dxa"/>
            <w:vAlign w:val="bottom"/>
          </w:tcPr>
          <w:p>
            <w:pPr>
              <w:jc w:val="right"/>
              <w:ind w:right="329"/>
              <w:spacing w:after="0"/>
              <w:rPr>
                <w:sz w:val="20"/>
                <w:szCs w:val="20"/>
                <w:color w:val="auto"/>
              </w:rPr>
            </w:pPr>
            <w:r>
              <w:rPr>
                <w:rFonts w:ascii="Arial" w:cs="Arial" w:eastAsia="Arial" w:hAnsi="Arial"/>
                <w:sz w:val="14"/>
                <w:szCs w:val="14"/>
                <w:b w:val="1"/>
                <w:bCs w:val="1"/>
                <w:color w:val="auto"/>
                <w:w w:val="99"/>
              </w:rPr>
              <w:t>December 31, 2022</w:t>
            </w:r>
          </w:p>
        </w:tc>
      </w:tr>
      <w:tr>
        <w:trPr>
          <w:trHeight w:val="171"/>
        </w:trPr>
        <w:tc>
          <w:tcPr>
            <w:tcW w:w="7240" w:type="dxa"/>
            <w:vAlign w:val="bottom"/>
            <w:tcBorders>
              <w:top w:val="single" w:sz="8" w:color="CCEEFF"/>
            </w:tcBorders>
            <w:shd w:val="clear" w:color="auto" w:fill="CCEEFF"/>
          </w:tcPr>
          <w:p>
            <w:pPr>
              <w:ind w:left="20"/>
              <w:spacing w:after="0" w:line="171" w:lineRule="exact"/>
              <w:rPr>
                <w:sz w:val="20"/>
                <w:szCs w:val="20"/>
                <w:color w:val="auto"/>
              </w:rPr>
            </w:pPr>
            <w:r>
              <w:rPr>
                <w:rFonts w:ascii="Arial" w:cs="Arial" w:eastAsia="Arial" w:hAnsi="Arial"/>
                <w:sz w:val="14"/>
                <w:szCs w:val="14"/>
                <w:color w:val="auto"/>
              </w:rPr>
              <w:t>Number of shares purchased</w:t>
            </w:r>
            <w:r>
              <w:rPr>
                <w:rFonts w:ascii="Arial" w:cs="Arial" w:eastAsia="Arial" w:hAnsi="Arial"/>
                <w:sz w:val="18"/>
                <w:szCs w:val="18"/>
                <w:color w:val="auto"/>
                <w:vertAlign w:val="superscript"/>
              </w:rPr>
              <w:t>(1)</w:t>
            </w:r>
          </w:p>
        </w:tc>
        <w:tc>
          <w:tcPr>
            <w:tcW w:w="240" w:type="dxa"/>
            <w:vAlign w:val="bottom"/>
            <w:tcBorders>
              <w:top w:val="single" w:sz="8" w:color="auto"/>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1,309,374</w:t>
            </w:r>
          </w:p>
        </w:tc>
      </w:tr>
      <w:tr>
        <w:trPr>
          <w:trHeight w:val="180"/>
        </w:trPr>
        <w:tc>
          <w:tcPr>
            <w:tcW w:w="7240" w:type="dxa"/>
            <w:vAlign w:val="bottom"/>
          </w:tcPr>
          <w:p>
            <w:pPr>
              <w:ind w:left="20"/>
              <w:spacing w:after="0"/>
              <w:rPr>
                <w:sz w:val="20"/>
                <w:szCs w:val="20"/>
                <w:color w:val="auto"/>
              </w:rPr>
            </w:pPr>
            <w:r>
              <w:rPr>
                <w:rFonts w:ascii="Arial" w:cs="Arial" w:eastAsia="Arial" w:hAnsi="Arial"/>
                <w:sz w:val="14"/>
                <w:szCs w:val="14"/>
                <w:color w:val="auto"/>
              </w:rPr>
              <w:t>Average price paid per share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880" w:type="dxa"/>
            <w:vAlign w:val="bottom"/>
            <w:gridSpan w:val="2"/>
          </w:tcPr>
          <w:p>
            <w:pPr>
              <w:ind w:left="1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4.42</w:t>
            </w:r>
          </w:p>
        </w:tc>
      </w:tr>
      <w:tr>
        <w:trPr>
          <w:trHeight w:val="181"/>
        </w:trPr>
        <w:tc>
          <w:tcPr>
            <w:tcW w:w="72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Total Investment</w:t>
            </w:r>
            <w:r>
              <w:rPr>
                <w:rFonts w:ascii="Arial" w:cs="Arial" w:eastAsia="Arial" w:hAnsi="Arial"/>
                <w:sz w:val="18"/>
                <w:szCs w:val="18"/>
                <w:color w:val="auto"/>
                <w:vertAlign w:val="superscript"/>
              </w:rPr>
              <w:t>(1)</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880" w:type="dxa"/>
            <w:vAlign w:val="bottom"/>
            <w:gridSpan w:val="2"/>
            <w:shd w:val="clear" w:color="auto" w:fill="CCEEFF"/>
          </w:tcPr>
          <w:p>
            <w:pPr>
              <w:ind w:left="15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5,791</w:t>
            </w:r>
          </w:p>
        </w:tc>
      </w:tr>
    </w:tbl>
    <w:p>
      <w:pPr>
        <w:spacing w:after="0" w:line="233" w:lineRule="exact"/>
        <w:rPr>
          <w:sz w:val="20"/>
          <w:szCs w:val="20"/>
          <w:color w:val="auto"/>
        </w:rPr>
      </w:pPr>
    </w:p>
    <w:p>
      <w:pPr>
        <w:ind w:left="520" w:right="220" w:hanging="260"/>
        <w:spacing w:after="0" w:line="228" w:lineRule="auto"/>
        <w:tabs>
          <w:tab w:leader="none" w:pos="51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These amounts may differ from the repurchases of Common Stock amounts in the Unaudited Statements of Cash Flows due to shares withheld for taxes and unsettled share repurchases at the end of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414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903"/>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12.  Stock-based Compensation</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0"/>
        </w:trPr>
        <w:tc>
          <w:tcPr>
            <w:tcW w:w="4140" w:type="dxa"/>
            <w:vAlign w:val="bottom"/>
            <w:gridSpan w:val="2"/>
          </w:tcPr>
          <w:p>
            <w:pPr>
              <w:spacing w:after="0"/>
              <w:rPr>
                <w:sz w:val="20"/>
                <w:szCs w:val="20"/>
                <w:color w:val="auto"/>
              </w:rPr>
            </w:pPr>
            <w:r>
              <w:rPr>
                <w:rFonts w:ascii="Arial" w:cs="Arial" w:eastAsia="Arial" w:hAnsi="Arial"/>
                <w:sz w:val="14"/>
                <w:szCs w:val="14"/>
                <w:color w:val="auto"/>
              </w:rPr>
              <w:t>Stock-based compensation expense was as follows: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2"/>
        </w:trPr>
        <w:tc>
          <w:tcPr>
            <w:tcW w:w="10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7"/>
                <w:szCs w:val="17"/>
                <w:color w:val="auto"/>
              </w:rPr>
            </w:pPr>
          </w:p>
        </w:tc>
        <w:tc>
          <w:tcPr>
            <w:tcW w:w="3060" w:type="dxa"/>
            <w:vAlign w:val="bottom"/>
            <w:gridSpan w:val="4"/>
          </w:tcPr>
          <w:p>
            <w:pPr>
              <w:ind w:left="30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2022</w:t>
            </w:r>
          </w:p>
        </w:tc>
      </w:tr>
      <w:tr>
        <w:trPr>
          <w:trHeight w:val="171"/>
        </w:trPr>
        <w:tc>
          <w:tcPr>
            <w:tcW w:w="4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Stock-based compensation expense</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4,204</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Income tax benefit for stock-based compensation was immaterial for the three and nine months ended September 30, 2023 and 2022. No stock-based compensation has been capitalized.</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Plan</w:t>
      </w:r>
    </w:p>
    <w:p>
      <w:pPr>
        <w:spacing w:after="0" w:line="183" w:lineRule="exact"/>
        <w:rPr>
          <w:sz w:val="20"/>
          <w:szCs w:val="20"/>
          <w:color w:val="auto"/>
        </w:rPr>
      </w:pPr>
    </w:p>
    <w:p>
      <w:pPr>
        <w:jc w:val="both"/>
        <w:ind w:right="420"/>
        <w:spacing w:after="0" w:line="267" w:lineRule="auto"/>
        <w:rPr>
          <w:sz w:val="20"/>
          <w:szCs w:val="20"/>
          <w:color w:val="auto"/>
        </w:rPr>
      </w:pPr>
      <w:r>
        <w:rPr>
          <w:rFonts w:ascii="Arial" w:cs="Arial" w:eastAsia="Arial" w:hAnsi="Arial"/>
          <w:sz w:val="14"/>
          <w:szCs w:val="14"/>
          <w:color w:val="auto"/>
        </w:rPr>
        <w:t>The Company's 2018 Plan initially provided for the issuance of up to 6,685,696 shares of the Company's Common Stock.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2021 Stock Purchase Plan</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color w:val="auto"/>
        </w:rPr>
        <w:t>The 2021 Stock Purchase Plan provides for up to 200,000 shares to be purchased under the plan. Shares issued under the plan may be authorized but unissued or reacquired shares of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All employees of the Company who work more than 20 hours per week and have been employed by the Company for at least 30 days may participate in the 2021 Stock Purchase Plan.</w:t>
      </w:r>
    </w:p>
    <w:p>
      <w:pPr>
        <w:spacing w:after="0" w:line="180" w:lineRule="exact"/>
        <w:rPr>
          <w:sz w:val="20"/>
          <w:szCs w:val="20"/>
          <w:color w:val="auto"/>
        </w:rPr>
      </w:pPr>
    </w:p>
    <w:p>
      <w:pPr>
        <w:ind w:right="80"/>
        <w:spacing w:after="0" w:line="319" w:lineRule="auto"/>
        <w:rPr>
          <w:sz w:val="20"/>
          <w:szCs w:val="20"/>
          <w:color w:val="auto"/>
        </w:rPr>
      </w:pPr>
      <w:r>
        <w:rPr>
          <w:rFonts w:ascii="Arial" w:cs="Arial" w:eastAsia="Arial" w:hAnsi="Arial"/>
          <w:sz w:val="12"/>
          <w:szCs w:val="12"/>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2021 Stock Purchase Plan provides eligible employees the opportunity to purchase shares of the Company's Common Stock on a quarterly basis through payroll deductions at a price equal to 95% of the lesser of the fair value on the first and last trading day of each offering period. The compensation expense for the three and nine months ended September 30, 2023, was immaterial and is included in stock-based compensation in the table above.</w:t>
      </w:r>
    </w:p>
    <w:p>
      <w:pPr>
        <w:spacing w:after="0" w:line="200" w:lineRule="exact"/>
        <w:rPr>
          <w:sz w:val="20"/>
          <w:szCs w:val="20"/>
          <w:color w:val="auto"/>
        </w:rPr>
      </w:pPr>
    </w:p>
    <w:p>
      <w:pPr>
        <w:spacing w:after="0" w:line="2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2"/>
          <w:szCs w:val="12"/>
          <w:b w:val="1"/>
          <w:bCs w:val="1"/>
          <w:color w:val="auto"/>
        </w:rPr>
        <w:t>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Minimum Annual Commitments with Third-party Processors</w:t>
      </w:r>
    </w:p>
    <w:p>
      <w:pPr>
        <w:spacing w:after="0" w:line="179" w:lineRule="exact"/>
        <w:rPr>
          <w:sz w:val="20"/>
          <w:szCs w:val="20"/>
          <w:color w:val="auto"/>
        </w:rPr>
      </w:pPr>
    </w:p>
    <w:p>
      <w:pPr>
        <w:ind w:right="240"/>
        <w:spacing w:after="0" w:line="321" w:lineRule="auto"/>
        <w:rPr>
          <w:sz w:val="20"/>
          <w:szCs w:val="20"/>
          <w:color w:val="auto"/>
        </w:rPr>
      </w:pPr>
      <w:r>
        <w:rPr>
          <w:rFonts w:ascii="Arial" w:cs="Arial" w:eastAsia="Arial" w:hAnsi="Arial"/>
          <w:sz w:val="13"/>
          <w:szCs w:val="13"/>
          <w:color w:val="auto"/>
        </w:rPr>
        <w:t>The Company has multi-year agreements with third parties to provide certain payment processing services to the Company. The Company pays processing fees under these agreements. Based on existing contracts in place, the Company is committed to pay minimum processing fees under these agreements of approximately $19.4 million in 2023 and $22.0 million in 2024.</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Annual Commitment with Vendor</w:t>
      </w:r>
    </w:p>
    <w:p>
      <w:pPr>
        <w:spacing w:after="0" w:line="179" w:lineRule="exact"/>
        <w:rPr>
          <w:sz w:val="20"/>
          <w:szCs w:val="20"/>
          <w:color w:val="auto"/>
        </w:rPr>
      </w:pPr>
    </w:p>
    <w:p>
      <w:pPr>
        <w:ind w:right="120"/>
        <w:spacing w:after="0" w:line="321" w:lineRule="auto"/>
        <w:rPr>
          <w:sz w:val="20"/>
          <w:szCs w:val="20"/>
          <w:color w:val="auto"/>
        </w:rPr>
      </w:pPr>
      <w:r>
        <w:rPr>
          <w:rFonts w:ascii="Arial" w:cs="Arial" w:eastAsia="Arial" w:hAnsi="Arial"/>
          <w:sz w:val="13"/>
          <w:szCs w:val="13"/>
          <w:color w:val="auto"/>
        </w:rPr>
        <w:t>Effective January 1, 2022, the Company entered into a three year business cooperation agreement with a vendor to resell its services. Under the agreement, the Company purchased vendor services worth $0.7 million for the year ended December 31, 2022, and is committed to purchase vendor services worth $1.5 million in 2023 and $2.3 million in 2024.</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 Commitments</w:t>
      </w:r>
    </w:p>
    <w:p>
      <w:pPr>
        <w:spacing w:after="0" w:line="179"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The Company committed to capital contributions to fund the operations of certain subsidiaries totaling $26.0 million and $22.0 million as September 30, 2023 and December 31, 2022, respectively. The Company is obligated to make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6" w:right="37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contributions within 10 business days of receiving notice for such contribution from the subsidiary. As of September 30, 2023 and December 31, 2022, the Company has contributed $11.6 million and $6.9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Merchant Reserves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 4. Settlement Assets and Customer/Subscriber Account Balances and Related Obligations</w:t>
      </w:r>
      <w:r>
        <w:rPr>
          <w:rFonts w:ascii="Arial" w:cs="Arial" w:eastAsia="Arial" w:hAnsi="Arial"/>
          <w:sz w:val="14"/>
          <w:szCs w:val="14"/>
          <w:color w:val="auto"/>
        </w:rPr>
        <w:t>, for information about merchant reserves.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Contingent Consideration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a reconciliation of the beginning and ending balance of the Company's contingent consideration liabilities related to completed acquisitions: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0"/>
              </w:rPr>
              <w:t>Contingent Consideration Liabilities</w:t>
            </w:r>
          </w:p>
        </w:tc>
      </w:tr>
      <w:tr>
        <w:trPr>
          <w:trHeight w:val="171"/>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8,079</w:t>
            </w:r>
          </w:p>
        </w:tc>
      </w:tr>
      <w:tr>
        <w:trPr>
          <w:trHeight w:val="180"/>
        </w:trPr>
        <w:tc>
          <w:tcPr>
            <w:tcW w:w="8880" w:type="dxa"/>
            <w:vAlign w:val="bottom"/>
          </w:tcPr>
          <w:p>
            <w:pPr>
              <w:ind w:left="100"/>
              <w:spacing w:after="0"/>
              <w:rPr>
                <w:sz w:val="20"/>
                <w:szCs w:val="20"/>
                <w:color w:val="auto"/>
              </w:rPr>
            </w:pPr>
            <w:r>
              <w:rPr>
                <w:rFonts w:ascii="Arial" w:cs="Arial" w:eastAsia="Arial" w:hAnsi="Arial"/>
                <w:sz w:val="14"/>
                <w:szCs w:val="14"/>
                <w:color w:val="auto"/>
              </w:rPr>
              <w:t>Addition of contingent consideration (related to asset acquisition)</w:t>
            </w:r>
          </w:p>
        </w:tc>
        <w:tc>
          <w:tcPr>
            <w:tcW w:w="10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2,100</w:t>
            </w:r>
          </w:p>
        </w:tc>
      </w:tr>
      <w:tr>
        <w:trPr>
          <w:trHeight w:val="181"/>
        </w:trPr>
        <w:tc>
          <w:tcPr>
            <w:tcW w:w="8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Accretion of contingent consideration</w:t>
            </w: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80"/>
        </w:trPr>
        <w:tc>
          <w:tcPr>
            <w:tcW w:w="8880" w:type="dxa"/>
            <w:vAlign w:val="bottom"/>
          </w:tcPr>
          <w:p>
            <w:pPr>
              <w:ind w:left="100"/>
              <w:spacing w:after="0"/>
              <w:rPr>
                <w:sz w:val="20"/>
                <w:szCs w:val="20"/>
                <w:color w:val="auto"/>
              </w:rPr>
            </w:pPr>
            <w:r>
              <w:rPr>
                <w:rFonts w:ascii="Arial" w:cs="Arial" w:eastAsia="Arial" w:hAnsi="Arial"/>
                <w:sz w:val="14"/>
                <w:szCs w:val="14"/>
                <w:color w:val="auto"/>
              </w:rPr>
              <w:t>Fair value adjustments due to changes in estimates of future payments</w:t>
            </w:r>
          </w:p>
        </w:tc>
        <w:tc>
          <w:tcPr>
            <w:tcW w:w="10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181"/>
        </w:trPr>
        <w:tc>
          <w:tcPr>
            <w:tcW w:w="8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Payment of contingent consideration</w:t>
            </w:r>
          </w:p>
        </w:tc>
        <w:tc>
          <w:tcPr>
            <w:tcW w:w="100" w:type="dxa"/>
            <w:vAlign w:val="bottom"/>
            <w:tcBorders>
              <w:bottom w:val="single" w:sz="8" w:color="auto"/>
            </w:tcBorders>
            <w:shd w:val="clear" w:color="auto" w:fill="CCEEFF"/>
          </w:tcPr>
          <w:p>
            <w:pPr>
              <w:spacing w:after="0"/>
              <w:rPr>
                <w:sz w:val="15"/>
                <w:szCs w:val="15"/>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(4,059)</w:t>
            </w:r>
          </w:p>
        </w:tc>
      </w:tr>
      <w:tr>
        <w:trPr>
          <w:trHeight w:val="171"/>
        </w:trPr>
        <w:tc>
          <w:tcPr>
            <w:tcW w:w="8880" w:type="dxa"/>
            <w:vAlign w:val="bottom"/>
          </w:tcPr>
          <w:p>
            <w:pPr>
              <w:ind w:left="20"/>
              <w:spacing w:after="0"/>
              <w:rPr>
                <w:sz w:val="20"/>
                <w:szCs w:val="20"/>
                <w:color w:val="auto"/>
              </w:rPr>
            </w:pPr>
            <w:r>
              <w:rPr>
                <w:rFonts w:ascii="Arial" w:cs="Arial" w:eastAsia="Arial" w:hAnsi="Arial"/>
                <w:sz w:val="14"/>
                <w:szCs w:val="14"/>
                <w:color w:val="auto"/>
              </w:rPr>
              <w:t>March 31, 2023</w:t>
            </w:r>
          </w:p>
        </w:tc>
        <w:tc>
          <w:tcPr>
            <w:tcW w:w="10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6,349</w:t>
            </w:r>
          </w:p>
        </w:tc>
      </w:tr>
      <w:tr>
        <w:trPr>
          <w:trHeight w:val="181"/>
        </w:trPr>
        <w:tc>
          <w:tcPr>
            <w:tcW w:w="8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 of contingent consideration due to resolution of contingency</w:t>
            </w: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w:t>
            </w:r>
          </w:p>
        </w:tc>
      </w:tr>
      <w:tr>
        <w:trPr>
          <w:trHeight w:val="180"/>
        </w:trPr>
        <w:tc>
          <w:tcPr>
            <w:tcW w:w="8880" w:type="dxa"/>
            <w:vAlign w:val="bottom"/>
          </w:tcPr>
          <w:p>
            <w:pPr>
              <w:ind w:left="100"/>
              <w:spacing w:after="0"/>
              <w:rPr>
                <w:sz w:val="20"/>
                <w:szCs w:val="20"/>
                <w:color w:val="auto"/>
              </w:rPr>
            </w:pPr>
            <w:r>
              <w:rPr>
                <w:rFonts w:ascii="Arial" w:cs="Arial" w:eastAsia="Arial" w:hAnsi="Arial"/>
                <w:sz w:val="14"/>
                <w:szCs w:val="14"/>
                <w:color w:val="auto"/>
              </w:rPr>
              <w:t>Adjustment for receivable due to residual shortfall</w:t>
            </w:r>
          </w:p>
        </w:tc>
        <w:tc>
          <w:tcPr>
            <w:tcW w:w="10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(2,053)</w:t>
            </w:r>
          </w:p>
        </w:tc>
      </w:tr>
      <w:tr>
        <w:trPr>
          <w:trHeight w:val="181"/>
        </w:trPr>
        <w:tc>
          <w:tcPr>
            <w:tcW w:w="8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Accretion of discount on contingent consideration</w:t>
            </w:r>
          </w:p>
        </w:tc>
        <w:tc>
          <w:tcPr>
            <w:tcW w:w="100" w:type="dxa"/>
            <w:vAlign w:val="bottom"/>
            <w:tcBorders>
              <w:bottom w:val="single" w:sz="8" w:color="auto"/>
            </w:tcBorders>
            <w:shd w:val="clear" w:color="auto" w:fill="CCEEFF"/>
          </w:tcPr>
          <w:p>
            <w:pPr>
              <w:spacing w:after="0"/>
              <w:rPr>
                <w:sz w:val="15"/>
                <w:szCs w:val="15"/>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71"/>
        </w:trPr>
        <w:tc>
          <w:tcPr>
            <w:tcW w:w="8880" w:type="dxa"/>
            <w:vAlign w:val="bottom"/>
          </w:tcPr>
          <w:p>
            <w:pPr>
              <w:ind w:left="20"/>
              <w:spacing w:after="0"/>
              <w:rPr>
                <w:sz w:val="20"/>
                <w:szCs w:val="20"/>
                <w:color w:val="auto"/>
              </w:rPr>
            </w:pPr>
            <w:r>
              <w:rPr>
                <w:rFonts w:ascii="Arial" w:cs="Arial" w:eastAsia="Arial" w:hAnsi="Arial"/>
                <w:sz w:val="14"/>
                <w:szCs w:val="14"/>
                <w:color w:val="auto"/>
              </w:rPr>
              <w:t>June 30, 2023</w:t>
            </w:r>
          </w:p>
        </w:tc>
        <w:tc>
          <w:tcPr>
            <w:tcW w:w="10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11,413</w:t>
            </w:r>
          </w:p>
        </w:tc>
      </w:tr>
      <w:tr>
        <w:trPr>
          <w:trHeight w:val="181"/>
        </w:trPr>
        <w:tc>
          <w:tcPr>
            <w:tcW w:w="8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 of contingent consideration (related to business combination)</w:t>
            </w: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8,682</w:t>
            </w:r>
          </w:p>
        </w:tc>
      </w:tr>
      <w:tr>
        <w:trPr>
          <w:trHeight w:val="180"/>
        </w:trPr>
        <w:tc>
          <w:tcPr>
            <w:tcW w:w="8880" w:type="dxa"/>
            <w:vAlign w:val="bottom"/>
          </w:tcPr>
          <w:p>
            <w:pPr>
              <w:ind w:left="100"/>
              <w:spacing w:after="0"/>
              <w:rPr>
                <w:sz w:val="20"/>
                <w:szCs w:val="20"/>
                <w:color w:val="auto"/>
              </w:rPr>
            </w:pPr>
            <w:r>
              <w:rPr>
                <w:rFonts w:ascii="Arial" w:cs="Arial" w:eastAsia="Arial" w:hAnsi="Arial"/>
                <w:sz w:val="14"/>
                <w:szCs w:val="14"/>
                <w:color w:val="auto"/>
              </w:rPr>
              <w:t>Accretion of discount on contingent consideration</w:t>
            </w:r>
          </w:p>
        </w:tc>
        <w:tc>
          <w:tcPr>
            <w:tcW w:w="10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560</w:t>
            </w:r>
          </w:p>
        </w:tc>
      </w:tr>
      <w:tr>
        <w:trPr>
          <w:trHeight w:val="180"/>
        </w:trPr>
        <w:tc>
          <w:tcPr>
            <w:tcW w:w="8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Payment of contingent consideration</w:t>
            </w:r>
          </w:p>
        </w:tc>
        <w:tc>
          <w:tcPr>
            <w:tcW w:w="100" w:type="dxa"/>
            <w:vAlign w:val="bottom"/>
            <w:tcBorders>
              <w:bottom w:val="single" w:sz="8" w:color="auto"/>
            </w:tcBorders>
            <w:shd w:val="clear" w:color="auto" w:fill="CCEEFF"/>
          </w:tcPr>
          <w:p>
            <w:pPr>
              <w:spacing w:after="0"/>
              <w:rPr>
                <w:sz w:val="15"/>
                <w:szCs w:val="15"/>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(7,949)</w:t>
            </w:r>
          </w:p>
        </w:tc>
      </w:tr>
      <w:tr>
        <w:trPr>
          <w:trHeight w:val="171"/>
        </w:trPr>
        <w:tc>
          <w:tcPr>
            <w:tcW w:w="8880" w:type="dxa"/>
            <w:vAlign w:val="bottom"/>
          </w:tcPr>
          <w:p>
            <w:pPr>
              <w:ind w:left="2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12,706</w:t>
            </w:r>
          </w:p>
        </w:tc>
      </w:tr>
      <w:tr>
        <w:trPr>
          <w:trHeight w:val="20"/>
        </w:trPr>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Proceedings</w:t>
      </w:r>
    </w:p>
    <w:p>
      <w:pPr>
        <w:spacing w:after="0" w:line="179"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Concentration of Risks</w:t>
      </w:r>
    </w:p>
    <w:p>
      <w:pPr>
        <w:spacing w:after="0" w:line="179" w:lineRule="exact"/>
        <w:rPr>
          <w:sz w:val="20"/>
          <w:szCs w:val="20"/>
          <w:color w:val="auto"/>
        </w:rPr>
      </w:pPr>
    </w:p>
    <w:p>
      <w:pPr>
        <w:ind w:right="80"/>
        <w:spacing w:after="0" w:line="368" w:lineRule="auto"/>
        <w:rPr>
          <w:sz w:val="20"/>
          <w:szCs w:val="20"/>
          <w:color w:val="auto"/>
        </w:rPr>
      </w:pPr>
      <w:r>
        <w:rPr>
          <w:rFonts w:ascii="Arial" w:cs="Arial" w:eastAsia="Arial" w:hAnsi="Arial"/>
          <w:sz w:val="12"/>
          <w:szCs w:val="12"/>
          <w:color w:val="auto"/>
        </w:rPr>
        <w:t>The Company's revenue is substantially derived from processing Visa and Mastercard bankcard transactions. Because the Company is not a member bank, in order to process these bankcard transactions, the Company maintains sponsorship agreements with member banks which require, among other things, that the Company abide by the by-laws and regulations of the card associations.</w:t>
      </w:r>
    </w:p>
    <w:p>
      <w:pPr>
        <w:spacing w:after="0" w:line="86" w:lineRule="exact"/>
        <w:rPr>
          <w:sz w:val="20"/>
          <w:szCs w:val="20"/>
          <w:color w:val="auto"/>
        </w:rPr>
      </w:pPr>
    </w:p>
    <w:p>
      <w:pPr>
        <w:ind w:right="800"/>
        <w:spacing w:after="0" w:line="281" w:lineRule="auto"/>
        <w:rPr>
          <w:sz w:val="20"/>
          <w:szCs w:val="20"/>
          <w:color w:val="auto"/>
        </w:rPr>
      </w:pPr>
      <w:r>
        <w:rPr>
          <w:rFonts w:ascii="Arial" w:cs="Arial" w:eastAsia="Arial" w:hAnsi="Arial"/>
          <w:sz w:val="14"/>
          <w:szCs w:val="14"/>
          <w:color w:val="auto"/>
        </w:rPr>
        <w:t xml:space="preserve">As of September 30, 2023, the Company's customer account balances of $672.2 million are maintained in FDIC insured accounts with certain FIs (refer to </w:t>
      </w:r>
      <w:r>
        <w:rPr>
          <w:rFonts w:ascii="Arial" w:cs="Arial" w:eastAsia="Arial" w:hAnsi="Arial"/>
          <w:sz w:val="14"/>
          <w:szCs w:val="14"/>
          <w:u w:val="single" w:color="auto"/>
          <w:color w:val="0000FF"/>
        </w:rPr>
        <w:t>Note 4. Settlement Assets and</w:t>
      </w:r>
      <w:r>
        <w:rPr>
          <w:rFonts w:ascii="Arial" w:cs="Arial" w:eastAsia="Arial" w:hAnsi="Arial"/>
          <w:sz w:val="14"/>
          <w:szCs w:val="14"/>
          <w:color w:val="auto"/>
        </w:rPr>
        <w:t xml:space="preserve"> </w:t>
      </w:r>
      <w:r>
        <w:rPr>
          <w:rFonts w:ascii="Arial" w:cs="Arial" w:eastAsia="Arial" w:hAnsi="Arial"/>
          <w:sz w:val="14"/>
          <w:szCs w:val="14"/>
          <w:u w:val="single" w:color="auto"/>
          <w:color w:val="0000FF"/>
        </w:rPr>
        <w:t>Customer/Subscriber Account Balances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u w:val="single" w:color="auto"/>
          <w:color w:val="0000FF"/>
        </w:rPr>
        <w:t>Obligations</w:t>
      </w:r>
      <w:r>
        <w:rPr>
          <w:rFonts w:ascii="Arial" w:cs="Arial" w:eastAsia="Arial" w:hAnsi="Arial"/>
          <w:sz w:val="14"/>
          <w:szCs w:val="14"/>
          <w:color w:val="000000"/>
        </w:rPr>
        <w:t>) A majority of the Company's cash and restricted cash is held in certain FIs, substantially all of which is in excess of FDIC limits. The Company does not believe it is exposed to any</w:t>
      </w:r>
      <w:r>
        <w:rPr>
          <w:rFonts w:ascii="Arial" w:cs="Arial" w:eastAsia="Arial" w:hAnsi="Arial"/>
          <w:sz w:val="14"/>
          <w:szCs w:val="14"/>
          <w:color w:val="0000FF"/>
        </w:rPr>
        <w:t xml:space="preserve"> </w:t>
      </w:r>
      <w:r>
        <w:rPr>
          <w:rFonts w:ascii="Arial" w:cs="Arial" w:eastAsia="Arial" w:hAnsi="Arial"/>
          <w:sz w:val="14"/>
          <w:szCs w:val="14"/>
          <w:color w:val="000000"/>
        </w:rPr>
        <w:t>significant credit risk from these transactions.</w:t>
      </w:r>
    </w:p>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3"/>
          <w:szCs w:val="13"/>
          <w:b w:val="1"/>
          <w:bCs w:val="1"/>
          <w:color w:val="auto"/>
        </w:rPr>
        <w:t>Fair Value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179"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Contingent consideration related to the Company's business combinations is estimated based on the present value of a weighted payout probability at the measurement date, which falls within Level 3 on the fair value hierarchy. The current portion of contingent consideration is included in accounts payable and accrued expenses on the Company's Unaudited Consolidated Balance Sheets and the noncurrent portion of contingent consideration is included in other noncurrent liabilities on the Company's Unaudited Consolidated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20" w:type="dxa"/>
            <w:vAlign w:val="bottom"/>
          </w:tcPr>
          <w:p>
            <w:pPr>
              <w:spacing w:after="0"/>
              <w:rPr>
                <w:sz w:val="20"/>
                <w:szCs w:val="20"/>
                <w:color w:val="auto"/>
              </w:rPr>
            </w:pPr>
            <w:r>
              <w:rPr>
                <w:rFonts w:ascii="Arial" w:cs="Arial" w:eastAsia="Arial" w:hAnsi="Arial"/>
                <w:sz w:val="14"/>
                <w:szCs w:val="14"/>
                <w:color w:val="auto"/>
              </w:rPr>
              <w:t>Liabilities measured at fair value on a recurring basis consisted of the following:</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72"/>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 Hierarchy</w:t>
            </w: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24"/>
                <w:szCs w:val="24"/>
                <w:color w:val="auto"/>
              </w:rPr>
            </w:pPr>
          </w:p>
        </w:tc>
        <w:tc>
          <w:tcPr>
            <w:tcW w:w="1720" w:type="dxa"/>
            <w:vAlign w:val="bottom"/>
          </w:tcPr>
          <w:p>
            <w:pPr>
              <w:jc w:val="right"/>
              <w:ind w:right="349"/>
              <w:spacing w:after="0"/>
              <w:rPr>
                <w:sz w:val="20"/>
                <w:szCs w:val="20"/>
                <w:color w:val="auto"/>
              </w:rPr>
            </w:pPr>
            <w:r>
              <w:rPr>
                <w:rFonts w:ascii="Arial" w:cs="Arial" w:eastAsia="Arial" w:hAnsi="Arial"/>
                <w:sz w:val="14"/>
                <w:szCs w:val="14"/>
                <w:b w:val="1"/>
                <w:bCs w:val="1"/>
                <w:color w:val="auto"/>
              </w:rPr>
              <w:t>December 31, 2022</w:t>
            </w: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consideration, current portion</w:t>
            </w: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Level 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6,079</w:t>
            </w:r>
          </w:p>
        </w:tc>
      </w:tr>
      <w:tr>
        <w:trPr>
          <w:trHeight w:val="18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noncurrent portion</w:t>
            </w:r>
          </w:p>
        </w:tc>
        <w:tc>
          <w:tcPr>
            <w:tcW w:w="22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Level 3</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r>
      <w:tr>
        <w:trPr>
          <w:trHeight w:val="196"/>
        </w:trPr>
        <w:tc>
          <w:tcPr>
            <w:tcW w:w="5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Total contingent consideration</w:t>
            </w:r>
          </w:p>
        </w:tc>
        <w:tc>
          <w:tcPr>
            <w:tcW w:w="2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12,706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8,079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and nine months ended September 30, 2023, there were no transfers into, out of, or between levels of the fair value hierarchy.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Notes Receivable</w:t>
      </w:r>
    </w:p>
    <w:p>
      <w:pPr>
        <w:spacing w:after="0" w:line="179"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$5.2 million and $4.7 million at September 30, 2023 and December 31, 2022, respectively. On the fair value hierarchy, Level 3 inputs are used to estimate the fair value of these notes receivable.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Debt Obligations</w:t>
      </w:r>
    </w:p>
    <w:p>
      <w:pPr>
        <w:spacing w:after="0" w:line="179"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 xml:space="preserve">Outstanding debt obligations (see </w:t>
      </w:r>
      <w:r>
        <w:rPr>
          <w:rFonts w:ascii="Arial" w:cs="Arial" w:eastAsia="Arial" w:hAnsi="Arial"/>
          <w:sz w:val="14"/>
          <w:szCs w:val="14"/>
          <w:u w:val="single" w:color="auto"/>
          <w:color w:val="0000FF"/>
        </w:rPr>
        <w:t>Note 8. Debt Obligations</w:t>
      </w:r>
      <w:r>
        <w:rPr>
          <w:rFonts w:ascii="Arial" w:cs="Arial" w:eastAsia="Arial" w:hAnsi="Arial"/>
          <w:sz w:val="14"/>
          <w:szCs w:val="14"/>
          <w:color w:val="auto"/>
        </w:rPr>
        <w:t>) are reflected in the Company's Unaudited Consolidated Balance Sheets at carrying value since the Company did not elect to remeasure debt obligations to fair value at the end of each reporting period.</w:t>
      </w:r>
    </w:p>
    <w:p>
      <w:pPr>
        <w:spacing w:after="0" w:line="132" w:lineRule="exact"/>
        <w:rPr>
          <w:sz w:val="20"/>
          <w:szCs w:val="20"/>
          <w:color w:val="auto"/>
        </w:rPr>
      </w:pPr>
    </w:p>
    <w:p>
      <w:pPr>
        <w:ind w:right="380"/>
        <w:spacing w:after="0" w:line="321" w:lineRule="auto"/>
        <w:rPr>
          <w:sz w:val="20"/>
          <w:szCs w:val="20"/>
          <w:color w:val="auto"/>
        </w:rPr>
      </w:pPr>
      <w:r>
        <w:rPr>
          <w:rFonts w:ascii="Arial" w:cs="Arial" w:eastAsia="Arial" w:hAnsi="Arial"/>
          <w:sz w:val="13"/>
          <w:szCs w:val="13"/>
          <w:color w:val="auto"/>
        </w:rPr>
        <w:t>The fair value of the term facility was estimated to be $603.0 million and $606.1 million at September 30, 2023 and December 31, 2022, respectively, and was estimated using binding and non-binding quoted prices in an active secondary market, which considers the credit risk and market related conditions, and is within Level 3 of the fair value hierarchy.</w:t>
      </w:r>
    </w:p>
    <w:p>
      <w:pPr>
        <w:spacing w:after="0" w:line="109"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2"/>
          <w:szCs w:val="12"/>
          <w:b w:val="1"/>
          <w:bCs w:val="1"/>
          <w:color w:val="auto"/>
        </w:rPr>
        <w:t>Segment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three reportable segments:</w:t>
      </w:r>
    </w:p>
    <w:p>
      <w:pPr>
        <w:spacing w:after="0" w:line="179" w:lineRule="exact"/>
        <w:rPr>
          <w:sz w:val="20"/>
          <w:szCs w:val="20"/>
          <w:color w:val="auto"/>
        </w:rPr>
      </w:pPr>
    </w:p>
    <w:p>
      <w:pPr>
        <w:ind w:left="520" w:right="280" w:hanging="260"/>
        <w:spacing w:after="0" w:line="281" w:lineRule="auto"/>
        <w:tabs>
          <w:tab w:leader="none" w:pos="516"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SMB Payments – </w:t>
      </w:r>
      <w:r>
        <w:rPr>
          <w:rFonts w:ascii="Arial" w:cs="Arial" w:eastAsia="Arial" w:hAnsi="Arial"/>
          <w:sz w:val="14"/>
          <w:szCs w:val="14"/>
          <w:color w:val="auto"/>
        </w:rPr>
        <w:t>provides full-service acquiring and payment-enabled solutions for B2C transactions, leveraging the Company's proprietary software platform, distributed through ISOs,</w:t>
      </w:r>
      <w:r>
        <w:rPr>
          <w:rFonts w:ascii="Arial" w:cs="Arial" w:eastAsia="Arial" w:hAnsi="Arial"/>
          <w:sz w:val="14"/>
          <w:szCs w:val="14"/>
          <w:i w:val="1"/>
          <w:iCs w:val="1"/>
          <w:color w:val="auto"/>
        </w:rPr>
        <w:t xml:space="preserve"> </w:t>
      </w:r>
      <w:r>
        <w:rPr>
          <w:rFonts w:ascii="Arial" w:cs="Arial" w:eastAsia="Arial" w:hAnsi="Arial"/>
          <w:sz w:val="14"/>
          <w:szCs w:val="14"/>
          <w:color w:val="auto"/>
        </w:rPr>
        <w:t>direct sales and vertically focused ISV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B2B Payments – </w:t>
      </w:r>
      <w:r>
        <w:rPr>
          <w:rFonts w:ascii="Arial" w:cs="Arial" w:eastAsia="Arial" w:hAnsi="Arial"/>
          <w:sz w:val="14"/>
          <w:szCs w:val="14"/>
          <w:color w:val="auto"/>
        </w:rPr>
        <w:t>provides AP automation to corporations, software partners and FIs, and, working capital solutions to other business customers.</w:t>
      </w:r>
    </w:p>
    <w:p>
      <w:pPr>
        <w:spacing w:after="0" w:line="178" w:lineRule="exact"/>
        <w:rPr>
          <w:rFonts w:ascii="Arial" w:cs="Arial" w:eastAsia="Arial" w:hAnsi="Arial"/>
          <w:sz w:val="14"/>
          <w:szCs w:val="14"/>
          <w:i w:val="1"/>
          <w:iCs w:val="1"/>
          <w:color w:val="auto"/>
        </w:rPr>
      </w:pPr>
    </w:p>
    <w:p>
      <w:pPr>
        <w:ind w:left="520" w:right="400" w:hanging="260"/>
        <w:spacing w:after="0" w:line="281"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 xml:space="preserve">Enterprise Payments – </w:t>
      </w:r>
      <w:r>
        <w:rPr>
          <w:rFonts w:ascii="Arial" w:cs="Arial" w:eastAsia="Arial" w:hAnsi="Arial"/>
          <w:sz w:val="14"/>
          <w:szCs w:val="14"/>
          <w:color w:val="auto"/>
        </w:rPr>
        <w:t>provides embedded payment and banking solutions to enterprise customers that modernize legacy platforms and accelerate modern software partners looking to</w:t>
      </w:r>
      <w:r>
        <w:rPr>
          <w:rFonts w:ascii="Arial" w:cs="Arial" w:eastAsia="Arial" w:hAnsi="Arial"/>
          <w:sz w:val="14"/>
          <w:szCs w:val="14"/>
          <w:i w:val="1"/>
          <w:iCs w:val="1"/>
          <w:color w:val="auto"/>
        </w:rPr>
        <w:t xml:space="preserve"> </w:t>
      </w:r>
      <w:r>
        <w:rPr>
          <w:rFonts w:ascii="Arial" w:cs="Arial" w:eastAsia="Arial" w:hAnsi="Arial"/>
          <w:sz w:val="14"/>
          <w:szCs w:val="14"/>
          <w:color w:val="auto"/>
        </w:rPr>
        <w:t>monetize payments.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Corporate includes costs of corporate functions and shared services not allocated to our reportable segments.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Information on reportable segments and reconciliations to consolidated revenues, consolidated depreciation and amortization, and consolidated operating income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4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71"/>
        </w:trPr>
        <w:tc>
          <w:tcPr>
            <w:tcW w:w="51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r>
      <w:tr>
        <w:trPr>
          <w:trHeight w:val="160"/>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0"/>
        </w:trPr>
        <w:tc>
          <w:tcPr>
            <w:tcW w:w="5180" w:type="dxa"/>
            <w:vAlign w:val="bottom"/>
          </w:tcPr>
          <w:p>
            <w:pPr>
              <w:ind w:left="120"/>
              <w:spacing w:after="0"/>
              <w:rPr>
                <w:sz w:val="20"/>
                <w:szCs w:val="20"/>
                <w:color w:val="auto"/>
              </w:rPr>
            </w:pPr>
            <w:r>
              <w:rPr>
                <w:rFonts w:ascii="Arial" w:cs="Arial" w:eastAsia="Arial" w:hAnsi="Arial"/>
                <w:sz w:val="14"/>
                <w:szCs w:val="14"/>
                <w:color w:val="auto"/>
              </w:rPr>
              <w:t>SMB Payments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140,109</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139,892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442,937</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412,357</w:t>
            </w:r>
          </w:p>
        </w:tc>
      </w:tr>
      <w:tr>
        <w:trPr>
          <w:trHeight w:val="181"/>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B2B Payments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16,088</w:t>
            </w:r>
          </w:p>
        </w:tc>
      </w:tr>
      <w:tr>
        <w:trPr>
          <w:trHeight w:val="180"/>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Enterprise Payments</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35,158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93,891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57,641</w:t>
            </w:r>
          </w:p>
        </w:tc>
      </w:tr>
      <w:tr>
        <w:trPr>
          <w:trHeight w:val="196"/>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Consolidated revenues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189,015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166,417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556,333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486,086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Depreciation and amortization:</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5180" w:type="dxa"/>
            <w:vAlign w:val="bottom"/>
          </w:tcPr>
          <w:p>
            <w:pPr>
              <w:ind w:left="120"/>
              <w:spacing w:after="0"/>
              <w:rPr>
                <w:sz w:val="20"/>
                <w:szCs w:val="20"/>
                <w:color w:val="auto"/>
              </w:rPr>
            </w:pPr>
            <w:r>
              <w:rPr>
                <w:rFonts w:ascii="Arial" w:cs="Arial" w:eastAsia="Arial" w:hAnsi="Arial"/>
                <w:sz w:val="14"/>
                <w:szCs w:val="14"/>
                <w:color w:val="auto"/>
              </w:rPr>
              <w:t>SMB Payments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9,858</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11,040</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31,473</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32,844</w:t>
            </w:r>
          </w:p>
        </w:tc>
      </w:tr>
      <w:tr>
        <w:trPr>
          <w:trHeight w:val="181"/>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B2B Payments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r>
      <w:tr>
        <w:trPr>
          <w:trHeight w:val="180"/>
        </w:trPr>
        <w:tc>
          <w:tcPr>
            <w:tcW w:w="5180" w:type="dxa"/>
            <w:vAlign w:val="bottom"/>
          </w:tcPr>
          <w:p>
            <w:pPr>
              <w:ind w:left="120"/>
              <w:spacing w:after="0"/>
              <w:rPr>
                <w:sz w:val="20"/>
                <w:szCs w:val="20"/>
                <w:color w:val="auto"/>
              </w:rPr>
            </w:pPr>
            <w:r>
              <w:rPr>
                <w:rFonts w:ascii="Arial" w:cs="Arial" w:eastAsia="Arial" w:hAnsi="Arial"/>
                <w:sz w:val="14"/>
                <w:szCs w:val="14"/>
                <w:color w:val="auto"/>
              </w:rPr>
              <w:t>Enterprise Payments</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6,154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19,557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18,599</w:t>
            </w:r>
          </w:p>
        </w:tc>
      </w:tr>
      <w:tr>
        <w:trPr>
          <w:trHeight w:val="180"/>
        </w:trPr>
        <w:tc>
          <w:tcPr>
            <w:tcW w:w="5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Corporate</w:t>
            </w: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w:t>
            </w:r>
          </w:p>
        </w:tc>
      </w:tr>
      <w:tr>
        <w:trPr>
          <w:trHeight w:val="171"/>
        </w:trPr>
        <w:tc>
          <w:tcPr>
            <w:tcW w:w="5180" w:type="dxa"/>
            <w:vAlign w:val="bottom"/>
          </w:tcPr>
          <w:p>
            <w:pPr>
              <w:ind w:left="180"/>
              <w:spacing w:after="0"/>
              <w:rPr>
                <w:sz w:val="20"/>
                <w:szCs w:val="20"/>
                <w:color w:val="auto"/>
              </w:rPr>
            </w:pPr>
            <w:r>
              <w:rPr>
                <w:rFonts w:ascii="Arial" w:cs="Arial" w:eastAsia="Arial" w:hAnsi="Arial"/>
                <w:sz w:val="14"/>
                <w:szCs w:val="14"/>
                <w:b w:val="1"/>
                <w:bCs w:val="1"/>
                <w:color w:val="auto"/>
              </w:rPr>
              <w:t>Consolidated depreciation and amortization</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17,275</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17,817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53,303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52,675</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3"/>
        </w:trPr>
        <w:tc>
          <w:tcPr>
            <w:tcW w:w="5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0"/>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Operating (loss) income:</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SMB Payments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35,374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39,928</w:t>
            </w:r>
          </w:p>
        </w:tc>
      </w:tr>
      <w:tr>
        <w:trPr>
          <w:trHeight w:val="180"/>
        </w:trPr>
        <w:tc>
          <w:tcPr>
            <w:tcW w:w="5180" w:type="dxa"/>
            <w:vAlign w:val="bottom"/>
          </w:tcPr>
          <w:p>
            <w:pPr>
              <w:ind w:left="120"/>
              <w:spacing w:after="0"/>
              <w:rPr>
                <w:sz w:val="20"/>
                <w:szCs w:val="20"/>
                <w:color w:val="auto"/>
              </w:rPr>
            </w:pPr>
            <w:r>
              <w:rPr>
                <w:rFonts w:ascii="Arial" w:cs="Arial" w:eastAsia="Arial" w:hAnsi="Arial"/>
                <w:sz w:val="14"/>
                <w:szCs w:val="14"/>
                <w:color w:val="auto"/>
              </w:rPr>
              <w:t>B2B Payments</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1,289</w:t>
            </w:r>
          </w:p>
        </w:tc>
      </w:tr>
      <w:tr>
        <w:trPr>
          <w:trHeight w:val="181"/>
        </w:trPr>
        <w:tc>
          <w:tcPr>
            <w:tcW w:w="5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Enterprise Payments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19,504</w:t>
            </w:r>
          </w:p>
        </w:tc>
      </w:tr>
      <w:tr>
        <w:trPr>
          <w:trHeight w:val="180"/>
        </w:trPr>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Corporate</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(25,178)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(22,755)</w:t>
            </w:r>
          </w:p>
        </w:tc>
      </w:tr>
      <w:tr>
        <w:trPr>
          <w:trHeight w:val="196"/>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Consolidated operating income</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23,506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14,080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59,487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37,966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total operating income of reportable segments to the Company's net (loss) income is provided in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6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71"/>
        </w:trPr>
        <w:tc>
          <w:tcPr>
            <w:tcW w:w="51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r>
      <w:tr>
        <w:trPr>
          <w:trHeight w:val="171"/>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income of reportable segments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33,238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84,665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60,721</w:t>
            </w:r>
          </w:p>
        </w:tc>
      </w:tr>
      <w:tr>
        <w:trPr>
          <w:trHeight w:val="180"/>
        </w:trPr>
        <w:tc>
          <w:tcPr>
            <w:tcW w:w="5180" w:type="dxa"/>
            <w:vAlign w:val="bottom"/>
          </w:tcPr>
          <w:p>
            <w:pPr>
              <w:ind w:left="20"/>
              <w:spacing w:after="0"/>
              <w:rPr>
                <w:sz w:val="20"/>
                <w:szCs w:val="20"/>
                <w:color w:val="auto"/>
              </w:rPr>
            </w:pPr>
            <w:r>
              <w:rPr>
                <w:rFonts w:ascii="Arial" w:cs="Arial" w:eastAsia="Arial" w:hAnsi="Arial"/>
                <w:sz w:val="14"/>
                <w:szCs w:val="14"/>
                <w:color w:val="auto"/>
              </w:rPr>
              <w:t>Corporate</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(9,732)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(8,896)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(25,178)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(22,755)</w:t>
            </w: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(55,461)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(37,282)</w:t>
            </w:r>
          </w:p>
        </w:tc>
      </w:tr>
      <w:tr>
        <w:trPr>
          <w:trHeight w:val="180"/>
        </w:trPr>
        <w:tc>
          <w:tcPr>
            <w:tcW w:w="518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311</w:t>
            </w:r>
          </w:p>
        </w:tc>
      </w:tr>
      <w:tr>
        <w:trPr>
          <w:trHeight w:val="180"/>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(6,550)</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(1,833)</w:t>
            </w:r>
          </w:p>
        </w:tc>
      </w:tr>
      <w:tr>
        <w:trPr>
          <w:trHeight w:val="171"/>
        </w:trPr>
        <w:tc>
          <w:tcPr>
            <w:tcW w:w="5180" w:type="dxa"/>
            <w:vAlign w:val="bottom"/>
          </w:tcPr>
          <w:p>
            <w:pPr>
              <w:ind w:left="18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(1,205)</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(838)</w:t>
            </w: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903"/>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16.  Loss per Common Share</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0"/>
        </w:trPr>
        <w:tc>
          <w:tcPr>
            <w:tcW w:w="6820" w:type="dxa"/>
            <w:vAlign w:val="bottom"/>
            <w:gridSpan w:val="5"/>
          </w:tcPr>
          <w:p>
            <w:pPr>
              <w:spacing w:after="0"/>
              <w:rPr>
                <w:sz w:val="20"/>
                <w:szCs w:val="20"/>
                <w:color w:val="auto"/>
              </w:rPr>
            </w:pPr>
            <w:r>
              <w:rPr>
                <w:rFonts w:ascii="Arial" w:cs="Arial" w:eastAsia="Arial" w:hAnsi="Arial"/>
                <w:sz w:val="14"/>
                <w:szCs w:val="14"/>
                <w:color w:val="auto"/>
              </w:rPr>
              <w:t>The following tables set forth the computation of the Company's basic and diluted loss per common share:</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1"/>
        </w:trPr>
        <w:tc>
          <w:tcPr>
            <w:tcW w:w="10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24"/>
                <w:szCs w:val="24"/>
                <w:color w:val="auto"/>
              </w:rPr>
            </w:pPr>
          </w:p>
        </w:tc>
        <w:tc>
          <w:tcPr>
            <w:tcW w:w="2660" w:type="dxa"/>
            <w:vAlign w:val="bottom"/>
            <w:gridSpan w:val="4"/>
          </w:tcPr>
          <w:p>
            <w:pPr>
              <w:jc w:val="right"/>
              <w:ind w:right="32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71"/>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r>
      <w:tr>
        <w:trPr>
          <w:trHeight w:val="16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0"/>
        </w:trPr>
        <w:tc>
          <w:tcPr>
            <w:tcW w:w="5280" w:type="dxa"/>
            <w:vAlign w:val="bottom"/>
            <w:gridSpan w:val="2"/>
          </w:tcPr>
          <w:p>
            <w:pPr>
              <w:ind w:left="10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(838)</w:t>
            </w:r>
          </w:p>
        </w:tc>
      </w:tr>
      <w:tr>
        <w:trPr>
          <w:trHeight w:val="181"/>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5"/>
              </w:rPr>
              <w:t>Less: Dividends and accretion attributable to redeemable senior preferred stockholders</w:t>
            </w: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(35,252)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(26,415)</w:t>
            </w:r>
          </w:p>
        </w:tc>
      </w:tr>
      <w:tr>
        <w:trPr>
          <w:trHeight w:val="171"/>
        </w:trPr>
        <w:tc>
          <w:tcPr>
            <w:tcW w:w="5280" w:type="dxa"/>
            <w:vAlign w:val="bottom"/>
            <w:gridSpan w:val="2"/>
          </w:tcPr>
          <w:p>
            <w:pPr>
              <w:ind w:left="100"/>
              <w:spacing w:after="0"/>
              <w:rPr>
                <w:sz w:val="20"/>
                <w:szCs w:val="20"/>
                <w:color w:val="auto"/>
              </w:rPr>
            </w:pPr>
            <w:r>
              <w:rPr>
                <w:rFonts w:ascii="Arial" w:cs="Arial" w:eastAsia="Arial" w:hAnsi="Arial"/>
                <w:sz w:val="14"/>
                <w:szCs w:val="14"/>
                <w:color w:val="auto"/>
              </w:rPr>
              <w:t>Net loss attributable to common stockholders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(12,279)</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(10,258)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(36,457)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(27,253)</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2"/>
        </w:trPr>
        <w:tc>
          <w:tcPr>
            <w:tcW w:w="52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Denominator:</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80"/>
        </w:trPr>
        <w:tc>
          <w:tcPr>
            <w:tcW w:w="5280" w:type="dxa"/>
            <w:vAlign w:val="bottom"/>
            <w:gridSpan w:val="2"/>
          </w:tcPr>
          <w:p>
            <w:pPr>
              <w:ind w:left="100"/>
              <w:spacing w:after="0"/>
              <w:rPr>
                <w:sz w:val="20"/>
                <w:szCs w:val="20"/>
                <w:color w:val="auto"/>
              </w:rPr>
            </w:pPr>
            <w:r>
              <w:rPr>
                <w:rFonts w:ascii="Arial" w:cs="Arial" w:eastAsia="Arial" w:hAnsi="Arial"/>
                <w:sz w:val="14"/>
                <w:szCs w:val="14"/>
                <w:color w:val="auto"/>
              </w:rPr>
              <w:t>Basic and diluted:</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528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4"/>
                <w:szCs w:val="14"/>
                <w:color w:val="auto"/>
              </w:rPr>
              <w:t>Weighted-average common shares outstanding</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78,381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78,392</w:t>
            </w:r>
          </w:p>
        </w:tc>
      </w:tr>
      <w:tr>
        <w:trPr>
          <w:trHeight w:val="184"/>
        </w:trPr>
        <w:tc>
          <w:tcPr>
            <w:tcW w:w="5280" w:type="dxa"/>
            <w:vAlign w:val="bottom"/>
            <w:gridSpan w:val="2"/>
          </w:tcPr>
          <w:p>
            <w:pPr>
              <w:ind w:left="100"/>
              <w:spacing w:after="0"/>
              <w:rPr>
                <w:sz w:val="20"/>
                <w:szCs w:val="20"/>
                <w:color w:val="auto"/>
              </w:rPr>
            </w:pPr>
            <w:r>
              <w:rPr>
                <w:rFonts w:ascii="Arial" w:cs="Arial" w:eastAsia="Arial" w:hAnsi="Arial"/>
                <w:sz w:val="14"/>
                <w:szCs w:val="14"/>
                <w:b w:val="1"/>
                <w:bCs w:val="1"/>
                <w:color w:val="auto"/>
              </w:rPr>
              <w:t>Loss per common share</w:t>
            </w: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(0.16)</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(0.13)</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(0.47)</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(0.35)</w:t>
            </w:r>
          </w:p>
        </w:tc>
      </w:tr>
    </w:tbl>
    <w:p>
      <w:pPr>
        <w:spacing w:after="0" w:line="157"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 xml:space="preserve">The weighted-average common shares outstanding includes 1,803,841 warrants (refer to </w:t>
      </w:r>
      <w:r>
        <w:rPr>
          <w:rFonts w:ascii="Arial" w:cs="Arial" w:eastAsia="Arial" w:hAnsi="Arial"/>
          <w:sz w:val="14"/>
          <w:szCs w:val="14"/>
          <w:u w:val="single" w:color="auto"/>
          <w:color w:val="0000FF"/>
        </w:rPr>
        <w:t>Note 9. Redeemable Senior Preferred Stock and Warrants</w:t>
      </w:r>
      <w:r>
        <w:rPr>
          <w:rFonts w:ascii="Arial" w:cs="Arial" w:eastAsia="Arial" w:hAnsi="Arial"/>
          <w:sz w:val="14"/>
          <w:szCs w:val="14"/>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For the three and nine months ended September 30, 2023 and 2022, all potentially dilutive securities were anti-dilutive, so diluted net loss per share was equivalent to basic net loss per share.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Potentially anti-dilutive securities that were excluded from the Company's loss per common share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08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980" w:type="dxa"/>
            <w:vAlign w:val="bottom"/>
            <w:gridSpan w:val="3"/>
          </w:tcPr>
          <w:p>
            <w:pPr>
              <w:jc w:val="right"/>
              <w:ind w:right="369"/>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r>
      <w:tr>
        <w:trPr>
          <w:trHeight w:val="171"/>
        </w:trPr>
        <w:tc>
          <w:tcPr>
            <w:tcW w:w="5220" w:type="dxa"/>
            <w:vAlign w:val="bottom"/>
            <w:shd w:val="clear" w:color="auto" w:fill="CCEEFF"/>
          </w:tcPr>
          <w:p>
            <w:pPr>
              <w:ind w:left="20"/>
              <w:spacing w:after="0" w:line="171" w:lineRule="exact"/>
              <w:rPr>
                <w:sz w:val="20"/>
                <w:szCs w:val="20"/>
                <w:color w:val="auto"/>
              </w:rPr>
            </w:pPr>
            <w:r>
              <w:rPr>
                <w:rFonts w:ascii="Arial" w:cs="Arial" w:eastAsia="Arial" w:hAnsi="Arial"/>
                <w:sz w:val="14"/>
                <w:szCs w:val="14"/>
                <w:color w:val="auto"/>
              </w:rPr>
              <w:t>Outstanding warrants on Common Stock</w:t>
            </w:r>
            <w:r>
              <w:rPr>
                <w:rFonts w:ascii="Arial" w:cs="Arial" w:eastAsia="Arial" w:hAnsi="Arial"/>
                <w:sz w:val="18"/>
                <w:szCs w:val="18"/>
                <w:color w:val="auto"/>
                <w:vertAlign w:val="superscript"/>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w:t>
            </w:r>
          </w:p>
        </w:tc>
      </w:tr>
      <w:tr>
        <w:trPr>
          <w:trHeight w:val="180"/>
        </w:trPr>
        <w:tc>
          <w:tcPr>
            <w:tcW w:w="5220" w:type="dxa"/>
            <w:vAlign w:val="bottom"/>
          </w:tcPr>
          <w:p>
            <w:pPr>
              <w:ind w:left="20"/>
              <w:spacing w:after="0" w:line="181" w:lineRule="exact"/>
              <w:rPr>
                <w:sz w:val="20"/>
                <w:szCs w:val="20"/>
                <w:color w:val="auto"/>
              </w:rPr>
            </w:pPr>
            <w:r>
              <w:rPr>
                <w:rFonts w:ascii="Arial" w:cs="Arial" w:eastAsia="Arial" w:hAnsi="Arial"/>
                <w:sz w:val="14"/>
                <w:szCs w:val="14"/>
                <w:color w:val="auto"/>
              </w:rPr>
              <w:t>Outstanding options and warrants issued to adviser</w:t>
            </w:r>
            <w:r>
              <w:rPr>
                <w:rFonts w:ascii="Arial" w:cs="Arial" w:eastAsia="Arial" w:hAnsi="Arial"/>
                <w:sz w:val="18"/>
                <w:szCs w:val="18"/>
                <w:color w:val="auto"/>
                <w:vertAlign w:val="superscript"/>
              </w:rPr>
              <w:t>(2)</w:t>
            </w: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180"/>
        </w:trPr>
        <w:tc>
          <w:tcPr>
            <w:tcW w:w="52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Restricted stock awards</w:t>
            </w:r>
            <w:r>
              <w:rPr>
                <w:rFonts w:ascii="Arial" w:cs="Arial" w:eastAsia="Arial" w:hAnsi="Arial"/>
                <w:sz w:val="18"/>
                <w:szCs w:val="18"/>
                <w:color w:val="auto"/>
                <w:vertAlign w:val="superscript"/>
              </w:rPr>
              <w:t>(3)</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r>
      <w:tr>
        <w:trPr>
          <w:trHeight w:val="180"/>
        </w:trPr>
        <w:tc>
          <w:tcPr>
            <w:tcW w:w="522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Outstanding stock option awards</w:t>
            </w:r>
            <w:r>
              <w:rPr>
                <w:rFonts w:ascii="Arial" w:cs="Arial" w:eastAsia="Arial" w:hAnsi="Arial"/>
                <w:sz w:val="18"/>
                <w:szCs w:val="18"/>
                <w:color w:val="auto"/>
                <w:vertAlign w:val="superscript"/>
              </w:rPr>
              <w:t>(3)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2,292</w:t>
            </w:r>
          </w:p>
        </w:tc>
      </w:tr>
      <w:tr>
        <w:trPr>
          <w:trHeight w:val="196"/>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2,027</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7,871</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2,206</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7,575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warrants were issued in 2018 and were exercisable at $11.50 per share. These warrants expired on August 24, 2023.</w:t>
      </w:r>
    </w:p>
    <w:p>
      <w:pPr>
        <w:spacing w:after="0" w:line="1" w:lineRule="exact"/>
        <w:rPr>
          <w:rFonts w:ascii="Arial" w:cs="Arial" w:eastAsia="Arial" w:hAnsi="Arial"/>
          <w:sz w:val="18"/>
          <w:szCs w:val="18"/>
          <w:color w:val="auto"/>
          <w:vertAlign w:val="superscript"/>
        </w:rPr>
      </w:pPr>
    </w:p>
    <w:p>
      <w:pPr>
        <w:ind w:left="500" w:hanging="240"/>
        <w:spacing w:after="0" w:line="194" w:lineRule="auto"/>
        <w:tabs>
          <w:tab w:leader="none" w:pos="50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warrants were issued in 2018 and were exercisable at $12.00 per share. These warrants expired on August 24, 2023.</w:t>
      </w:r>
    </w:p>
    <w:p>
      <w:pPr>
        <w:spacing w:after="0" w:line="2" w:lineRule="exact"/>
        <w:rPr>
          <w:rFonts w:ascii="Arial" w:cs="Arial" w:eastAsia="Arial" w:hAnsi="Arial"/>
          <w:sz w:val="18"/>
          <w:szCs w:val="18"/>
          <w:color w:val="auto"/>
          <w:vertAlign w:val="superscript"/>
        </w:rPr>
      </w:pPr>
    </w:p>
    <w:p>
      <w:pPr>
        <w:ind w:left="500" w:hanging="240"/>
        <w:spacing w:after="0" w:line="194" w:lineRule="auto"/>
        <w:tabs>
          <w:tab w:leader="none" w:pos="50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Granted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17.</w:t>
      </w:r>
      <w:r>
        <w:rPr>
          <w:sz w:val="20"/>
          <w:szCs w:val="20"/>
          <w:color w:val="auto"/>
        </w:rPr>
        <w:tab/>
      </w:r>
      <w:r>
        <w:rPr>
          <w:rFonts w:ascii="Arial" w:cs="Arial" w:eastAsia="Arial" w:hAnsi="Arial"/>
          <w:sz w:val="12"/>
          <w:szCs w:val="12"/>
          <w:b w:val="1"/>
          <w:bCs w:val="1"/>
          <w:color w:val="auto"/>
        </w:rPr>
        <w:t>Subsequent Events</w:t>
      </w:r>
    </w:p>
    <w:p>
      <w:pPr>
        <w:spacing w:after="0" w:line="183"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On October 2, 2023, the Company entered into the fourth amendment to its Credit Agreement to increase its term loan facility by $50.0 million. All other terms remained unchanged. The proceeds of the increase was used to repay the outstanding balance of the revolving credit facility and other general corporate needs. The accounting evaluation of the amendment is in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83"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2022. Certain amounts in this section may not add mathematically due to rounding.</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34" w:lineRule="exact"/>
        <w:rPr>
          <w:sz w:val="20"/>
          <w:szCs w:val="20"/>
          <w:color w:val="auto"/>
        </w:rPr>
      </w:pPr>
    </w:p>
    <w:p>
      <w:pPr>
        <w:ind w:left="520" w:right="120" w:hanging="260"/>
        <w:spacing w:after="0" w:line="260" w:lineRule="auto"/>
        <w:tabs>
          <w:tab w:leader="none" w:pos="516" w:val="left"/>
        </w:tabs>
        <w:numPr>
          <w:ilvl w:val="0"/>
          <w:numId w:val="22"/>
        </w:numPr>
        <w:rPr>
          <w:rFonts w:ascii="Arial" w:cs="Arial" w:eastAsia="Arial" w:hAnsi="Arial"/>
          <w:sz w:val="14"/>
          <w:szCs w:val="14"/>
          <w:color w:val="auto"/>
          <w:strike w:val="1"/>
        </w:rPr>
      </w:pPr>
      <w:r>
        <w:rPr>
          <w:rFonts w:ascii="Arial" w:cs="Arial" w:eastAsia="Arial" w:hAnsi="Arial"/>
          <w:sz w:val="14"/>
          <w:szCs w:val="14"/>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competition in the payment processing industry;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use of distribution partners;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unauthorized disclosures of merchant or cardholder data, whether through breach of our computer systems, computer viruses or otherwise;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breakdowns in our processing systems;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government regulation, including regulation of consumer information;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use of third-party vendors;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changes in card association and debit network fees or products;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failure to comply with the rules established by payment networks or standards established by third-party processors;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proposed acquisitions or dispositions or any risks associated with completed acquisitions or dispositions;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risks and uncertainties set forth in the "</w:t>
      </w:r>
      <w:r>
        <w:rPr>
          <w:rFonts w:ascii="Arial" w:cs="Arial" w:eastAsia="Arial" w:hAnsi="Arial"/>
          <w:sz w:val="14"/>
          <w:szCs w:val="14"/>
          <w:u w:val="single" w:color="auto"/>
          <w:color w:val="0000FF"/>
        </w:rPr>
        <w:t>Item 1A - Risk Factors</w:t>
      </w:r>
      <w:r>
        <w:rPr>
          <w:rFonts w:ascii="Arial" w:cs="Arial" w:eastAsia="Arial" w:hAnsi="Arial"/>
          <w:sz w:val="14"/>
          <w:szCs w:val="14"/>
          <w:color w:val="auto"/>
        </w:rPr>
        <w:t>" section of this Quarterly Report on Form 10-Q or our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We caution you that the foregoing list may not contain all of the forward-looking statements made in this Quarterly Report on Form 10-Q.</w:t>
      </w:r>
    </w:p>
    <w:p>
      <w:pPr>
        <w:spacing w:after="0" w:line="17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Arial" w:cs="Arial" w:eastAsia="Arial" w:hAnsi="Arial"/>
          <w:sz w:val="14"/>
          <w:szCs w:val="14"/>
          <w:u w:val="single" w:color="auto"/>
          <w:color w:val="0000FF"/>
        </w:rPr>
        <w:t>Item 1A - Risk Factors</w:t>
      </w:r>
      <w:r>
        <w:rPr>
          <w:rFonts w:ascii="Arial" w:cs="Arial" w:eastAsia="Arial" w:hAnsi="Arial"/>
          <w:sz w:val="14"/>
          <w:szCs w:val="14"/>
          <w:color w:val="auto"/>
        </w:rPr>
        <w:t>" section of this Quarterly Report on Form 10-Q or our Annual Report on Form 10-K,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50" w:lineRule="exact"/>
        <w:rPr>
          <w:sz w:val="20"/>
          <w:szCs w:val="20"/>
          <w:color w:val="auto"/>
        </w:rPr>
      </w:pPr>
    </w:p>
    <w:p>
      <w:pPr>
        <w:jc w:val="both"/>
        <w:ind w:right="140"/>
        <w:spacing w:after="0" w:line="267"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available relevant information. These statements are inherently uncertain, and investors are cautioned not to unduly rely upon these statements.</w:t>
      </w:r>
    </w:p>
    <w:p>
      <w:pPr>
        <w:spacing w:after="0" w:line="17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32"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Terms Used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As used in this Quarterly Report on Form 10-Q, unless the context otherwise requires, references to the terms "Company," "Priority," "we," "us" and "our" refer to Priority Technology Holdings, Inc.</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83"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This section includes certain components of our results of operations for the three and nine months ended September 30, 2023, compared to the three and nine months ended September 30, 2022. We have derived this data, except the key indicators, from our Unaudited Consolidated Financial Statements included elsewhere in this Quarterly Report on Form 10-Q and our Audited Consolidated Financial Statements included in our Annual Report on Form 10-K for the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79" w:lineRule="exact"/>
        <w:rPr>
          <w:sz w:val="20"/>
          <w:szCs w:val="20"/>
          <w:color w:val="auto"/>
        </w:rPr>
      </w:pPr>
    </w:p>
    <w:p>
      <w:pPr>
        <w:ind w:right="300"/>
        <w:spacing w:after="0" w:line="267" w:lineRule="auto"/>
        <w:rPr>
          <w:sz w:val="20"/>
          <w:szCs w:val="20"/>
          <w:color w:val="auto"/>
        </w:rPr>
      </w:pPr>
      <w:r>
        <w:rPr>
          <w:rFonts w:ascii="Arial" w:cs="Arial" w:eastAsia="Arial" w:hAnsi="Arial"/>
          <w:sz w:val="14"/>
          <w:szCs w:val="14"/>
          <w:color w:val="auto"/>
        </w:rPr>
        <w:t>For the three months ended September 30, 2023, our consolidated revenue of $189.0 million increased by $22.6 million, or 13.6%, from $166.4 million for the three months ended September 30, 2022. This overall increase was mainly driven by an increase in new enrollments and higher interest income in our Enterprise Payments segment and revenue from the Plastiq business acquired during the quarter in our B2B Payments segment.</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For the nine months ended September 30, 2023, our consolidated revenue of $556.3 million increased by $70.2 million, or 14.4%, from $486.1 million for the nine months ended September 30, 2022. The overall increase was driven by increases in merchant card fee rates, offset by a decrease in certain fee based revenue in our SMB Payments segment, an increase in new enrollments and higher interest income in our Enterprise Payments segment and revenue from the Plastiq business acquired during the quarter in our B2B Payments segment. These increases were partially offset by a decrease in revenue in B2B Payments segment due to wind down of certain managed services programs.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60" w:type="dxa"/>
            <w:vAlign w:val="bottom"/>
          </w:tcPr>
          <w:p>
            <w:pPr>
              <w:spacing w:after="0"/>
              <w:rPr>
                <w:sz w:val="20"/>
                <w:szCs w:val="20"/>
                <w:color w:val="auto"/>
              </w:rPr>
            </w:pPr>
            <w:r>
              <w:rPr>
                <w:rFonts w:ascii="Arial" w:cs="Arial" w:eastAsia="Arial" w:hAnsi="Arial"/>
                <w:sz w:val="14"/>
                <w:szCs w:val="14"/>
                <w:color w:val="auto"/>
              </w:rPr>
              <w:t>The following table presents our revenues by type:</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72"/>
        </w:trPr>
        <w:tc>
          <w:tcPr>
            <w:tcW w:w="40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3420" w:type="dxa"/>
            <w:vAlign w:val="bottom"/>
            <w:gridSpan w:val="8"/>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24"/>
                <w:szCs w:val="24"/>
                <w:color w:val="auto"/>
              </w:rPr>
            </w:pPr>
          </w:p>
        </w:tc>
        <w:tc>
          <w:tcPr>
            <w:tcW w:w="3280" w:type="dxa"/>
            <w:vAlign w:val="bottom"/>
            <w:gridSpan w:val="7"/>
          </w:tcPr>
          <w:p>
            <w:pPr>
              <w:jc w:val="right"/>
              <w:ind w:right="649"/>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40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242424"/>
              </w:rPr>
              <w:t>2023</w:t>
            </w: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242424"/>
              </w:rPr>
              <w:t>2022</w:t>
            </w:r>
          </w:p>
        </w:tc>
        <w:tc>
          <w:tcPr>
            <w:tcW w:w="8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242424"/>
              </w:rPr>
              <w:t>2023</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242424"/>
              </w:rPr>
              <w:t>2022</w:t>
            </w:r>
          </w:p>
        </w:tc>
        <w:tc>
          <w:tcPr>
            <w:tcW w:w="8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 Change</w:t>
            </w:r>
          </w:p>
        </w:tc>
      </w:tr>
      <w:tr>
        <w:trPr>
          <w:trHeight w:val="160"/>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 Type:</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80"/>
        </w:trPr>
        <w:tc>
          <w:tcPr>
            <w:tcW w:w="4060" w:type="dxa"/>
            <w:vAlign w:val="bottom"/>
          </w:tcPr>
          <w:p>
            <w:pPr>
              <w:ind w:left="180"/>
              <w:spacing w:after="0"/>
              <w:rPr>
                <w:sz w:val="20"/>
                <w:szCs w:val="20"/>
                <w:color w:val="auto"/>
              </w:rPr>
            </w:pPr>
            <w:r>
              <w:rPr>
                <w:rFonts w:ascii="Arial" w:cs="Arial" w:eastAsia="Arial" w:hAnsi="Arial"/>
                <w:sz w:val="14"/>
                <w:szCs w:val="14"/>
                <w:color w:val="auto"/>
              </w:rPr>
              <w:t>Merchant card fees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146,974</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137,659</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9,315</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441,142</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405,404</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35,738</w:t>
            </w:r>
          </w:p>
        </w:tc>
      </w:tr>
      <w:tr>
        <w:trPr>
          <w:trHeight w:val="181"/>
        </w:trPr>
        <w:tc>
          <w:tcPr>
            <w:tcW w:w="4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Money transmission services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25,831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18,291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70,955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51,757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19,198</w:t>
            </w:r>
          </w:p>
        </w:tc>
      </w:tr>
      <w:tr>
        <w:trPr>
          <w:trHeight w:val="180"/>
        </w:trPr>
        <w:tc>
          <w:tcPr>
            <w:tcW w:w="4060" w:type="dxa"/>
            <w:vAlign w:val="bottom"/>
          </w:tcPr>
          <w:p>
            <w:pPr>
              <w:ind w:left="180"/>
              <w:spacing w:after="0"/>
              <w:rPr>
                <w:sz w:val="20"/>
                <w:szCs w:val="20"/>
                <w:color w:val="auto"/>
              </w:rPr>
            </w:pPr>
            <w:r>
              <w:rPr>
                <w:rFonts w:ascii="Arial" w:cs="Arial" w:eastAsia="Arial" w:hAnsi="Arial"/>
                <w:sz w:val="14"/>
                <w:szCs w:val="14"/>
                <w:color w:val="auto"/>
              </w:rPr>
              <w:t>Outsourced services and other services</w:t>
            </w:r>
          </w:p>
        </w:tc>
        <w:tc>
          <w:tcPr>
            <w:tcW w:w="26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13,181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7,933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5,248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34,768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21,917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12,851</w:t>
            </w:r>
          </w:p>
        </w:tc>
      </w:tr>
      <w:tr>
        <w:trPr>
          <w:trHeight w:val="181"/>
        </w:trPr>
        <w:tc>
          <w:tcPr>
            <w:tcW w:w="4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3,029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2,534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9,468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7,008</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2,460</w:t>
            </w:r>
          </w:p>
        </w:tc>
      </w:tr>
      <w:tr>
        <w:trPr>
          <w:trHeight w:val="171"/>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189,015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166,417</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22,598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556,333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486,086</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70,247</w:t>
            </w:r>
          </w:p>
        </w:tc>
      </w:tr>
      <w:tr>
        <w:trPr>
          <w:trHeight w:val="20"/>
        </w:trPr>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Merchant card fees</w:t>
      </w:r>
    </w:p>
    <w:p>
      <w:pPr>
        <w:spacing w:after="0" w:line="179" w:lineRule="exact"/>
        <w:rPr>
          <w:sz w:val="20"/>
          <w:szCs w:val="20"/>
          <w:color w:val="auto"/>
        </w:rPr>
      </w:pPr>
    </w:p>
    <w:p>
      <w:pPr>
        <w:jc w:val="both"/>
        <w:ind w:right="180"/>
        <w:spacing w:after="0" w:line="267" w:lineRule="auto"/>
        <w:rPr>
          <w:sz w:val="20"/>
          <w:szCs w:val="20"/>
          <w:color w:val="auto"/>
        </w:rPr>
      </w:pPr>
      <w:r>
        <w:rPr>
          <w:rFonts w:ascii="Arial" w:cs="Arial" w:eastAsia="Arial" w:hAnsi="Arial"/>
          <w:sz w:val="14"/>
          <w:szCs w:val="14"/>
          <w:color w:val="auto"/>
        </w:rPr>
        <w:t>Merchant card fees revenue for the three months ended September 30, 2023 was $147.0 million an increase of $9.3 million, or 6.8%, from $137.7 million for the three months ended September 30, 2022. This increase was primarily driven by revenue from the Plastiq business that was acquired during the quarter and rate increases. These increases were partially offset by a decrease in volume due to diversification of merchant portfolio by one of our referral partners.</w:t>
      </w:r>
    </w:p>
    <w:p>
      <w:pPr>
        <w:spacing w:after="0" w:line="142" w:lineRule="exact"/>
        <w:rPr>
          <w:sz w:val="20"/>
          <w:szCs w:val="20"/>
          <w:color w:val="auto"/>
        </w:rPr>
      </w:pPr>
    </w:p>
    <w:p>
      <w:pPr>
        <w:jc w:val="both"/>
        <w:ind w:right="160"/>
        <w:spacing w:after="0" w:line="267" w:lineRule="auto"/>
        <w:rPr>
          <w:sz w:val="20"/>
          <w:szCs w:val="20"/>
          <w:color w:val="auto"/>
        </w:rPr>
      </w:pPr>
      <w:r>
        <w:rPr>
          <w:rFonts w:ascii="Arial" w:cs="Arial" w:eastAsia="Arial" w:hAnsi="Arial"/>
          <w:sz w:val="14"/>
          <w:szCs w:val="14"/>
          <w:color w:val="auto"/>
        </w:rPr>
        <w:t>Merchant card fees revenue for the nine months ended September 30, 2023 was $441.1 million an increase of $35.7 million, or 8.8%, from $405.4 million for the nine months ended September 30, 2022. This increase was primarily driven by the Plastiq business that was acquired in the quarter ended September 30, 2023 and rate increases. These increases were partially offset by a decrease in volume due to diversification of merchant portfolio by one of our referral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Money transmission services</w:t>
      </w:r>
    </w:p>
    <w:p>
      <w:pPr>
        <w:spacing w:after="0" w:line="179"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Money transmission services for the three months ended September 30, 2023 was $25.8 million an increase of $7.5 million, or 41.0%, from $18.3 million for the three months ended September 30, 2022. This increase was primarily driven by an increase in customer enrollments.</w:t>
      </w:r>
    </w:p>
    <w:p>
      <w:pPr>
        <w:spacing w:after="0" w:line="132"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Money transmission services for the nine months ended September 30, 2023 was $71.0 million an increase of $19.2 million, or 37.1%, from $51.8 million for the nine months ended September 30, 2022. This increase was primarily driven by an increase in customer enrollments.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Outsourced services and other services revenue</w:t>
      </w:r>
    </w:p>
    <w:p>
      <w:pPr>
        <w:spacing w:after="0" w:line="179" w:lineRule="exact"/>
        <w:rPr>
          <w:sz w:val="20"/>
          <w:szCs w:val="20"/>
          <w:color w:val="auto"/>
        </w:rPr>
      </w:pPr>
    </w:p>
    <w:p>
      <w:pPr>
        <w:ind w:right="60"/>
        <w:spacing w:after="0" w:line="368" w:lineRule="auto"/>
        <w:rPr>
          <w:sz w:val="20"/>
          <w:szCs w:val="20"/>
          <w:color w:val="auto"/>
        </w:rPr>
      </w:pPr>
      <w:r>
        <w:rPr>
          <w:rFonts w:ascii="Arial" w:cs="Arial" w:eastAsia="Arial" w:hAnsi="Arial"/>
          <w:sz w:val="12"/>
          <w:szCs w:val="12"/>
          <w:color w:val="auto"/>
        </w:rPr>
        <w:t>Outsourced services and other services revenue of $13.2 million for the three months ended September 30, 2023 increased by $5.3 million, or 67.1%, from $7.9 million for the three months ended September 30, 2022, primarily due to growth in interest income due to higher interest rates and deposit balances offset by decreased managed services revenue due to wind down of certain programs.</w:t>
      </w:r>
    </w:p>
    <w:p>
      <w:pPr>
        <w:spacing w:after="0" w:line="86" w:lineRule="exact"/>
        <w:rPr>
          <w:sz w:val="20"/>
          <w:szCs w:val="20"/>
          <w:color w:val="auto"/>
        </w:rPr>
      </w:pPr>
    </w:p>
    <w:p>
      <w:pPr>
        <w:ind w:right="60"/>
        <w:spacing w:after="0" w:line="368" w:lineRule="auto"/>
        <w:rPr>
          <w:sz w:val="20"/>
          <w:szCs w:val="20"/>
          <w:color w:val="auto"/>
        </w:rPr>
      </w:pPr>
      <w:r>
        <w:rPr>
          <w:rFonts w:ascii="Arial" w:cs="Arial" w:eastAsia="Arial" w:hAnsi="Arial"/>
          <w:sz w:val="12"/>
          <w:szCs w:val="12"/>
          <w:color w:val="auto"/>
        </w:rPr>
        <w:t>Outsourced services and other services revenue of $34.8 million for the nine months ended September 30, 2023 increased by $12.9 million, or 58.9%, from $21.9 million for the nine months ended September 30, 2022, primarily due to growth in interest income due to higher interest rates and deposit balances offset by decreased managed services revenue due to wind down of certain programs.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Equipment</w:t>
      </w:r>
    </w:p>
    <w:p>
      <w:pPr>
        <w:spacing w:after="0" w:line="179"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color w:val="auto"/>
        </w:rPr>
        <w:t>Equipment revenue of $3.0 million for the three months ended September 30, 2023 increased by $0.5 million, or 20.0%, from $2.5 million for the three months ended September 30, 2022. The increase was primarily due to increased sales of point of sale equipment.</w:t>
      </w:r>
    </w:p>
    <w:p>
      <w:pPr>
        <w:spacing w:after="0" w:line="132"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Equipment revenue of $9.5 million for the nine months ended September 30, 2023 increased by $2.5 million, or 35.7%, from $7.0 million for the nine months ended September 30, 2022. The increase was primarily due to increased sales of point of sale equipment.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20" w:type="dxa"/>
            <w:vAlign w:val="bottom"/>
          </w:tcPr>
          <w:p>
            <w:pPr>
              <w:spacing w:after="0"/>
              <w:rPr>
                <w:sz w:val="20"/>
                <w:szCs w:val="20"/>
                <w:color w:val="auto"/>
              </w:rPr>
            </w:pPr>
            <w:r>
              <w:rPr>
                <w:rFonts w:ascii="Arial" w:cs="Arial" w:eastAsia="Arial" w:hAnsi="Arial"/>
                <w:sz w:val="14"/>
                <w:szCs w:val="14"/>
                <w:color w:val="auto"/>
              </w:rPr>
              <w:t>Operating expenses were as follows: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72"/>
        </w:trPr>
        <w:tc>
          <w:tcPr>
            <w:tcW w:w="4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3420" w:type="dxa"/>
            <w:vAlign w:val="bottom"/>
            <w:gridSpan w:val="8"/>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24"/>
                <w:szCs w:val="24"/>
                <w:color w:val="auto"/>
              </w:rPr>
            </w:pPr>
          </w:p>
        </w:tc>
        <w:tc>
          <w:tcPr>
            <w:tcW w:w="3320" w:type="dxa"/>
            <w:vAlign w:val="bottom"/>
            <w:gridSpan w:val="7"/>
          </w:tcPr>
          <w:p>
            <w:pPr>
              <w:jc w:val="right"/>
              <w:ind w:right="649"/>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40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242424"/>
              </w:rPr>
              <w:t>2023</w:t>
            </w: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242424"/>
              </w:rPr>
              <w:t>2022</w:t>
            </w: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242424"/>
              </w:rPr>
              <w:t>2023</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242424"/>
              </w:rPr>
              <w:t>2022</w:t>
            </w: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 Change</w:t>
            </w:r>
          </w:p>
        </w:tc>
      </w:tr>
      <w:tr>
        <w:trPr>
          <w:trHeight w:val="160"/>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0"/>
        </w:trPr>
        <w:tc>
          <w:tcPr>
            <w:tcW w:w="4020" w:type="dxa"/>
            <w:vAlign w:val="bottom"/>
          </w:tcPr>
          <w:p>
            <w:pPr>
              <w:ind w:left="180"/>
              <w:spacing w:after="0"/>
              <w:rPr>
                <w:sz w:val="20"/>
                <w:szCs w:val="20"/>
                <w:color w:val="auto"/>
              </w:rPr>
            </w:pPr>
            <w:r>
              <w:rPr>
                <w:rFonts w:ascii="Arial" w:cs="Arial" w:eastAsia="Arial" w:hAnsi="Arial"/>
                <w:sz w:val="14"/>
                <w:szCs w:val="14"/>
                <w:color w:val="auto"/>
              </w:rPr>
              <w:t>Cost of services (excludes depreciation and amortization)</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116,682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107,958</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8,724</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353,929</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320,187</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33,742</w:t>
            </w:r>
          </w:p>
        </w:tc>
      </w:tr>
      <w:tr>
        <w:trPr>
          <w:trHeight w:val="181"/>
        </w:trPr>
        <w:tc>
          <w:tcPr>
            <w:tcW w:w="4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Salary and employee benefits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20,129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16,384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3,745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58,286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48,231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10,055</w:t>
            </w:r>
          </w:p>
        </w:tc>
      </w:tr>
      <w:tr>
        <w:trPr>
          <w:trHeight w:val="180"/>
        </w:trPr>
        <w:tc>
          <w:tcPr>
            <w:tcW w:w="40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17,275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17,817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(542)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53,303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52,675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628</w:t>
            </w:r>
          </w:p>
        </w:tc>
      </w:tr>
      <w:tr>
        <w:trPr>
          <w:trHeight w:val="181"/>
        </w:trPr>
        <w:tc>
          <w:tcPr>
            <w:tcW w:w="4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11,423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10,178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1,245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31,328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27,027</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4,301</w:t>
            </w:r>
          </w:p>
        </w:tc>
      </w:tr>
      <w:tr>
        <w:trPr>
          <w:trHeight w:val="171"/>
        </w:trPr>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165,509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152,337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13,172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496,846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448,120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48,726</w:t>
            </w: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Cost of services (excludes depreciation and amortization)</w:t>
      </w:r>
    </w:p>
    <w:p>
      <w:pPr>
        <w:spacing w:after="0" w:line="179"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color w:val="auto"/>
        </w:rPr>
        <w:t>Cost of services (excludes depreciation and amortization) of $116.7 million for the three months ended September 30, 2023 increased by $8.7 million, or 8.1%, from $108.0 million for the three months ended September 30, 2022, primarily due to corresponding increase in revenues.</w:t>
      </w:r>
    </w:p>
    <w:p>
      <w:pPr>
        <w:spacing w:after="0" w:line="132"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Cost of services (excludes depreciation and amortization) of $353.9 million for the nine months ended September 30, 2023, increased by $33.7 million, or 10.5%, from $320.2 million for the nine months ended September 30, 2022, primarily due to the corresponding increase in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Salary and employee benefits</w:t>
      </w:r>
    </w:p>
    <w:p>
      <w:pPr>
        <w:spacing w:after="0" w:line="179"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Salary and employee benefits expense of $20.1 million for the three months ended September 30, 2023 increased by $3.7 million, or 22.6%, from $16.4 million for the three months ended September 30, 2022, primarily due to merit increases, an increase in stock-based compensation and increased headcount from the acquisition of the Plastiq business and to support overall growth of the Company.</w:t>
      </w:r>
    </w:p>
    <w:p>
      <w:pPr>
        <w:spacing w:after="0" w:line="142"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Salary and employee benefits expense of $58.3 million for the nine months ended September 30, 2023 increased by $10.1 million, or 21.0%, from $48.2 million for the nine months ended September 30, 2022, primarily due to merit increases, an increase in stock-based compensation and increased headcount from the acquisition of the Plastiq business and to support overall growth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Depreciation and amortization expense</w:t>
      </w:r>
    </w:p>
    <w:p>
      <w:pPr>
        <w:spacing w:after="0" w:line="179" w:lineRule="exact"/>
        <w:rPr>
          <w:sz w:val="20"/>
          <w:szCs w:val="20"/>
          <w:color w:val="auto"/>
        </w:rPr>
      </w:pPr>
    </w:p>
    <w:p>
      <w:pPr>
        <w:ind w:right="680"/>
        <w:spacing w:after="0" w:line="281" w:lineRule="auto"/>
        <w:rPr>
          <w:sz w:val="20"/>
          <w:szCs w:val="20"/>
          <w:color w:val="auto"/>
        </w:rPr>
      </w:pPr>
      <w:r>
        <w:rPr>
          <w:rFonts w:ascii="Arial" w:cs="Arial" w:eastAsia="Arial" w:hAnsi="Arial"/>
          <w:sz w:val="14"/>
          <w:szCs w:val="14"/>
          <w:color w:val="auto"/>
        </w:rPr>
        <w:t>Depreciation and amortization expense of $17.3 million for the three months ended September 30, 2023 decreased by $0.5 million, or 2.8%, from $17.8 million for the three months ended September 30, 2022, primarily due to full amortization of certain intangible assets, partially offset by the depreciation of new assets placed in service.</w:t>
      </w:r>
    </w:p>
    <w:p>
      <w:pPr>
        <w:spacing w:after="0" w:line="132" w:lineRule="exact"/>
        <w:rPr>
          <w:sz w:val="20"/>
          <w:szCs w:val="20"/>
          <w:color w:val="auto"/>
        </w:rPr>
      </w:pPr>
    </w:p>
    <w:p>
      <w:pPr>
        <w:ind w:right="780"/>
        <w:spacing w:after="0" w:line="281" w:lineRule="auto"/>
        <w:rPr>
          <w:sz w:val="20"/>
          <w:szCs w:val="20"/>
          <w:color w:val="auto"/>
        </w:rPr>
      </w:pPr>
      <w:r>
        <w:rPr>
          <w:rFonts w:ascii="Arial" w:cs="Arial" w:eastAsia="Arial" w:hAnsi="Arial"/>
          <w:sz w:val="14"/>
          <w:szCs w:val="14"/>
          <w:color w:val="auto"/>
        </w:rPr>
        <w:t>Depreciation and amortization expense of $53.3 million for the nine months ended September 30, 2023 increased by $0.6 million, or 1.1%, from $52.7 million for the nine months ended September 30, 2022, primarily due to the depreciation of new assets placed in service, partially offset by full amortization of certain intangible 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Selling, general and administrative</w:t>
      </w:r>
    </w:p>
    <w:p>
      <w:pPr>
        <w:spacing w:after="0" w:line="179" w:lineRule="exact"/>
        <w:rPr>
          <w:sz w:val="20"/>
          <w:szCs w:val="20"/>
          <w:color w:val="auto"/>
        </w:rPr>
      </w:pPr>
    </w:p>
    <w:p>
      <w:pPr>
        <w:ind w:right="340"/>
        <w:spacing w:after="0" w:line="321" w:lineRule="auto"/>
        <w:rPr>
          <w:sz w:val="20"/>
          <w:szCs w:val="20"/>
          <w:color w:val="auto"/>
        </w:rPr>
      </w:pPr>
      <w:r>
        <w:rPr>
          <w:rFonts w:ascii="Arial" w:cs="Arial" w:eastAsia="Arial" w:hAnsi="Arial"/>
          <w:sz w:val="13"/>
          <w:szCs w:val="13"/>
          <w:color w:val="auto"/>
        </w:rPr>
        <w:t>Selling, general and administrative expenses of $11.4 million for the three months ended September 30, 2023 increased by $1.2 million, or 11.8%, from $10.2 million for the three months ended September 30, 2022, primarily due to certain nonrecurring expenses related to the acquisition of the Plastiq business and other expenses to support overall growth of the Company.</w:t>
      </w:r>
    </w:p>
    <w:p>
      <w:pPr>
        <w:spacing w:after="0" w:line="109" w:lineRule="exact"/>
        <w:rPr>
          <w:sz w:val="20"/>
          <w:szCs w:val="20"/>
          <w:color w:val="auto"/>
        </w:rPr>
      </w:pPr>
    </w:p>
    <w:p>
      <w:pPr>
        <w:ind w:right="400"/>
        <w:spacing w:after="0" w:line="321" w:lineRule="auto"/>
        <w:rPr>
          <w:sz w:val="20"/>
          <w:szCs w:val="20"/>
          <w:color w:val="auto"/>
        </w:rPr>
      </w:pPr>
      <w:r>
        <w:rPr>
          <w:rFonts w:ascii="Arial" w:cs="Arial" w:eastAsia="Arial" w:hAnsi="Arial"/>
          <w:sz w:val="13"/>
          <w:szCs w:val="13"/>
          <w:color w:val="auto"/>
        </w:rPr>
        <w:t>Selling, general and administrative expenses of $31.3 million for the nine months ended September 30, 2023 increased by $4.3 million, or 15.9%, from $27.0 million for the nine months ended September 30, 2022, primarily due to certain nonrecurring expenses related to the acquisition of the Plastiq business and other expenses to support overall growth of the Company.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80" w:type="dxa"/>
            <w:vAlign w:val="bottom"/>
          </w:tcPr>
          <w:p>
            <w:pPr>
              <w:spacing w:after="0"/>
              <w:rPr>
                <w:sz w:val="20"/>
                <w:szCs w:val="20"/>
                <w:color w:val="auto"/>
              </w:rPr>
            </w:pPr>
            <w:r>
              <w:rPr>
                <w:rFonts w:ascii="Arial" w:cs="Arial" w:eastAsia="Arial" w:hAnsi="Arial"/>
                <w:sz w:val="14"/>
                <w:szCs w:val="14"/>
                <w:b w:val="1"/>
                <w:bCs w:val="1"/>
                <w:i w:val="1"/>
                <w:iCs w:val="1"/>
                <w:color w:val="auto"/>
              </w:rPr>
              <w:t>Other Expense, net</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0"/>
        </w:trPr>
        <w:tc>
          <w:tcPr>
            <w:tcW w:w="4180" w:type="dxa"/>
            <w:vAlign w:val="bottom"/>
          </w:tcPr>
          <w:p>
            <w:pPr>
              <w:spacing w:after="0"/>
              <w:rPr>
                <w:sz w:val="20"/>
                <w:szCs w:val="20"/>
                <w:color w:val="auto"/>
              </w:rPr>
            </w:pPr>
            <w:r>
              <w:rPr>
                <w:rFonts w:ascii="Arial" w:cs="Arial" w:eastAsia="Arial" w:hAnsi="Arial"/>
                <w:sz w:val="14"/>
                <w:szCs w:val="14"/>
                <w:color w:val="auto"/>
              </w:rPr>
              <w:t>Other expenses, net were as follows: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2"/>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338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24"/>
                <w:szCs w:val="24"/>
                <w:color w:val="auto"/>
              </w:rPr>
            </w:pPr>
          </w:p>
        </w:tc>
        <w:tc>
          <w:tcPr>
            <w:tcW w:w="3200" w:type="dxa"/>
            <w:vAlign w:val="bottom"/>
            <w:gridSpan w:val="7"/>
          </w:tcPr>
          <w:p>
            <w:pPr>
              <w:jc w:val="right"/>
              <w:ind w:right="609"/>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41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242424"/>
              </w:rPr>
              <w:t>2023</w:t>
            </w: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242424"/>
              </w:rPr>
              <w:t>2022</w:t>
            </w:r>
          </w:p>
        </w:tc>
        <w:tc>
          <w:tcPr>
            <w:tcW w:w="10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242424"/>
              </w:rPr>
              <w:t>2023</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242424"/>
              </w:rPr>
              <w:t>2022</w:t>
            </w: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 Change</w:t>
            </w:r>
          </w:p>
        </w:tc>
      </w:tr>
      <w:tr>
        <w:trPr>
          <w:trHeight w:val="160"/>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0"/>
        </w:trPr>
        <w:tc>
          <w:tcPr>
            <w:tcW w:w="418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(19,997)</w:t>
            </w:r>
          </w:p>
        </w:tc>
        <w:tc>
          <w:tcPr>
            <w:tcW w:w="10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(13,412)</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(6,585)</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(55,461)</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(37,282)</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(18,179)</w:t>
            </w:r>
          </w:p>
        </w:tc>
      </w:tr>
      <w:tr>
        <w:trPr>
          <w:trHeight w:val="181"/>
        </w:trPr>
        <w:tc>
          <w:tcPr>
            <w:tcW w:w="4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income, net</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1,319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1,008</w:t>
            </w:r>
          </w:p>
        </w:tc>
      </w:tr>
      <w:tr>
        <w:trPr>
          <w:trHeight w:val="171"/>
        </w:trPr>
        <w:tc>
          <w:tcPr>
            <w:tcW w:w="4180" w:type="dxa"/>
            <w:vAlign w:val="bottom"/>
          </w:tcPr>
          <w:p>
            <w:pPr>
              <w:ind w:left="18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(19,265)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(13,181)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(6,084)</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(54,142)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(36,971)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(17,171)</w:t>
            </w: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79" w:lineRule="exact"/>
        <w:rPr>
          <w:sz w:val="20"/>
          <w:szCs w:val="20"/>
          <w:color w:val="auto"/>
        </w:rPr>
      </w:pPr>
    </w:p>
    <w:p>
      <w:pPr>
        <w:ind w:right="340"/>
        <w:spacing w:after="0" w:line="368" w:lineRule="auto"/>
        <w:rPr>
          <w:sz w:val="20"/>
          <w:szCs w:val="20"/>
          <w:color w:val="auto"/>
        </w:rPr>
      </w:pPr>
      <w:r>
        <w:rPr>
          <w:rFonts w:ascii="Arial" w:cs="Arial" w:eastAsia="Arial" w:hAnsi="Arial"/>
          <w:sz w:val="12"/>
          <w:szCs w:val="12"/>
          <w:color w:val="auto"/>
        </w:rPr>
        <w:t>Interest expense of $20.0 million for the three months ended September 30, 2023 increased by $6.6 million, or 49.3%, from $13.4 million for the three months ended September 30, 2022, due to increased interest rates and increased outstanding balance in the revolving credit facility used for the acquisition of the Plastiq business in the three months ended September 30, 2023.</w:t>
      </w:r>
    </w:p>
    <w:p>
      <w:pPr>
        <w:spacing w:after="0" w:line="86" w:lineRule="exact"/>
        <w:rPr>
          <w:sz w:val="20"/>
          <w:szCs w:val="20"/>
          <w:color w:val="auto"/>
        </w:rPr>
      </w:pPr>
    </w:p>
    <w:p>
      <w:pPr>
        <w:ind w:right="340"/>
        <w:spacing w:after="0" w:line="321" w:lineRule="auto"/>
        <w:rPr>
          <w:sz w:val="20"/>
          <w:szCs w:val="20"/>
          <w:color w:val="auto"/>
        </w:rPr>
      </w:pPr>
      <w:r>
        <w:rPr>
          <w:rFonts w:ascii="Arial" w:cs="Arial" w:eastAsia="Arial" w:hAnsi="Arial"/>
          <w:sz w:val="13"/>
          <w:szCs w:val="13"/>
          <w:color w:val="auto"/>
        </w:rPr>
        <w:t>Interest expense of $55.5 million for the nine months ended September 30, 2023 increased by $18.2 million, or 48.8%, from $37.3 million for the nine months ended September 30, 2022, due to increased interest rates and increased outstanding balance in the revolving credit facility used for the acquisition of the Plastiq business in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903"/>
        </w:trPr>
        <w:tc>
          <w:tcPr>
            <w:tcW w:w="3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Income tax (benefit) expense</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0"/>
        </w:trPr>
        <w:tc>
          <w:tcPr>
            <w:tcW w:w="3860" w:type="dxa"/>
            <w:vAlign w:val="bottom"/>
            <w:gridSpan w:val="2"/>
          </w:tcPr>
          <w:p>
            <w:pPr>
              <w:spacing w:after="0"/>
              <w:rPr>
                <w:sz w:val="20"/>
                <w:szCs w:val="20"/>
                <w:color w:val="auto"/>
              </w:rPr>
            </w:pPr>
            <w:r>
              <w:rPr>
                <w:rFonts w:ascii="Arial" w:cs="Arial" w:eastAsia="Arial" w:hAnsi="Arial"/>
                <w:sz w:val="14"/>
                <w:szCs w:val="14"/>
                <w:color w:val="auto"/>
              </w:rPr>
              <w:t>Income tax expense was as follows: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2"/>
        </w:trPr>
        <w:tc>
          <w:tcPr>
            <w:tcW w:w="3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w w:val="91"/>
              </w:rPr>
              <w:t>Three Months Ended September 30,</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w w:val="92"/>
              </w:rPr>
              <w:t>Nine Months Ended September 30,</w:t>
            </w:r>
          </w:p>
        </w:tc>
        <w:tc>
          <w:tcPr>
            <w:tcW w:w="720" w:type="dxa"/>
            <w:vAlign w:val="bottom"/>
            <w:tcBorders>
              <w:bottom w:val="single" w:sz="8" w:color="auto"/>
            </w:tcBorders>
          </w:tcPr>
          <w:p>
            <w:pPr>
              <w:spacing w:after="0"/>
              <w:rPr>
                <w:sz w:val="24"/>
                <w:szCs w:val="24"/>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242424"/>
              </w:rPr>
              <w:t>2023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242424"/>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242424"/>
              </w:rPr>
              <w:t>2023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242424"/>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89"/>
              </w:rPr>
              <w:t>Change</w:t>
            </w:r>
          </w:p>
        </w:tc>
      </w:tr>
      <w:tr>
        <w:trPr>
          <w:trHeight w:val="171"/>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4,241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899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5,345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4,350</w:t>
            </w:r>
          </w:p>
        </w:tc>
      </w:tr>
      <w:tr>
        <w:trPr>
          <w:trHeight w:val="180"/>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Income tax expense</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Pr>
          <w:p>
            <w:pPr>
              <w:ind w:left="440"/>
              <w:spacing w:after="0"/>
              <w:rPr>
                <w:sz w:val="20"/>
                <w:szCs w:val="20"/>
                <w:color w:val="auto"/>
              </w:rPr>
            </w:pPr>
            <w:r>
              <w:rPr>
                <w:rFonts w:ascii="Arial" w:cs="Arial" w:eastAsia="Arial" w:hAnsi="Arial"/>
                <w:sz w:val="14"/>
                <w:szCs w:val="14"/>
                <w:color w:val="auto"/>
              </w:rPr>
              <w:t>4,328</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1,691</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2,637</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440"/>
              <w:spacing w:after="0"/>
              <w:rPr>
                <w:sz w:val="20"/>
                <w:szCs w:val="20"/>
                <w:color w:val="auto"/>
              </w:rPr>
            </w:pPr>
            <w:r>
              <w:rPr>
                <w:rFonts w:ascii="Arial" w:cs="Arial" w:eastAsia="Arial" w:hAnsi="Arial"/>
                <w:sz w:val="14"/>
                <w:szCs w:val="14"/>
                <w:color w:val="auto"/>
              </w:rPr>
              <w:t>6,550</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1,833</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4,717</w:t>
            </w:r>
          </w:p>
        </w:tc>
      </w:tr>
      <w:tr>
        <w:trPr>
          <w:trHeight w:val="181"/>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9"/>
              </w:rPr>
              <w:t>102.1 %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ind w:left="440"/>
              <w:spacing w:after="0"/>
              <w:rPr>
                <w:sz w:val="20"/>
                <w:szCs w:val="20"/>
                <w:color w:val="auto"/>
              </w:rPr>
            </w:pPr>
            <w:r>
              <w:rPr>
                <w:rFonts w:ascii="Arial" w:cs="Arial" w:eastAsia="Arial" w:hAnsi="Arial"/>
                <w:sz w:val="14"/>
                <w:szCs w:val="14"/>
                <w:color w:val="auto"/>
                <w:w w:val="93"/>
              </w:rPr>
              <w:t>122.5 %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bl>
    <w:p>
      <w:pPr>
        <w:spacing w:after="0" w:line="23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compute our interim period income tax expense or benefit by using a forecasted EAETR and adjust for any discrete items arising during the interim period and any changes in our projected full-year business interest expense and taxable income. The EAETR for 2023 is 117.6% and includes the income tax provision on pre-tax income and a tax provision related to establishment of a valuation allowance for deferred income tax on the future portion of the Section 163(j) limitation created by additional 2023 interest expense. The effective tax rate for 2023 changed primarily due to an increase in the valuation allowance against certain business interest carryover deferred tax assets.</w:t>
      </w:r>
    </w:p>
    <w:p>
      <w:pPr>
        <w:spacing w:after="0" w:line="146"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Our consolidated effective income tax rates differ from the statutory rate due to timing and permanent differences between amounts calculated under accounting principles GAAP and the U.S. tax code. The consolidated effective income tax rate for 2023 may not be indicative of our effective tax rate for future periods.</w:t>
      </w:r>
    </w:p>
    <w:p>
      <w:pPr>
        <w:spacing w:after="0" w:line="132"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On August 16, 2022, the U.S. government enacted the Inflation Reduction Act into law. The IRA, among other provisions, implements a 15% corporate alternative minimum tax based on global adjusted financial statement income and a 1% excise tax on share repurchases, which shall take effect in tax years beginning after December 31, 2022. We do not expect the enactment of the IRA will have a material effect on our reported results, cash flows, or financial position. If applicable, we expect to reflect the excise tax within equity as part of the repurchase price of common stock.</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20"/>
                <w:szCs w:val="20"/>
                <w:color w:val="auto"/>
              </w:rPr>
            </w:pPr>
            <w:r>
              <w:rPr>
                <w:rFonts w:ascii="Arial" w:cs="Arial" w:eastAsia="Arial" w:hAnsi="Arial"/>
                <w:sz w:val="14"/>
                <w:szCs w:val="14"/>
                <w:b w:val="1"/>
                <w:bCs w:val="1"/>
                <w:color w:val="auto"/>
              </w:rPr>
              <w:t>Segment Results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780" w:type="dxa"/>
            <w:vAlign w:val="bottom"/>
          </w:tcPr>
          <w:p>
            <w:pPr>
              <w:spacing w:after="0"/>
              <w:rPr>
                <w:sz w:val="20"/>
                <w:szCs w:val="20"/>
                <w:color w:val="auto"/>
              </w:rPr>
            </w:pPr>
            <w:r>
              <w:rPr>
                <w:rFonts w:ascii="Arial" w:cs="Arial" w:eastAsia="Arial" w:hAnsi="Arial"/>
                <w:sz w:val="14"/>
                <w:szCs w:val="14"/>
                <w:b w:val="1"/>
                <w:bCs w:val="1"/>
                <w:i w:val="1"/>
                <w:iCs w:val="1"/>
                <w:color w:val="auto"/>
              </w:rPr>
              <w:t>SMB Payments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2"/>
              </w:rPr>
              <w:t>Nine Months Ended September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242424"/>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242424"/>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242424"/>
              </w:rPr>
              <w:t>2023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242424"/>
              </w:rPr>
              <w:t>2022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w w:val="98"/>
              </w:rPr>
              <w:t>$ Change</w:t>
            </w: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140,109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139,892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442,937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412,357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30,580</w:t>
            </w:r>
          </w:p>
        </w:tc>
        <w:tc>
          <w:tcPr>
            <w:tcW w:w="0" w:type="dxa"/>
            <w:vAlign w:val="bottom"/>
          </w:tcPr>
          <w:p>
            <w:pPr>
              <w:spacing w:after="0"/>
              <w:rPr>
                <w:sz w:val="1"/>
                <w:szCs w:val="1"/>
                <w:color w:val="auto"/>
              </w:rPr>
            </w:pPr>
          </w:p>
        </w:tc>
      </w:tr>
      <w:tr>
        <w:trPr>
          <w:trHeight w:val="18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expenses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128,288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126,445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1,843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407,563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372,429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35,134</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11,821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13,447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(1,626)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35,374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39,928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Operating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Arial" w:cs="Arial" w:eastAsia="Arial" w:hAnsi="Arial"/>
                <w:sz w:val="14"/>
                <w:szCs w:val="14"/>
                <w:color w:val="auto"/>
              </w:rPr>
              <w:t>8.4 %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Arial" w:cs="Arial" w:eastAsia="Arial" w:hAnsi="Arial"/>
                <w:sz w:val="14"/>
                <w:szCs w:val="14"/>
                <w:color w:val="auto"/>
              </w:rPr>
              <w:t>9.6 %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ind w:left="720"/>
              <w:spacing w:after="0" w:line="143" w:lineRule="exact"/>
              <w:rPr>
                <w:sz w:val="20"/>
                <w:szCs w:val="20"/>
                <w:color w:val="auto"/>
              </w:rPr>
            </w:pPr>
            <w:r>
              <w:rPr>
                <w:rFonts w:ascii="Arial" w:cs="Arial" w:eastAsia="Arial" w:hAnsi="Arial"/>
                <w:sz w:val="14"/>
                <w:szCs w:val="14"/>
                <w:color w:val="auto"/>
                <w:w w:val="89"/>
              </w:rPr>
              <w:t>8.0 %</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Arial" w:cs="Arial" w:eastAsia="Arial" w:hAnsi="Arial"/>
                <w:sz w:val="14"/>
                <w:szCs w:val="14"/>
                <w:color w:val="auto"/>
              </w:rPr>
              <w:t>9.7 %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11,040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31,473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32,844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Key Indicators: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9"/>
              </w:rPr>
              <w:t>Merchant bankcard processing dollar value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14,150,995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15,098,450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(947,455)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44,483,491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44,577,857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(94,366)</w:t>
            </w:r>
          </w:p>
        </w:tc>
        <w:tc>
          <w:tcPr>
            <w:tcW w:w="0" w:type="dxa"/>
            <w:vAlign w:val="bottom"/>
          </w:tcPr>
          <w:p>
            <w:pPr>
              <w:spacing w:after="0"/>
              <w:rPr>
                <w:sz w:val="1"/>
                <w:szCs w:val="1"/>
                <w:color w:val="auto"/>
              </w:rPr>
            </w:pPr>
          </w:p>
        </w:tc>
      </w:tr>
      <w:tr>
        <w:trPr>
          <w:trHeight w:val="180"/>
        </w:trPr>
        <w:tc>
          <w:tcPr>
            <w:tcW w:w="2780" w:type="dxa"/>
            <w:vAlign w:val="bottom"/>
          </w:tcPr>
          <w:p>
            <w:pPr>
              <w:ind w:left="100"/>
              <w:spacing w:after="0"/>
              <w:rPr>
                <w:sz w:val="20"/>
                <w:szCs w:val="20"/>
                <w:color w:val="auto"/>
              </w:rPr>
            </w:pPr>
            <w:r>
              <w:rPr>
                <w:rFonts w:ascii="Arial" w:cs="Arial" w:eastAsia="Arial" w:hAnsi="Arial"/>
                <w:sz w:val="14"/>
                <w:szCs w:val="14"/>
                <w:color w:val="auto"/>
              </w:rPr>
              <w:t>Merchant bankcard transaction count</w:t>
            </w:r>
          </w:p>
        </w:tc>
        <w:tc>
          <w:tcPr>
            <w:tcW w:w="32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178,721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165,796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12,925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522,470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476,084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46,386</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Revenue</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Revenue from our SMB Payments segment of $140.1 million for the three months ended September 30, 2023, remained consistent to $139.9 million for the three months ended September 30, 2022. The Company experienced a decline in its processed merchant bankcard volume due to diversification of merchant portfolio by one of its referral partners. The decrease in revenue due to decline in volume was partially offset by increased transaction count and merchant card fee rate increases. The Company's revenue from the SMB Payments segment as a percentage of merchant bankcard processing dollar value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2023 increased to 0.98% from 0.93% during 2022. The increase was primarily driven by a rate increase and changes in the merchant mix.</w:t>
      </w:r>
    </w:p>
    <w:p>
      <w:pPr>
        <w:spacing w:after="0" w:line="179"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color w:val="auto"/>
        </w:rPr>
        <w:t>Revenue from our SMB Payments segment was $442.9 million for the nine months ended September 30, 2023, compared to $412.4 million for the nine months ended September 30, 2022. The increase of $30.5 million, or 7.4%, was primarily driven by increased transaction count, merchant card fee rate increases and accrual of certain incentives, offset by a decrease in certain fee-based revenue, a true up of an invoice from one of the partner banks for certain services provided in Q1 2022 and a decline in processed merchant bankcard volume due to diversification of merchant portfolio by one of its referral partners. The Company's revenue from the SMB Payments segment as a percentage of merchant bankcard processing dollar value during 2023 increased to 1.0% from 0.92% during 2022. The increase was primarily driven by an increase in incentive revenue and changes in the merchant mix.</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Operating Income</w:t>
      </w:r>
    </w:p>
    <w:p>
      <w:pPr>
        <w:spacing w:after="0" w:line="179"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Operating income from our SMB Payments segment was $11.8 million for the three months ended September 30, 2023, compared to $13.4 million for the three months ended September 30, 2022. The decrease of $1.6 million, or 11.9%, was primarily driven by the timing of certain billing adjustments in the three months ended September 30, 2022, the mix related margin compression, a $1.3 million increase in salary and employee benefits due to higher headcount, higher stock-based compensation and annual pay raises, and a $0.3 million increase in selling, general and administrative expenses driven by higher software and travel and other operating costs. The increase in headcount and selling, general and administrative expenses are mainly attributable to growth initiatives.</w:t>
      </w:r>
    </w:p>
    <w:p>
      <w:pPr>
        <w:spacing w:after="0" w:line="146" w:lineRule="exact"/>
        <w:rPr>
          <w:sz w:val="20"/>
          <w:szCs w:val="20"/>
          <w:color w:val="auto"/>
        </w:rPr>
      </w:pPr>
    </w:p>
    <w:p>
      <w:pPr>
        <w:spacing w:after="0" w:line="319" w:lineRule="auto"/>
        <w:rPr>
          <w:sz w:val="20"/>
          <w:szCs w:val="20"/>
          <w:color w:val="auto"/>
        </w:rPr>
      </w:pPr>
      <w:r>
        <w:rPr>
          <w:rFonts w:ascii="Arial" w:cs="Arial" w:eastAsia="Arial" w:hAnsi="Arial"/>
          <w:sz w:val="12"/>
          <w:szCs w:val="12"/>
          <w:color w:val="auto"/>
        </w:rPr>
        <w:t>Operating income from our SMB Payments segment was $35.4 million for the nine months ended September 30, 2023, compared to $39.9 million for the nine months ended September 30, 2022. The decrease of $4.5 million, or 11.3%, was primarily driven by the timing of certain billing adjustments in the three months ended September 30, 2022, the mix related margin compression, a $4.9 million increase in salary and employee benefits due to higher headcount, higher stock-based compensation and annual pay raises, and a $2.2 million increase in selling, general and administrative expenses driven by higher software and travel and other operating costs. The increase in headcount and selling, general and administrative expenses are mainly attributable to growth initiatives.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Depreciation and Amortization</w:t>
      </w:r>
    </w:p>
    <w:p>
      <w:pPr>
        <w:spacing w:after="0" w:line="179"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color w:val="auto"/>
        </w:rPr>
        <w:t>Depreciation and amortization expense of our SMB Payments segment was $9.9 million for the three months ended September 30, 2023, compared to $11.0 million for the three months ended September 30, 2022. The decrease of $1.1 million is due to full amortization of certain intangible assets.</w:t>
      </w:r>
    </w:p>
    <w:p>
      <w:pPr>
        <w:spacing w:after="0" w:line="132"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color w:val="auto"/>
        </w:rPr>
        <w:t>Depreciation and amortization expense of our SMB Payments segment was $31.5 million for the nine months ended September 30, 2023, compared to $32.8 million for the nine months ended September 30, 2022. The decrease of $1.3 million is due to full amortization of certain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280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3"/>
        </w:trPr>
        <w:tc>
          <w:tcPr>
            <w:tcW w:w="1000" w:type="dxa"/>
            <w:vAlign w:val="bottom"/>
            <w:tcBorders>
              <w:top w:val="single" w:sz="8" w:color="0000FF"/>
            </w:tcBorders>
          </w:tcPr>
          <w:p>
            <w:pPr>
              <w:spacing w:after="0"/>
              <w:rPr>
                <w:sz w:val="20"/>
                <w:szCs w:val="20"/>
                <w:color w:val="auto"/>
              </w:rPr>
            </w:pPr>
            <w:r>
              <w:rPr>
                <w:rFonts w:ascii="Arial" w:cs="Arial" w:eastAsia="Arial" w:hAnsi="Arial"/>
                <w:sz w:val="14"/>
                <w:szCs w:val="14"/>
                <w:b w:val="1"/>
                <w:bCs w:val="1"/>
                <w:i w:val="1"/>
                <w:iCs w:val="1"/>
                <w:color w:val="auto"/>
                <w:w w:val="99"/>
              </w:rPr>
              <w:t>B2B Payments</w:t>
            </w: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242424"/>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242424"/>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w w:val="95"/>
              </w:rPr>
              <w:t>$ Change</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242424"/>
              </w:rPr>
              <w:t>2023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242424"/>
              </w:rPr>
              <w:t>2022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w w:val="98"/>
              </w:rPr>
              <w:t>$ Change</w:t>
            </w:r>
          </w:p>
        </w:tc>
        <w:tc>
          <w:tcPr>
            <w:tcW w:w="0" w:type="dxa"/>
            <w:vAlign w:val="bottom"/>
          </w:tcPr>
          <w:p>
            <w:pPr>
              <w:spacing w:after="0"/>
              <w:rPr>
                <w:sz w:val="1"/>
                <w:szCs w:val="1"/>
                <w:color w:val="auto"/>
              </w:rPr>
            </w:pPr>
          </w:p>
        </w:tc>
      </w:tr>
      <w:tr>
        <w:trPr>
          <w:trHeight w:val="17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13,748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4,868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8,880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19,505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16,088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3,417</w:t>
            </w:r>
          </w:p>
        </w:tc>
        <w:tc>
          <w:tcPr>
            <w:tcW w:w="0" w:type="dxa"/>
            <w:vAlign w:val="bottom"/>
          </w:tcPr>
          <w:p>
            <w:pPr>
              <w:spacing w:after="0"/>
              <w:rPr>
                <w:sz w:val="1"/>
                <w:szCs w:val="1"/>
                <w:color w:val="auto"/>
              </w:rPr>
            </w:pPr>
          </w:p>
        </w:tc>
      </w:tr>
      <w:tr>
        <w:trPr>
          <w:trHeight w:val="180"/>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Operating expenses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13,670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4,651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9,019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20,295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14,799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5,496</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(790)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1,289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(2,079)</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Operating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Arial" w:cs="Arial" w:eastAsia="Arial" w:hAnsi="Arial"/>
                <w:sz w:val="14"/>
                <w:szCs w:val="14"/>
                <w:color w:val="auto"/>
              </w:rPr>
              <w:t>0.6 %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Arial" w:cs="Arial" w:eastAsia="Arial" w:hAnsi="Arial"/>
                <w:sz w:val="14"/>
                <w:szCs w:val="14"/>
                <w:color w:val="auto"/>
              </w:rPr>
              <w:t>4.5 %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3" w:lineRule="exact"/>
              <w:rPr>
                <w:sz w:val="20"/>
                <w:szCs w:val="20"/>
                <w:color w:val="auto"/>
              </w:rPr>
            </w:pPr>
            <w:r>
              <w:rPr>
                <w:rFonts w:ascii="Arial" w:cs="Arial" w:eastAsia="Arial" w:hAnsi="Arial"/>
                <w:sz w:val="14"/>
                <w:szCs w:val="14"/>
                <w:color w:val="auto"/>
              </w:rPr>
              <w:t>8.0 %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80"/>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Key Indicators: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B2B issuing dollar volume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221,456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214,085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7,371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636,361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597,665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38,696</w:t>
            </w:r>
          </w:p>
        </w:tc>
        <w:tc>
          <w:tcPr>
            <w:tcW w:w="0" w:type="dxa"/>
            <w:vAlign w:val="bottom"/>
          </w:tcPr>
          <w:p>
            <w:pPr>
              <w:spacing w:after="0"/>
              <w:rPr>
                <w:sz w:val="1"/>
                <w:szCs w:val="1"/>
                <w:color w:val="auto"/>
              </w:rPr>
            </w:pPr>
          </w:p>
        </w:tc>
      </w:tr>
      <w:tr>
        <w:trPr>
          <w:trHeight w:val="180"/>
        </w:trPr>
        <w:tc>
          <w:tcPr>
            <w:tcW w:w="2800" w:type="dxa"/>
            <w:vAlign w:val="bottom"/>
            <w:gridSpan w:val="2"/>
          </w:tcPr>
          <w:p>
            <w:pPr>
              <w:ind w:left="100"/>
              <w:spacing w:after="0"/>
              <w:rPr>
                <w:sz w:val="20"/>
                <w:szCs w:val="20"/>
                <w:color w:val="auto"/>
              </w:rPr>
            </w:pPr>
            <w:r>
              <w:rPr>
                <w:rFonts w:ascii="Arial" w:cs="Arial" w:eastAsia="Arial" w:hAnsi="Arial"/>
                <w:sz w:val="14"/>
                <w:szCs w:val="14"/>
                <w:color w:val="auto"/>
              </w:rPr>
              <w:t>B2B issuing transaction count</w:t>
            </w:r>
          </w:p>
        </w:tc>
        <w:tc>
          <w:tcPr>
            <w:tcW w:w="320" w:type="dxa"/>
            <w:vAlign w:val="bottom"/>
          </w:tcPr>
          <w:p>
            <w:pPr>
              <w:spacing w:after="0"/>
              <w:rPr>
                <w:sz w:val="15"/>
                <w:szCs w:val="15"/>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829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683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Revenue</w:t>
      </w:r>
    </w:p>
    <w:p>
      <w:pPr>
        <w:spacing w:after="0" w:line="179"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Revenue from our B2B Payments segment was $13.7 million for the three months ended September 30, 2023, compared to $4.9 million for the three months ended September 30, 2022. The increase of $8.8 million, or 179.6%, was primarily driven by revenue from the Plastiq business that was acquired during the quarter.</w:t>
      </w:r>
    </w:p>
    <w:p>
      <w:pPr>
        <w:spacing w:after="0" w:line="132"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Revenue from our B2B Payments segment was $19.5 million for the nine months ended September 30, 2023, compared to $16.1 million for the nine months ended September 30, 2022. The increase of $3.4 million, or 21.1%, was primarily driven by revenue from the Plastiq business that was acquired during the quarter, partially offset by a decrease in managed services business due to wind down of certain programs and recognition of certain revenues during 2022 related to a contract termination.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Operating Income (Loss)</w:t>
      </w:r>
    </w:p>
    <w:p>
      <w:pPr>
        <w:spacing w:after="0" w:line="179" w:lineRule="exact"/>
        <w:rPr>
          <w:sz w:val="20"/>
          <w:szCs w:val="20"/>
          <w:color w:val="auto"/>
        </w:rPr>
      </w:pPr>
    </w:p>
    <w:p>
      <w:pPr>
        <w:ind w:right="280"/>
        <w:spacing w:after="0" w:line="321" w:lineRule="auto"/>
        <w:rPr>
          <w:sz w:val="20"/>
          <w:szCs w:val="20"/>
          <w:color w:val="auto"/>
        </w:rPr>
      </w:pPr>
      <w:r>
        <w:rPr>
          <w:rFonts w:ascii="Arial" w:cs="Arial" w:eastAsia="Arial" w:hAnsi="Arial"/>
          <w:sz w:val="13"/>
          <w:szCs w:val="13"/>
          <w:color w:val="auto"/>
        </w:rPr>
        <w:t>Operating income from our B2B Payments segment was $0.1 million for the three months ended September 30, 2023 compared to an operating income of $0.2 million for the three months ended September 30, 2022. The decrease of $0.1 million was primarily attributable to the Plastiq business that was acquired during the quarter and currently being stabilized.</w:t>
      </w:r>
    </w:p>
    <w:p>
      <w:pPr>
        <w:spacing w:after="0" w:line="109"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color w:val="auto"/>
        </w:rPr>
        <w:t>Operating loss from our B2B Payments segment was $0.8 million for the nine months ended September 30, 2023 compared to an operating income of $1.3 million for the nine months ended September 30, 2022. The decrease of $2.1 million was primarily attributable to decreases in revenue from managed services business business and the Plastiq business that was acquired during the quarter and currently being stabilized.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Depreciation and Amortization</w:t>
      </w:r>
    </w:p>
    <w:p>
      <w:pPr>
        <w:spacing w:after="0" w:line="179"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Depreciation and amortization from our B2B Payments segment was $0.8 million for the three months ended September 30, 2023, compared to $0.3 million depreciation and amortization expense for the three months ended September 30, 2022.</w:t>
      </w:r>
    </w:p>
    <w:p>
      <w:pPr>
        <w:spacing w:after="0" w:line="132"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Depreciation and amortization from our B2B Payments segment was $1.0 million for the three months ended September 30, 2023, compared to $0.4 million depreciation and amortization expense for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318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3"/>
        </w:trPr>
        <w:tc>
          <w:tcPr>
            <w:tcW w:w="3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Enterprise Payments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1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242424"/>
              </w:rPr>
              <w:t>2023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242424"/>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w w:val="88"/>
              </w:rPr>
              <w:t>$ Change</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242424"/>
              </w:rPr>
              <w:t>2023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242424"/>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35,158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21,657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13,501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93,891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57,641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36,250</w:t>
            </w:r>
          </w:p>
        </w:tc>
        <w:tc>
          <w:tcPr>
            <w:tcW w:w="0" w:type="dxa"/>
            <w:vAlign w:val="bottom"/>
          </w:tcPr>
          <w:p>
            <w:pPr>
              <w:spacing w:after="0"/>
              <w:rPr>
                <w:sz w:val="1"/>
                <w:szCs w:val="1"/>
                <w:color w:val="auto"/>
              </w:rPr>
            </w:pPr>
          </w:p>
        </w:tc>
      </w:tr>
      <w:tr>
        <w:trPr>
          <w:trHeight w:val="180"/>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13,819</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12,345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1,474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43,810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38,137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5,673</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21,339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9,312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12,027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50,081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19,504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30,577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60.7 %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43.0 %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53.3 %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33.8 %</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6,154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19,557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18,599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80"/>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Key Indicators: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Average billed clients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590,578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387,384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203,194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525,274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364,766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160,508</w:t>
            </w:r>
          </w:p>
        </w:tc>
        <w:tc>
          <w:tcPr>
            <w:tcW w:w="0" w:type="dxa"/>
            <w:vAlign w:val="bottom"/>
          </w:tcPr>
          <w:p>
            <w:pPr>
              <w:spacing w:after="0"/>
              <w:rPr>
                <w:sz w:val="1"/>
                <w:szCs w:val="1"/>
                <w:color w:val="auto"/>
              </w:rPr>
            </w:pPr>
          </w:p>
        </w:tc>
      </w:tr>
      <w:tr>
        <w:trPr>
          <w:trHeight w:val="180"/>
        </w:trPr>
        <w:tc>
          <w:tcPr>
            <w:tcW w:w="3180" w:type="dxa"/>
            <w:vAlign w:val="bottom"/>
            <w:gridSpan w:val="2"/>
          </w:tcPr>
          <w:p>
            <w:pPr>
              <w:ind w:left="100"/>
              <w:spacing w:after="0"/>
              <w:rPr>
                <w:sz w:val="20"/>
                <w:szCs w:val="20"/>
                <w:color w:val="auto"/>
              </w:rPr>
            </w:pPr>
            <w:r>
              <w:rPr>
                <w:rFonts w:ascii="Arial" w:cs="Arial" w:eastAsia="Arial" w:hAnsi="Arial"/>
                <w:sz w:val="14"/>
                <w:szCs w:val="14"/>
                <w:color w:val="auto"/>
              </w:rPr>
              <w:t>Average new enrollments</w:t>
            </w:r>
          </w:p>
        </w:tc>
        <w:tc>
          <w:tcPr>
            <w:tcW w:w="30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56,269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37,746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18,523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51,864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29,813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22,051</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Revenue</w:t>
      </w:r>
    </w:p>
    <w:p>
      <w:pPr>
        <w:spacing w:after="0" w:line="179" w:lineRule="exact"/>
        <w:rPr>
          <w:sz w:val="20"/>
          <w:szCs w:val="20"/>
          <w:color w:val="auto"/>
        </w:rPr>
      </w:pPr>
    </w:p>
    <w:p>
      <w:pPr>
        <w:ind w:right="180"/>
        <w:spacing w:after="0" w:line="368" w:lineRule="auto"/>
        <w:rPr>
          <w:sz w:val="20"/>
          <w:szCs w:val="20"/>
          <w:color w:val="auto"/>
        </w:rPr>
      </w:pPr>
      <w:r>
        <w:rPr>
          <w:rFonts w:ascii="Arial" w:cs="Arial" w:eastAsia="Arial" w:hAnsi="Arial"/>
          <w:sz w:val="12"/>
          <w:szCs w:val="12"/>
          <w:color w:val="auto"/>
        </w:rPr>
        <w:t>Revenue from our Enterprise Payments segment was $35.2 million for the three months ended September 30, 2023, compared to $21.7 million for the three months ended September 30, 2022. The increase of $13.5 million or 62.2%, was primarily driven by an increase in billed clients and customer enrollments, and growth in interest income due to higher interest rates and deposit balances.</w:t>
      </w:r>
    </w:p>
    <w:p>
      <w:pPr>
        <w:spacing w:after="0" w:line="86" w:lineRule="exact"/>
        <w:rPr>
          <w:sz w:val="20"/>
          <w:szCs w:val="20"/>
          <w:color w:val="auto"/>
        </w:rPr>
      </w:pPr>
    </w:p>
    <w:p>
      <w:pPr>
        <w:jc w:val="both"/>
        <w:ind w:right="260"/>
        <w:spacing w:after="0" w:line="368" w:lineRule="auto"/>
        <w:rPr>
          <w:sz w:val="20"/>
          <w:szCs w:val="20"/>
          <w:color w:val="auto"/>
        </w:rPr>
      </w:pPr>
      <w:r>
        <w:rPr>
          <w:rFonts w:ascii="Arial" w:cs="Arial" w:eastAsia="Arial" w:hAnsi="Arial"/>
          <w:sz w:val="12"/>
          <w:szCs w:val="12"/>
          <w:color w:val="auto"/>
        </w:rPr>
        <w:t>Revenue from our Enterprise Payments segment was $93.9 million for the nine months ended September 30, 2023, compared to $57.6 million for the nine months ended September 30, 2022. The increase of $36.3 million or 63.0%, was primarily driven by an increase in billed clients and customer enrollments, and growth in interest income due to higher interest rates and deposit balances.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Operating Income</w:t>
      </w:r>
    </w:p>
    <w:p>
      <w:pPr>
        <w:spacing w:after="0" w:line="179"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Operating income from our Enterprise Payments segment was $21.3 million for the three months ended September 30, 2023, compared to $9.3 million for the three months ended September 30, 2022. The increase of $12.0 million or 129.0%, was primarily driven by increases in revenues.</w:t>
      </w:r>
    </w:p>
    <w:p>
      <w:pPr>
        <w:spacing w:after="0" w:line="132"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Operating income from our Enterprise Payments segment was $50.1 million for the nine months ended September 30, 2023, compared to $19.5 million for the nine months ended September 30, 2022. The increase of $30.6 million or 156.9%, was primarily driven by increases in revenues.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Depreciation and Amortization</w:t>
      </w:r>
    </w:p>
    <w:p>
      <w:pPr>
        <w:spacing w:after="0" w:line="179"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Depreciation and amortization from our Enterprise Payments segment was $6.2 million for the three months ended September 30, 2023, which was consistent with $6.2 million depreciation and amortization expense for the three months ended September 30, 2022.</w:t>
      </w:r>
    </w:p>
    <w:p>
      <w:pPr>
        <w:spacing w:after="0" w:line="132" w:lineRule="exact"/>
        <w:rPr>
          <w:sz w:val="20"/>
          <w:szCs w:val="20"/>
          <w:color w:val="auto"/>
        </w:rPr>
      </w:pPr>
    </w:p>
    <w:p>
      <w:pPr>
        <w:ind w:right="280"/>
        <w:spacing w:after="0" w:line="368" w:lineRule="auto"/>
        <w:rPr>
          <w:sz w:val="20"/>
          <w:szCs w:val="20"/>
          <w:color w:val="auto"/>
        </w:rPr>
      </w:pPr>
      <w:r>
        <w:rPr>
          <w:rFonts w:ascii="Arial" w:cs="Arial" w:eastAsia="Arial" w:hAnsi="Arial"/>
          <w:sz w:val="12"/>
          <w:szCs w:val="12"/>
          <w:color w:val="auto"/>
        </w:rPr>
        <w:t>Depreciation and amortization from our Enterprise Payments segment was $19.6 million for the nine months ended September 30, 2023, compared to $18.6 million depreciation and amortization expense for the nine months ended September 30, 2022. The increase of $1.0 million or 5.4%, was primarily driven by the amortization of additional capitalized internal use software.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3" w:lineRule="exact"/>
        <w:rPr>
          <w:sz w:val="20"/>
          <w:szCs w:val="20"/>
          <w:color w:val="auto"/>
        </w:rPr>
      </w:pPr>
    </w:p>
    <w:p>
      <w:pPr>
        <w:ind w:right="20"/>
        <w:spacing w:after="0" w:line="321" w:lineRule="auto"/>
        <w:rPr>
          <w:sz w:val="20"/>
          <w:szCs w:val="20"/>
          <w:color w:val="auto"/>
        </w:rPr>
      </w:pPr>
      <w:r>
        <w:rPr>
          <w:rFonts w:ascii="Arial" w:cs="Arial" w:eastAsia="Arial" w:hAnsi="Arial"/>
          <w:sz w:val="13"/>
          <w:szCs w:val="13"/>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color w:val="auto"/>
        </w:rPr>
        <w:t>Results of Operations" in our Annual Report on Form 10-K for the year ended December 31, 2022. There have been no material changes to these critical accounting policies and estimates as of September 30, 2023.</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3"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spacing w:after="0" w:line="146"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During the second quarter of 2022, PRTH's Board of Directors authorized the Company to implement a general share repurchase program under which the Company may purchase up to 2.0 million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 Company had repurchased shares of $5.7 million during the year ended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Our principal uses of cash are to fund business operations and administrative costs, and to service our debt.</w:t>
      </w:r>
    </w:p>
    <w:p>
      <w:pPr>
        <w:spacing w:after="0" w:line="179" w:lineRule="exact"/>
        <w:rPr>
          <w:sz w:val="20"/>
          <w:szCs w:val="20"/>
          <w:color w:val="auto"/>
        </w:rPr>
      </w:pPr>
    </w:p>
    <w:p>
      <w:pPr>
        <w:ind w:right="300"/>
        <w:spacing w:after="0" w:line="313" w:lineRule="auto"/>
        <w:rPr>
          <w:sz w:val="20"/>
          <w:szCs w:val="20"/>
          <w:color w:val="auto"/>
        </w:rPr>
      </w:pPr>
      <w:r>
        <w:rPr>
          <w:rFonts w:ascii="Arial" w:cs="Arial" w:eastAsia="Arial" w:hAnsi="Arial"/>
          <w:sz w:val="12"/>
          <w:szCs w:val="12"/>
          <w:color w:val="auto"/>
        </w:rPr>
        <w:t>Our working capital, defined as current assets less current liabilities, was $16.6 million at September 30, 2023 and $18.6 million at September 30, 2022. As of September 30, 2023, we had cash totaling $24.6 million compared to $12.7 million at September 30, 2022. These cash balances do not include restricted cash of $13.9 million and $11.6 million at September 30, 2023 and September 30, 2022, respectively, which reflects cash accounts holding customer settlement funds and cash reserves for potential losses. The current portion of long-term debt included in current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liabilities was $6.2 million at September 30, 2023 and September 30, 2022. At September 30, 2023, we had availability of approximately $32.0 million under our revolving credit facility.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740" w:type="dxa"/>
            <w:vAlign w:val="bottom"/>
          </w:tcPr>
          <w:p>
            <w:pPr>
              <w:spacing w:after="0"/>
              <w:rPr>
                <w:sz w:val="20"/>
                <w:szCs w:val="20"/>
                <w:color w:val="auto"/>
              </w:rPr>
            </w:pPr>
            <w:r>
              <w:rPr>
                <w:rFonts w:ascii="Arial" w:cs="Arial" w:eastAsia="Arial" w:hAnsi="Arial"/>
                <w:sz w:val="14"/>
                <w:szCs w:val="14"/>
                <w:color w:val="auto"/>
              </w:rPr>
              <w:t>The following table and discussion reflect our changes in cash flows for the comparative nine month periods.</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71"/>
        </w:trPr>
        <w:tc>
          <w:tcPr>
            <w:tcW w:w="7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649"/>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2022</w:t>
            </w:r>
          </w:p>
        </w:tc>
      </w:tr>
      <w:tr>
        <w:trPr>
          <w:trHeight w:val="171"/>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0"/>
        </w:trPr>
        <w:tc>
          <w:tcPr>
            <w:tcW w:w="7740" w:type="dxa"/>
            <w:vAlign w:val="bottom"/>
          </w:tcPr>
          <w:p>
            <w:pPr>
              <w:ind w:left="120"/>
              <w:spacing w:after="0"/>
              <w:rPr>
                <w:sz w:val="20"/>
                <w:szCs w:val="20"/>
                <w:color w:val="auto"/>
              </w:rPr>
            </w:pPr>
            <w:r>
              <w:rPr>
                <w:rFonts w:ascii="Arial" w:cs="Arial" w:eastAsia="Arial" w:hAnsi="Arial"/>
                <w:sz w:val="14"/>
                <w:szCs w:val="14"/>
                <w:color w:val="auto"/>
              </w:rPr>
              <w:t>Operating activities</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72,680</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50,558</w:t>
            </w:r>
          </w:p>
        </w:tc>
      </w:tr>
      <w:tr>
        <w:trPr>
          <w:trHeight w:val="181"/>
        </w:trPr>
        <w:tc>
          <w:tcPr>
            <w:tcW w:w="7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Investing activities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(51,224)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(21,095)</w:t>
            </w:r>
          </w:p>
        </w:tc>
      </w:tr>
      <w:tr>
        <w:trPr>
          <w:trHeight w:val="180"/>
        </w:trPr>
        <w:tc>
          <w:tcPr>
            <w:tcW w:w="77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Financing activities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157,029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(8,099)</w:t>
            </w: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 and restricted cash</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178,485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Provided by Operating Activities</w:t>
      </w:r>
    </w:p>
    <w:p>
      <w:pPr>
        <w:spacing w:after="0" w:line="179"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color w:val="auto"/>
        </w:rPr>
        <w:t>Net cash provided by operating activities was $72.7 million for the nine months ended September 30, 2023 compared to $50.6 million for the nine months ended September 30, 2022. The $22.1 million increase in 2023 was primarily driven by changes in the operating assets and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Used in Investing Activities</w:t>
      </w:r>
    </w:p>
    <w:p>
      <w:pPr>
        <w:spacing w:after="0" w:line="179"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Net cash used in investing activities was $51.2 million and $21.1 million for the nine months ended September 30, 2023 and 2022, respectively. For the nine months ended September 30, 2023, net cash used in investing activities included the acquisition of business of $28.2 million, additions to property, equipment and software of $15.3 million, and, acquisitions of intangible assets of $7.9 million, which was offset by $0.2 million related to the net payments received on loans to ISOs. For the nine months ended September 30, 2022, net cash used in investing activities included $6.5 million of cash used to fund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of intangible assets, $3.3 million related to the funding of new loans to ISOs and $11.4 million of cash used to acquire property, equipment and software.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Provided by Financing Activities</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Net cash provided by financing activities was $157.0 million for the nine months ended September 30, 2023, compared to $8.1 million of cash used in financing activities for the nine months ended September 30, 2022. The net cash provided by financing activities for the nine months ended September 30, 2023 included changes in the net obligations for funds held on the behalf of customers of $165.6 million and $44.0 million in borrowings under the revolving credit facility, offset by $28.2 million of cash used for the repayment of debt, $17.9 million of cash dividends paid to redeemable senior preferred stockholders, $1.0 million of cash used for shares withheld for taxes, $4.7 million of payments of contingent consideration for business combinations and $0.9 million of debt modification costs . The net cash used in financing activities for the nine months ended September 30, 2022 included $36.7 million of cash used for the repayment of debt, $11.5 million of cash dividends paid to redeemable senior preferred stockholders and $4.7 million of cash used for shares withheld for taxes and share repurchases, and $4.0 million of payments of contingent consideration for business combinations, offset by changes in the net obligations for funds held on the behalf of customers of $25.7 million and borrowings under the revolving credit facility of $23.0 million.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Debt</w:t>
      </w:r>
    </w:p>
    <w:p>
      <w:pPr>
        <w:spacing w:after="0" w:line="179" w:lineRule="exact"/>
        <w:rPr>
          <w:sz w:val="20"/>
          <w:szCs w:val="20"/>
          <w:color w:val="auto"/>
        </w:rPr>
      </w:pPr>
    </w:p>
    <w:p>
      <w:pPr>
        <w:ind w:right="200"/>
        <w:spacing w:after="0" w:line="288" w:lineRule="auto"/>
        <w:rPr>
          <w:sz w:val="20"/>
          <w:szCs w:val="20"/>
          <w:color w:val="auto"/>
        </w:rPr>
      </w:pPr>
      <w:r>
        <w:rPr>
          <w:rFonts w:ascii="Arial" w:cs="Arial" w:eastAsia="Arial" w:hAnsi="Arial"/>
          <w:sz w:val="13"/>
          <w:szCs w:val="13"/>
          <w:color w:val="auto"/>
        </w:rPr>
        <w:t>As of September 30, 2023, we had outstanding debt obligations, including the current portion and net of unamortized debt discount of $623.0 million, compared to $605.1 million at December 31, 2022, resulting in a increase of $17.9 million. The debt balance at September 30, 2023 consisted of $606.1 million outstanding under the term facility and $33.0 million outstanding under the revolving credit facility, offset by $16.1 million of unamortized debt discounts and issuance costs. Minimum amortization of the term facility are equal quarterly installments in aggregate annual amounts equal to 1.0% of the original principal, with the balance paid upon maturity. The term facility matures in April 2027 and the revolving credit facility expires in April 2026.</w:t>
      </w:r>
    </w:p>
    <w:p>
      <w:pPr>
        <w:spacing w:after="0" w:line="131"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If the aggregate principal amount of outstanding revolving loans and letters of credit under the Credit Agreement exceeds 35% of the total revolving credit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September 30, 2023, the Company was in compliance with the covenants in the Credit Agreement.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 of New Accounting Pronouncements and Recently Issued Accounting Pronouncements Not Yet Adopted</w:t>
      </w:r>
    </w:p>
    <w:p>
      <w:pPr>
        <w:spacing w:after="0" w:line="183"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 xml:space="preserve">From time to time, new accounting pronouncements are issued by the FASB or other standards setting bodies that may affect our current and/or future financial statements. See </w:t>
      </w:r>
      <w:r>
        <w:rPr>
          <w:rFonts w:ascii="Arial" w:cs="Arial" w:eastAsia="Arial" w:hAnsi="Arial"/>
          <w:sz w:val="14"/>
          <w:szCs w:val="14"/>
          <w:u w:val="single" w:color="auto"/>
          <w:color w:val="0000FF"/>
        </w:rPr>
        <w:t>Note 1, Basis of</w:t>
      </w:r>
      <w:r>
        <w:rPr>
          <w:rFonts w:ascii="Arial" w:cs="Arial" w:eastAsia="Arial" w:hAnsi="Arial"/>
          <w:sz w:val="14"/>
          <w:szCs w:val="14"/>
          <w:color w:val="auto"/>
        </w:rPr>
        <w:t xml:space="preserve"> </w:t>
      </w:r>
      <w:r>
        <w:rPr>
          <w:rFonts w:ascii="Arial" w:cs="Arial" w:eastAsia="Arial" w:hAnsi="Arial"/>
          <w:sz w:val="14"/>
          <w:szCs w:val="14"/>
          <w:u w:val="single" w:color="auto"/>
          <w:color w:val="0000FF"/>
        </w:rPr>
        <w:t>Presentation and Significant Accounting Policies</w:t>
      </w:r>
      <w:r>
        <w:rPr>
          <w:rFonts w:ascii="Arial" w:cs="Arial" w:eastAsia="Arial" w:hAnsi="Arial"/>
          <w:sz w:val="14"/>
          <w:szCs w:val="14"/>
          <w:color w:val="000000"/>
        </w:rPr>
        <w:t>, to our Unaudited Consolidated Financial Statements included in Part I, Item 1 of this Quarterly Report on Form 10-Q, for a discussion of recently</w:t>
      </w:r>
      <w:r>
        <w:rPr>
          <w:rFonts w:ascii="Arial" w:cs="Arial" w:eastAsia="Arial" w:hAnsi="Arial"/>
          <w:sz w:val="14"/>
          <w:szCs w:val="14"/>
          <w:color w:val="0000FF"/>
        </w:rPr>
        <w:t xml:space="preserve"> </w:t>
      </w:r>
      <w:r>
        <w:rPr>
          <w:rFonts w:ascii="Arial" w:cs="Arial" w:eastAsia="Arial" w:hAnsi="Arial"/>
          <w:sz w:val="14"/>
          <w:szCs w:val="14"/>
          <w:color w:val="000000"/>
        </w:rPr>
        <w:t>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83"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For quantitative and qualitative disclosures about market risk, see Item 7A, "Quantitative and Qualitative Disclosures About Market Risk," of our Annual Report on Form 10-K for the year ended December 31, 2022. Our exposures to market risk have not changed materially since December 31, 2022.</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Evaluation of Disclosure Controls and Procedures</w:t>
      </w:r>
    </w:p>
    <w:p>
      <w:pPr>
        <w:spacing w:after="0" w:line="179"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4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Management, with the participation of the CEO and CFO, has evaluated the effectiveness of the Company's disclosure controls and procedures as of September 30, 2023. Based on that evaluation, the Company's CEO and CFO concluded that the Company's disclosure controls and procedures were effective as of September 30, 2023.</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179"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color w:val="auto"/>
        </w:rPr>
        <w:t>There have been no changes in the Company's internal control over financial reporting during the three and nine months ended September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 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6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3"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also may materially adversely affect our business, financial condition and operating results.</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 and Use of Proceeds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Company's purchases of its Common Stock during the three months ended September 30, 2023 were as follows: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ind w:right="149"/>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7"/>
              </w:rPr>
              <w:t>Average Price Paid</w:t>
            </w:r>
          </w:p>
        </w:tc>
        <w:tc>
          <w:tcPr>
            <w:tcW w:w="2960" w:type="dxa"/>
            <w:vAlign w:val="bottom"/>
          </w:tcPr>
          <w:p>
            <w:pPr>
              <w:jc w:val="center"/>
              <w:ind w:left="129"/>
              <w:spacing w:after="0"/>
              <w:rPr>
                <w:sz w:val="20"/>
                <w:szCs w:val="20"/>
                <w:color w:val="auto"/>
              </w:rPr>
            </w:pPr>
            <w:r>
              <w:rPr>
                <w:rFonts w:ascii="Arial" w:cs="Arial" w:eastAsia="Arial" w:hAnsi="Arial"/>
                <w:sz w:val="14"/>
                <w:szCs w:val="14"/>
                <w:b w:val="1"/>
                <w:bCs w:val="1"/>
                <w:color w:val="auto"/>
                <w:w w:val="90"/>
              </w:rPr>
              <w:t>Total Number of Shares Purchased as Part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jc w:val="right"/>
              <w:ind w:right="29"/>
              <w:spacing w:after="0"/>
              <w:rPr>
                <w:sz w:val="20"/>
                <w:szCs w:val="20"/>
                <w:color w:val="auto"/>
              </w:rPr>
            </w:pPr>
            <w:r>
              <w:rPr>
                <w:rFonts w:ascii="Arial" w:cs="Arial" w:eastAsia="Arial" w:hAnsi="Arial"/>
                <w:sz w:val="14"/>
                <w:szCs w:val="14"/>
                <w:b w:val="1"/>
                <w:bCs w:val="1"/>
                <w:color w:val="auto"/>
                <w:w w:val="96"/>
              </w:rPr>
              <w:t>Maximum Number of Shares that May Yet Be</w:t>
            </w:r>
          </w:p>
        </w:tc>
      </w:tr>
      <w:tr>
        <w:trPr>
          <w:trHeight w:val="191"/>
        </w:trPr>
        <w:tc>
          <w:tcPr>
            <w:tcW w:w="2180" w:type="dxa"/>
            <w:vAlign w:val="bottom"/>
            <w:gridSpan w:val="2"/>
          </w:tcPr>
          <w:p>
            <w:pPr>
              <w:ind w:left="860"/>
              <w:spacing w:after="0"/>
              <w:rPr>
                <w:sz w:val="20"/>
                <w:szCs w:val="20"/>
                <w:color w:val="auto"/>
              </w:rPr>
            </w:pPr>
            <w:r>
              <w:rPr>
                <w:rFonts w:ascii="Arial" w:cs="Arial" w:eastAsia="Arial" w:hAnsi="Arial"/>
                <w:sz w:val="14"/>
                <w:szCs w:val="14"/>
                <w:b w:val="1"/>
                <w:bCs w:val="1"/>
                <w:color w:val="auto"/>
              </w:rPr>
              <w:t>Period</w:t>
            </w:r>
          </w:p>
        </w:tc>
        <w:tc>
          <w:tcPr>
            <w:tcW w:w="1460" w:type="dxa"/>
            <w:vAlign w:val="bottom"/>
          </w:tcPr>
          <w:p>
            <w:pPr>
              <w:jc w:val="right"/>
              <w:ind w:right="69"/>
              <w:spacing w:after="0" w:line="191" w:lineRule="exact"/>
              <w:rPr>
                <w:sz w:val="20"/>
                <w:szCs w:val="20"/>
                <w:color w:val="auto"/>
              </w:rPr>
            </w:pPr>
            <w:r>
              <w:rPr>
                <w:rFonts w:ascii="Arial" w:cs="Arial" w:eastAsia="Arial" w:hAnsi="Arial"/>
                <w:sz w:val="14"/>
                <w:szCs w:val="14"/>
                <w:b w:val="1"/>
                <w:bCs w:val="1"/>
                <w:color w:val="auto"/>
                <w:w w:val="94"/>
              </w:rPr>
              <w:t>Shares Purchased</w:t>
            </w:r>
            <w:r>
              <w:rPr>
                <w:rFonts w:ascii="Arial" w:cs="Arial" w:eastAsia="Arial" w:hAnsi="Arial"/>
                <w:sz w:val="18"/>
                <w:szCs w:val="18"/>
                <w:b w:val="1"/>
                <w:bCs w:val="1"/>
                <w:color w:val="auto"/>
                <w:w w:val="94"/>
                <w:vertAlign w:val="superscript"/>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2960" w:type="dxa"/>
            <w:vAlign w:val="bottom"/>
          </w:tcPr>
          <w:p>
            <w:pPr>
              <w:jc w:val="center"/>
              <w:ind w:left="149"/>
              <w:spacing w:after="0" w:line="191" w:lineRule="exact"/>
              <w:rPr>
                <w:sz w:val="20"/>
                <w:szCs w:val="20"/>
                <w:color w:val="auto"/>
              </w:rPr>
            </w:pPr>
            <w:r>
              <w:rPr>
                <w:rFonts w:ascii="Arial" w:cs="Arial" w:eastAsia="Arial" w:hAnsi="Arial"/>
                <w:sz w:val="14"/>
                <w:szCs w:val="14"/>
                <w:b w:val="1"/>
                <w:bCs w:val="1"/>
                <w:color w:val="auto"/>
                <w:w w:val="90"/>
              </w:rPr>
              <w:t>Publicly Announced Plans or Programs</w:t>
            </w:r>
            <w:r>
              <w:rPr>
                <w:rFonts w:ascii="Arial" w:cs="Arial" w:eastAsia="Arial" w:hAnsi="Arial"/>
                <w:sz w:val="18"/>
                <w:szCs w:val="18"/>
                <w:b w:val="1"/>
                <w:bCs w:val="1"/>
                <w:color w:val="auto"/>
                <w:w w:val="90"/>
                <w:vertAlign w:val="superscript"/>
              </w:rPr>
              <w:t>(2)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tcPr>
          <w:p>
            <w:pPr>
              <w:jc w:val="right"/>
              <w:ind w:right="209"/>
              <w:spacing w:after="0"/>
              <w:rPr>
                <w:sz w:val="20"/>
                <w:szCs w:val="20"/>
                <w:color w:val="auto"/>
              </w:rPr>
            </w:pPr>
            <w:r>
              <w:rPr>
                <w:rFonts w:ascii="Arial" w:cs="Arial" w:eastAsia="Arial" w:hAnsi="Arial"/>
                <w:sz w:val="14"/>
                <w:szCs w:val="14"/>
                <w:b w:val="1"/>
                <w:bCs w:val="1"/>
                <w:color w:val="auto"/>
              </w:rPr>
              <w:t>Purchased Under the Plans or Programs</w:t>
            </w:r>
          </w:p>
        </w:tc>
      </w:tr>
      <w:tr>
        <w:trPr>
          <w:trHeight w:val="171"/>
        </w:trPr>
        <w:tc>
          <w:tcPr>
            <w:tcW w:w="2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July 1-31, 2023</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80" w:type="dxa"/>
            <w:vAlign w:val="bottom"/>
            <w:tcBorders>
              <w:top w:val="single" w:sz="8" w:color="CCEEFF"/>
            </w:tcBorders>
            <w:shd w:val="clear" w:color="auto" w:fill="CCEEFF"/>
          </w:tcPr>
          <w:p>
            <w:pPr>
              <w:spacing w:after="0"/>
              <w:rPr>
                <w:sz w:val="14"/>
                <w:szCs w:val="14"/>
                <w:color w:val="auto"/>
              </w:rPr>
            </w:pPr>
          </w:p>
        </w:tc>
        <w:tc>
          <w:tcPr>
            <w:tcW w:w="2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99"/>
              </w:rPr>
              <w:t>—</w:t>
            </w:r>
          </w:p>
        </w:tc>
        <w:tc>
          <w:tcPr>
            <w:tcW w:w="80" w:type="dxa"/>
            <w:vAlign w:val="bottom"/>
            <w:tcBorders>
              <w:top w:val="single" w:sz="8" w:color="CCEEFF"/>
            </w:tcBorders>
            <w:shd w:val="clear" w:color="auto" w:fill="CCEEFF"/>
          </w:tcPr>
          <w:p>
            <w:pPr>
              <w:spacing w:after="0"/>
              <w:rPr>
                <w:sz w:val="14"/>
                <w:szCs w:val="14"/>
                <w:color w:val="auto"/>
              </w:rPr>
            </w:pPr>
          </w:p>
        </w:tc>
        <w:tc>
          <w:tcPr>
            <w:tcW w:w="3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690,626</w:t>
            </w:r>
          </w:p>
        </w:tc>
      </w:tr>
      <w:tr>
        <w:trPr>
          <w:trHeight w:val="180"/>
        </w:trPr>
        <w:tc>
          <w:tcPr>
            <w:tcW w:w="2180" w:type="dxa"/>
            <w:vAlign w:val="bottom"/>
            <w:gridSpan w:val="2"/>
          </w:tcPr>
          <w:p>
            <w:pPr>
              <w:ind w:left="20"/>
              <w:spacing w:after="0"/>
              <w:rPr>
                <w:sz w:val="20"/>
                <w:szCs w:val="20"/>
                <w:color w:val="auto"/>
              </w:rPr>
            </w:pPr>
            <w:r>
              <w:rPr>
                <w:rFonts w:ascii="Arial" w:cs="Arial" w:eastAsia="Arial" w:hAnsi="Arial"/>
                <w:sz w:val="14"/>
                <w:szCs w:val="14"/>
                <w:color w:val="auto"/>
              </w:rPr>
              <w:t>August 1-31, 2023</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96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3080" w:type="dxa"/>
            <w:vAlign w:val="bottom"/>
            <w:gridSpan w:val="2"/>
          </w:tcPr>
          <w:p>
            <w:pPr>
              <w:jc w:val="right"/>
              <w:spacing w:after="0"/>
              <w:rPr>
                <w:sz w:val="20"/>
                <w:szCs w:val="20"/>
                <w:color w:val="auto"/>
              </w:rPr>
            </w:pPr>
            <w:r>
              <w:rPr>
                <w:rFonts w:ascii="Arial" w:cs="Arial" w:eastAsia="Arial" w:hAnsi="Arial"/>
                <w:sz w:val="14"/>
                <w:szCs w:val="14"/>
                <w:color w:val="auto"/>
              </w:rPr>
              <w:t>690,626</w:t>
            </w:r>
          </w:p>
        </w:tc>
      </w:tr>
      <w:tr>
        <w:trPr>
          <w:trHeight w:val="180"/>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1-30,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99"/>
              </w:rPr>
              <w:t>—</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690,626</w:t>
            </w:r>
          </w:p>
        </w:tc>
      </w:tr>
      <w:tr>
        <w:trPr>
          <w:trHeight w:val="171"/>
        </w:trPr>
        <w:tc>
          <w:tcPr>
            <w:tcW w:w="21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1,636</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20"/>
        </w:trPr>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55" w:lineRule="exact"/>
        <w:rPr>
          <w:sz w:val="20"/>
          <w:szCs w:val="20"/>
          <w:color w:val="auto"/>
        </w:rPr>
      </w:pPr>
    </w:p>
    <w:p>
      <w:pPr>
        <w:ind w:left="520" w:right="40" w:hanging="260"/>
        <w:spacing w:after="0" w:line="228" w:lineRule="auto"/>
        <w:tabs>
          <w:tab w:leader="none" w:pos="51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Represents shares (in whole units) withheld to satisfy employees' tax withholding obligations related to the vesting of restricted stock awards, which was determined based on the fair market value on the vesting date.</w:t>
      </w:r>
    </w:p>
    <w:p>
      <w:pPr>
        <w:ind w:left="520" w:right="620" w:hanging="260"/>
        <w:spacing w:after="0" w:line="221" w:lineRule="auto"/>
        <w:tabs>
          <w:tab w:leader="none" w:pos="510" w:val="left"/>
        </w:tabs>
        <w:numPr>
          <w:ilvl w:val="0"/>
          <w:numId w:val="23"/>
        </w:numPr>
        <w:rPr>
          <w:rFonts w:ascii="Arial" w:cs="Arial" w:eastAsia="Arial" w:hAnsi="Arial"/>
          <w:sz w:val="18"/>
          <w:szCs w:val="18"/>
          <w:color w:val="212529"/>
          <w:vertAlign w:val="superscript"/>
        </w:rPr>
      </w:pPr>
      <w:r>
        <w:rPr>
          <w:rFonts w:ascii="Arial" w:cs="Arial" w:eastAsia="Arial" w:hAnsi="Arial"/>
          <w:sz w:val="14"/>
          <w:szCs w:val="14"/>
          <w:color w:val="auto"/>
        </w:rPr>
        <w:t>In May 2022, the Company's Board of Directors approved a stock repurchase program for the purchase of up to 2.0 million of the Company's Common Stock outstanding for up to $10.0 million.</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10b5-1 Director and Officer Trading Arrangements</w:t>
      </w:r>
    </w:p>
    <w:p>
      <w:pPr>
        <w:spacing w:after="0" w:line="183" w:lineRule="exact"/>
        <w:rPr>
          <w:sz w:val="20"/>
          <w:szCs w:val="20"/>
          <w:color w:val="auto"/>
        </w:rPr>
      </w:pPr>
    </w:p>
    <w:p>
      <w:pPr>
        <w:ind w:right="580"/>
        <w:spacing w:after="0" w:line="281" w:lineRule="auto"/>
        <w:rPr>
          <w:sz w:val="20"/>
          <w:szCs w:val="20"/>
          <w:color w:val="auto"/>
        </w:rPr>
      </w:pPr>
      <w:r>
        <w:rPr>
          <w:rFonts w:ascii="Arial" w:cs="Arial" w:eastAsia="Arial" w:hAnsi="Arial"/>
          <w:sz w:val="14"/>
          <w:szCs w:val="14"/>
          <w:color w:val="auto"/>
        </w:rPr>
        <w:t>On June 16, 2023, Sean Kiewiet, an officer of the Company as defined in Section 16 of the Exchange Act, adopted a Rule 10b5-1 trading arrangement as defined in Item 408(a) of the SEC's Regulation S-K.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gridSpan w:val="2"/>
          </w:tcPr>
          <w:p>
            <w:pPr>
              <w:ind w:left="220"/>
              <w:spacing w:after="0"/>
              <w:rPr>
                <w:sz w:val="20"/>
                <w:szCs w:val="20"/>
                <w:color w:val="auto"/>
              </w:rPr>
            </w:pPr>
            <w:r>
              <w:rPr>
                <w:rFonts w:ascii="Arial" w:cs="Arial" w:eastAsia="Arial" w:hAnsi="Arial"/>
                <w:sz w:val="14"/>
                <w:szCs w:val="14"/>
                <w:b w:val="1"/>
                <w:bCs w:val="1"/>
                <w:color w:val="auto"/>
              </w:rPr>
              <w:t>Officer or Director Name and Title</w:t>
            </w:r>
          </w:p>
        </w:tc>
        <w:tc>
          <w:tcPr>
            <w:tcW w:w="1320" w:type="dxa"/>
            <w:vAlign w:val="bottom"/>
            <w:gridSpan w:val="2"/>
          </w:tcPr>
          <w:p>
            <w:pPr>
              <w:ind w:left="420"/>
              <w:spacing w:after="0"/>
              <w:rPr>
                <w:sz w:val="20"/>
                <w:szCs w:val="20"/>
                <w:color w:val="auto"/>
              </w:rPr>
            </w:pPr>
            <w:r>
              <w:rPr>
                <w:rFonts w:ascii="Arial" w:cs="Arial" w:eastAsia="Arial" w:hAnsi="Arial"/>
                <w:sz w:val="14"/>
                <w:szCs w:val="14"/>
                <w:b w:val="1"/>
                <w:bCs w:val="1"/>
                <w:color w:val="auto"/>
              </w:rPr>
              <w:t>Action</w:t>
            </w: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Plan Type</w:t>
            </w:r>
          </w:p>
        </w:tc>
        <w:tc>
          <w:tcPr>
            <w:tcW w:w="2040" w:type="dxa"/>
            <w:vAlign w:val="bottom"/>
            <w:gridSpan w:val="2"/>
          </w:tcPr>
          <w:p>
            <w:pPr>
              <w:ind w:left="840"/>
              <w:spacing w:after="0"/>
              <w:rPr>
                <w:sz w:val="20"/>
                <w:szCs w:val="20"/>
                <w:color w:val="auto"/>
              </w:rPr>
            </w:pPr>
            <w:r>
              <w:rPr>
                <w:rFonts w:ascii="Arial" w:cs="Arial" w:eastAsia="Arial" w:hAnsi="Arial"/>
                <w:sz w:val="14"/>
                <w:szCs w:val="14"/>
                <w:b w:val="1"/>
                <w:bCs w:val="1"/>
                <w:color w:val="auto"/>
              </w:rPr>
              <w:t>Date</w:t>
            </w:r>
          </w:p>
        </w:tc>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Number of Shares to be sold</w:t>
            </w:r>
          </w:p>
        </w:tc>
        <w:tc>
          <w:tcPr>
            <w:tcW w:w="2020" w:type="dxa"/>
            <w:vAlign w:val="bottom"/>
          </w:tcPr>
          <w:p>
            <w:pPr>
              <w:ind w:left="680"/>
              <w:spacing w:after="0"/>
              <w:rPr>
                <w:sz w:val="20"/>
                <w:szCs w:val="20"/>
                <w:color w:val="auto"/>
              </w:rPr>
            </w:pPr>
            <w:r>
              <w:rPr>
                <w:rFonts w:ascii="Arial" w:cs="Arial" w:eastAsia="Arial" w:hAnsi="Arial"/>
                <w:sz w:val="14"/>
                <w:szCs w:val="14"/>
                <w:b w:val="1"/>
                <w:bCs w:val="1"/>
                <w:color w:val="auto"/>
              </w:rPr>
              <w:t>Expiration</w:t>
            </w:r>
          </w:p>
        </w:tc>
      </w:tr>
      <w:tr>
        <w:trPr>
          <w:trHeight w:val="129"/>
        </w:trPr>
        <w:tc>
          <w:tcPr>
            <w:tcW w:w="25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Sean Kiewiet,</w:t>
            </w: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spacing w:after="0"/>
              <w:rPr>
                <w:sz w:val="11"/>
                <w:szCs w:val="11"/>
                <w:color w:val="auto"/>
              </w:rPr>
            </w:pPr>
          </w:p>
        </w:tc>
      </w:tr>
      <w:tr>
        <w:trPr>
          <w:trHeight w:val="191"/>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Chief Strategy Officer</w:t>
            </w: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Adopted</w:t>
            </w: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Rule 10b5-1</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16, 2023</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620,000</w:t>
            </w:r>
          </w:p>
        </w:tc>
        <w:tc>
          <w:tcPr>
            <w:tcW w:w="80" w:type="dxa"/>
            <w:vAlign w:val="bottom"/>
            <w:shd w:val="clear" w:color="auto" w:fill="CCEEFF"/>
          </w:tcPr>
          <w:p>
            <w:pPr>
              <w:spacing w:after="0"/>
              <w:rPr>
                <w:sz w:val="16"/>
                <w:szCs w:val="16"/>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Item 6. Exhibits</w:t>
            </w:r>
          </w:p>
        </w:tc>
        <w:tc>
          <w:tcPr>
            <w:tcW w:w="1010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10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Exhibit</w:t>
            </w:r>
          </w:p>
        </w:tc>
        <w:tc>
          <w:tcPr>
            <w:tcW w:w="10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29"/>
        </w:trPr>
        <w:tc>
          <w:tcPr>
            <w:tcW w:w="20" w:type="dxa"/>
            <w:vAlign w:val="bottom"/>
          </w:tcPr>
          <w:p>
            <w:pPr>
              <w:spacing w:after="0"/>
              <w:rPr>
                <w:sz w:val="11"/>
                <w:szCs w:val="11"/>
                <w:color w:val="auto"/>
              </w:rPr>
            </w:pPr>
          </w:p>
        </w:tc>
        <w:tc>
          <w:tcPr>
            <w:tcW w:w="1080" w:type="dxa"/>
            <w:vAlign w:val="bottom"/>
            <w:tcBorders>
              <w:top w:val="single" w:sz="8" w:color="auto"/>
            </w:tcBorders>
          </w:tcPr>
          <w:p>
            <w:pPr>
              <w:spacing w:after="0" w:line="129" w:lineRule="exact"/>
              <w:rPr>
                <w:rFonts w:ascii="Arial" w:cs="Arial" w:eastAsia="Arial" w:hAnsi="Arial"/>
                <w:sz w:val="14"/>
                <w:szCs w:val="14"/>
                <w:color w:val="0000FF"/>
              </w:rPr>
            </w:pPr>
            <w:hyperlink r:id="rId93">
              <w:r>
                <w:rPr>
                  <w:rFonts w:ascii="Arial" w:cs="Arial" w:eastAsia="Arial" w:hAnsi="Arial"/>
                  <w:sz w:val="14"/>
                  <w:szCs w:val="14"/>
                  <w:color w:val="0000FF"/>
                </w:rPr>
                <w:t>2.1</w:t>
              </w:r>
            </w:hyperlink>
          </w:p>
        </w:tc>
        <w:tc>
          <w:tcPr>
            <w:tcW w:w="80" w:type="dxa"/>
            <w:vAlign w:val="bottom"/>
          </w:tcPr>
          <w:p>
            <w:pPr>
              <w:spacing w:after="0"/>
              <w:rPr>
                <w:sz w:val="11"/>
                <w:szCs w:val="11"/>
                <w:color w:val="auto"/>
              </w:rPr>
            </w:pPr>
          </w:p>
        </w:tc>
        <w:tc>
          <w:tcPr>
            <w:tcW w:w="10100" w:type="dxa"/>
            <w:vAlign w:val="bottom"/>
            <w:tcBorders>
              <w:top w:val="single" w:sz="8" w:color="auto"/>
            </w:tcBorders>
          </w:tcPr>
          <w:p>
            <w:pPr>
              <w:ind w:left="20"/>
              <w:spacing w:after="0" w:line="129" w:lineRule="exact"/>
              <w:rPr>
                <w:rFonts w:ascii="Arial" w:cs="Arial" w:eastAsia="Arial" w:hAnsi="Arial"/>
                <w:sz w:val="14"/>
                <w:szCs w:val="14"/>
                <w:color w:val="0000FF"/>
                <w:w w:val="93"/>
              </w:rPr>
            </w:pPr>
            <w:hyperlink r:id="rId93">
              <w:r>
                <w:rPr>
                  <w:rFonts w:ascii="Arial" w:cs="Arial" w:eastAsia="Arial" w:hAnsi="Arial"/>
                  <w:sz w:val="14"/>
                  <w:szCs w:val="14"/>
                  <w:color w:val="0000FF"/>
                  <w:w w:val="93"/>
                </w:rPr>
                <w:t>Second Amended and Restated Contribution Agreement, dated as of April 17, 2018, by and among Priority Investment Holdings, Priority Incentive Equity Holdings, LLC and M</w:t>
              </w:r>
            </w:hyperlink>
          </w:p>
        </w:tc>
      </w:tr>
      <w:tr>
        <w:trPr>
          <w:trHeight w:val="180"/>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100" w:type="dxa"/>
            <w:vAlign w:val="bottom"/>
          </w:tcPr>
          <w:p>
            <w:pPr>
              <w:ind w:left="20"/>
              <w:spacing w:after="0"/>
              <w:rPr>
                <w:rFonts w:ascii="Arial" w:cs="Arial" w:eastAsia="Arial" w:hAnsi="Arial"/>
                <w:sz w:val="14"/>
                <w:szCs w:val="14"/>
                <w:color w:val="0000FF"/>
              </w:rPr>
            </w:pPr>
            <w:hyperlink r:id="rId93">
              <w:r>
                <w:rPr>
                  <w:rFonts w:ascii="Arial" w:cs="Arial" w:eastAsia="Arial" w:hAnsi="Arial"/>
                  <w:sz w:val="14"/>
                  <w:szCs w:val="14"/>
                  <w:color w:val="0000FF"/>
                </w:rPr>
                <w:t>I Acquisitions, Inc. (incorporated by reference to Annex A to the Company's Proxy Statement on Schedule 14(a), filed July 5, 2018).</w:t>
              </w:r>
            </w:hyperlink>
          </w:p>
        </w:tc>
      </w:tr>
      <w:tr>
        <w:trPr>
          <w:trHeight w:val="191"/>
        </w:trPr>
        <w:tc>
          <w:tcPr>
            <w:tcW w:w="20" w:type="dxa"/>
            <w:vAlign w:val="bottom"/>
          </w:tcPr>
          <w:p>
            <w:pPr>
              <w:spacing w:after="0"/>
              <w:rPr>
                <w:sz w:val="16"/>
                <w:szCs w:val="16"/>
                <w:color w:val="auto"/>
              </w:rPr>
            </w:pPr>
          </w:p>
        </w:tc>
        <w:tc>
          <w:tcPr>
            <w:tcW w:w="1080" w:type="dxa"/>
            <w:vAlign w:val="bottom"/>
            <w:shd w:val="clear" w:color="auto" w:fill="CCEEFF"/>
          </w:tcPr>
          <w:p>
            <w:pPr>
              <w:spacing w:after="0"/>
              <w:rPr>
                <w:rFonts w:ascii="Arial" w:cs="Arial" w:eastAsia="Arial" w:hAnsi="Arial"/>
                <w:sz w:val="14"/>
                <w:szCs w:val="14"/>
                <w:color w:val="0000FF"/>
              </w:rPr>
            </w:pPr>
            <w:hyperlink r:id="rId94">
              <w:r>
                <w:rPr>
                  <w:rFonts w:ascii="Arial" w:cs="Arial" w:eastAsia="Arial" w:hAnsi="Arial"/>
                  <w:sz w:val="14"/>
                  <w:szCs w:val="14"/>
                  <w:color w:val="0000FF"/>
                </w:rPr>
                <w:t>2.2</w:t>
              </w:r>
            </w:hyperlink>
          </w:p>
        </w:tc>
        <w:tc>
          <w:tcPr>
            <w:tcW w:w="80" w:type="dxa"/>
            <w:vAlign w:val="bottom"/>
            <w:shd w:val="clear" w:color="auto" w:fill="CCEEFF"/>
          </w:tcPr>
          <w:p>
            <w:pPr>
              <w:spacing w:after="0"/>
              <w:rPr>
                <w:sz w:val="16"/>
                <w:szCs w:val="16"/>
                <w:color w:val="auto"/>
              </w:rPr>
            </w:pPr>
          </w:p>
        </w:tc>
        <w:tc>
          <w:tcPr>
            <w:tcW w:w="10100" w:type="dxa"/>
            <w:vAlign w:val="bottom"/>
            <w:shd w:val="clear" w:color="auto" w:fill="CCEEFF"/>
          </w:tcPr>
          <w:p>
            <w:pPr>
              <w:ind w:left="20"/>
              <w:spacing w:after="0"/>
              <w:rPr>
                <w:rFonts w:ascii="Arial" w:cs="Arial" w:eastAsia="Arial" w:hAnsi="Arial"/>
                <w:sz w:val="14"/>
                <w:szCs w:val="14"/>
                <w:color w:val="0000FF"/>
              </w:rPr>
            </w:pPr>
            <w:hyperlink r:id="rId94">
              <w:r>
                <w:rPr>
                  <w:rFonts w:ascii="Arial" w:cs="Arial" w:eastAsia="Arial" w:hAnsi="Arial"/>
                  <w:sz w:val="14"/>
                  <w:szCs w:val="14"/>
                  <w:color w:val="0000FF"/>
                </w:rPr>
                <w:t>Agreement and Plan of Merger, dated as of March 5, 2021, by and among the Company, Finxera, Merger Sub, and the Equityholder Representative.</w:t>
              </w:r>
            </w:hyperlink>
          </w:p>
        </w:tc>
      </w:tr>
      <w:tr>
        <w:trPr>
          <w:trHeight w:val="180"/>
        </w:trPr>
        <w:tc>
          <w:tcPr>
            <w:tcW w:w="20" w:type="dxa"/>
            <w:vAlign w:val="bottom"/>
          </w:tcPr>
          <w:p>
            <w:pPr>
              <w:spacing w:after="0"/>
              <w:rPr>
                <w:sz w:val="15"/>
                <w:szCs w:val="15"/>
                <w:color w:val="auto"/>
              </w:rPr>
            </w:pPr>
          </w:p>
        </w:tc>
        <w:tc>
          <w:tcPr>
            <w:tcW w:w="1080" w:type="dxa"/>
            <w:vAlign w:val="bottom"/>
          </w:tcPr>
          <w:p>
            <w:pPr>
              <w:spacing w:after="0"/>
              <w:rPr>
                <w:rFonts w:ascii="Arial" w:cs="Arial" w:eastAsia="Arial" w:hAnsi="Arial"/>
                <w:sz w:val="14"/>
                <w:szCs w:val="14"/>
                <w:color w:val="0000FF"/>
              </w:rPr>
            </w:pPr>
            <w:hyperlink r:id="rId95">
              <w:r>
                <w:rPr>
                  <w:rFonts w:ascii="Arial" w:cs="Arial" w:eastAsia="Arial" w:hAnsi="Arial"/>
                  <w:sz w:val="14"/>
                  <w:szCs w:val="14"/>
                  <w:color w:val="0000FF"/>
                </w:rPr>
                <w:t>2.3</w:t>
              </w:r>
            </w:hyperlink>
          </w:p>
        </w:tc>
        <w:tc>
          <w:tcPr>
            <w:tcW w:w="80" w:type="dxa"/>
            <w:vAlign w:val="bottom"/>
          </w:tcPr>
          <w:p>
            <w:pPr>
              <w:spacing w:after="0"/>
              <w:rPr>
                <w:sz w:val="15"/>
                <w:szCs w:val="15"/>
                <w:color w:val="auto"/>
              </w:rPr>
            </w:pPr>
          </w:p>
        </w:tc>
        <w:tc>
          <w:tcPr>
            <w:tcW w:w="10100" w:type="dxa"/>
            <w:vAlign w:val="bottom"/>
          </w:tcPr>
          <w:p>
            <w:pPr>
              <w:ind w:left="20"/>
              <w:spacing w:after="0"/>
              <w:rPr>
                <w:rFonts w:ascii="Arial" w:cs="Arial" w:eastAsia="Arial" w:hAnsi="Arial"/>
                <w:sz w:val="14"/>
                <w:szCs w:val="14"/>
                <w:color w:val="0000FF"/>
              </w:rPr>
            </w:pPr>
            <w:hyperlink r:id="rId95">
              <w:r>
                <w:rPr>
                  <w:rFonts w:ascii="Arial" w:cs="Arial" w:eastAsia="Arial" w:hAnsi="Arial"/>
                  <w:sz w:val="14"/>
                  <w:szCs w:val="14"/>
                  <w:color w:val="0000FF"/>
                </w:rPr>
                <w:t>Certificate of Amendment to the Certificate of Incorporation of Priority Technology Holdings dated April 16, 2021, filed April 29, 2021</w:t>
              </w:r>
            </w:hyperlink>
          </w:p>
        </w:tc>
      </w:tr>
      <w:tr>
        <w:trPr>
          <w:trHeight w:val="181"/>
        </w:trPr>
        <w:tc>
          <w:tcPr>
            <w:tcW w:w="20" w:type="dxa"/>
            <w:vAlign w:val="bottom"/>
          </w:tcPr>
          <w:p>
            <w:pPr>
              <w:spacing w:after="0"/>
              <w:rPr>
                <w:sz w:val="15"/>
                <w:szCs w:val="15"/>
                <w:color w:val="auto"/>
              </w:rPr>
            </w:pPr>
          </w:p>
        </w:tc>
        <w:tc>
          <w:tcPr>
            <w:tcW w:w="1080" w:type="dxa"/>
            <w:vAlign w:val="bottom"/>
            <w:shd w:val="clear" w:color="auto" w:fill="CCEEFF"/>
          </w:tcPr>
          <w:p>
            <w:pPr>
              <w:spacing w:after="0"/>
              <w:rPr>
                <w:rFonts w:ascii="Arial" w:cs="Arial" w:eastAsia="Arial" w:hAnsi="Arial"/>
                <w:sz w:val="14"/>
                <w:szCs w:val="14"/>
                <w:color w:val="0000FF"/>
              </w:rPr>
            </w:pPr>
            <w:hyperlink r:id="rId96">
              <w:r>
                <w:rPr>
                  <w:rFonts w:ascii="Arial" w:cs="Arial" w:eastAsia="Arial" w:hAnsi="Arial"/>
                  <w:sz w:val="14"/>
                  <w:szCs w:val="14"/>
                  <w:color w:val="0000FF"/>
                </w:rPr>
                <w:t>2.4</w:t>
              </w:r>
            </w:hyperlink>
          </w:p>
        </w:tc>
        <w:tc>
          <w:tcPr>
            <w:tcW w:w="8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rPr>
                <w:rFonts w:ascii="Arial" w:cs="Arial" w:eastAsia="Arial" w:hAnsi="Arial"/>
                <w:sz w:val="14"/>
                <w:szCs w:val="14"/>
                <w:color w:val="0000FF"/>
              </w:rPr>
            </w:pPr>
            <w:hyperlink r:id="rId96">
              <w:r>
                <w:rPr>
                  <w:rFonts w:ascii="Arial" w:cs="Arial" w:eastAsia="Arial" w:hAnsi="Arial"/>
                  <w:sz w:val="14"/>
                  <w:szCs w:val="14"/>
                  <w:color w:val="0000FF"/>
                </w:rPr>
                <w:t>Agreement and Plan of Merger by and among the Company, Finxera Holdings, Inc., Prime Warrior Acquisition Corp., and Stone Point Capital LLC.</w:t>
              </w:r>
            </w:hyperlink>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rFonts w:ascii="Arial" w:cs="Arial" w:eastAsia="Arial" w:hAnsi="Arial"/>
                <w:sz w:val="14"/>
                <w:szCs w:val="14"/>
                <w:color w:val="0000FF"/>
              </w:rPr>
            </w:pPr>
            <w:hyperlink r:id="rId97">
              <w:r>
                <w:rPr>
                  <w:rFonts w:ascii="Arial" w:cs="Arial" w:eastAsia="Arial" w:hAnsi="Arial"/>
                  <w:sz w:val="14"/>
                  <w:szCs w:val="14"/>
                  <w:color w:val="0000FF"/>
                </w:rPr>
                <w:t>3.1</w:t>
              </w:r>
            </w:hyperlink>
          </w:p>
        </w:tc>
        <w:tc>
          <w:tcPr>
            <w:tcW w:w="80" w:type="dxa"/>
            <w:vAlign w:val="bottom"/>
          </w:tcPr>
          <w:p>
            <w:pPr>
              <w:spacing w:after="0"/>
              <w:rPr>
                <w:sz w:val="11"/>
                <w:szCs w:val="11"/>
                <w:color w:val="auto"/>
              </w:rPr>
            </w:pPr>
          </w:p>
        </w:tc>
        <w:tc>
          <w:tcPr>
            <w:tcW w:w="10100" w:type="dxa"/>
            <w:vAlign w:val="bottom"/>
          </w:tcPr>
          <w:p>
            <w:pPr>
              <w:ind w:left="20"/>
              <w:spacing w:after="0" w:line="138" w:lineRule="exact"/>
              <w:rPr>
                <w:rFonts w:ascii="Arial" w:cs="Arial" w:eastAsia="Arial" w:hAnsi="Arial"/>
                <w:sz w:val="14"/>
                <w:szCs w:val="14"/>
                <w:color w:val="0000FF"/>
                <w:w w:val="93"/>
              </w:rPr>
            </w:pPr>
            <w:hyperlink r:id="rId97">
              <w:r>
                <w:rPr>
                  <w:rFonts w:ascii="Arial" w:cs="Arial" w:eastAsia="Arial" w:hAnsi="Arial"/>
                  <w:sz w:val="14"/>
                  <w:szCs w:val="14"/>
                  <w:color w:val="0000FF"/>
                  <w:w w:val="93"/>
                </w:rPr>
                <w:t>Second Amended and Restated Certificate of Incorporation of Priority Technology Holdings, Inc. (incorporated by reference to Exhibit 3.1 to the Company's Current Report on</w:t>
              </w:r>
            </w:hyperlink>
          </w:p>
        </w:tc>
      </w:tr>
      <w:tr>
        <w:trPr>
          <w:trHeight w:val="180"/>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100" w:type="dxa"/>
            <w:vAlign w:val="bottom"/>
          </w:tcPr>
          <w:p>
            <w:pPr>
              <w:ind w:left="20"/>
              <w:spacing w:after="0"/>
              <w:rPr>
                <w:rFonts w:ascii="Arial" w:cs="Arial" w:eastAsia="Arial" w:hAnsi="Arial"/>
                <w:sz w:val="14"/>
                <w:szCs w:val="14"/>
                <w:color w:val="0000FF"/>
              </w:rPr>
            </w:pPr>
            <w:hyperlink r:id="rId97">
              <w:r>
                <w:rPr>
                  <w:rFonts w:ascii="Arial" w:cs="Arial" w:eastAsia="Arial" w:hAnsi="Arial"/>
                  <w:sz w:val="14"/>
                  <w:szCs w:val="14"/>
                  <w:color w:val="0000FF"/>
                </w:rPr>
                <w:t>Form 8-K, filed July 31, 2018).</w:t>
              </w:r>
            </w:hyperlink>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line="149" w:lineRule="exact"/>
              <w:rPr>
                <w:rFonts w:ascii="Arial" w:cs="Arial" w:eastAsia="Arial" w:hAnsi="Arial"/>
                <w:sz w:val="14"/>
                <w:szCs w:val="14"/>
                <w:color w:val="0000FF"/>
              </w:rPr>
            </w:pPr>
            <w:hyperlink r:id="rId98">
              <w:r>
                <w:rPr>
                  <w:rFonts w:ascii="Arial" w:cs="Arial" w:eastAsia="Arial" w:hAnsi="Arial"/>
                  <w:sz w:val="14"/>
                  <w:szCs w:val="14"/>
                  <w:color w:val="0000FF"/>
                </w:rPr>
                <w:t>3.2</w:t>
              </w:r>
            </w:hyperlink>
          </w:p>
        </w:tc>
        <w:tc>
          <w:tcPr>
            <w:tcW w:w="80" w:type="dxa"/>
            <w:vAlign w:val="bottom"/>
            <w:shd w:val="clear" w:color="auto" w:fill="CCEEFF"/>
          </w:tcPr>
          <w:p>
            <w:pPr>
              <w:spacing w:after="0"/>
              <w:rPr>
                <w:sz w:val="12"/>
                <w:szCs w:val="12"/>
                <w:color w:val="auto"/>
              </w:rPr>
            </w:pPr>
          </w:p>
        </w:tc>
        <w:tc>
          <w:tcPr>
            <w:tcW w:w="10100" w:type="dxa"/>
            <w:vAlign w:val="bottom"/>
            <w:shd w:val="clear" w:color="auto" w:fill="CCEEFF"/>
          </w:tcPr>
          <w:p>
            <w:pPr>
              <w:ind w:left="20"/>
              <w:spacing w:after="0" w:line="149" w:lineRule="exact"/>
              <w:rPr>
                <w:rFonts w:ascii="Arial" w:cs="Arial" w:eastAsia="Arial" w:hAnsi="Arial"/>
                <w:sz w:val="14"/>
                <w:szCs w:val="14"/>
                <w:color w:val="0000FF"/>
                <w:w w:val="95"/>
              </w:rPr>
            </w:pPr>
            <w:hyperlink r:id="rId98">
              <w:r>
                <w:rPr>
                  <w:rFonts w:ascii="Arial" w:cs="Arial" w:eastAsia="Arial" w:hAnsi="Arial"/>
                  <w:sz w:val="14"/>
                  <w:szCs w:val="14"/>
                  <w:color w:val="0000FF"/>
                  <w:w w:val="95"/>
                </w:rPr>
                <w:t>Amended and Restated Bylaws of Priority Technology Holdings, Inc. (incorporated by reference to Exhibit 3.2 to the Company's Current Report on Form 8-K, filed July 31,</w:t>
              </w:r>
            </w:hyperlink>
          </w:p>
        </w:tc>
      </w:tr>
      <w:tr>
        <w:trPr>
          <w:trHeight w:val="191"/>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100" w:type="dxa"/>
            <w:vAlign w:val="bottom"/>
            <w:shd w:val="clear" w:color="auto" w:fill="CCEEFF"/>
          </w:tcPr>
          <w:p>
            <w:pPr>
              <w:ind w:left="20"/>
              <w:spacing w:after="0"/>
              <w:rPr>
                <w:rFonts w:ascii="Arial" w:cs="Arial" w:eastAsia="Arial" w:hAnsi="Arial"/>
                <w:sz w:val="14"/>
                <w:szCs w:val="14"/>
                <w:color w:val="0000FF"/>
              </w:rPr>
            </w:pPr>
            <w:hyperlink r:id="rId98">
              <w:r>
                <w:rPr>
                  <w:rFonts w:ascii="Arial" w:cs="Arial" w:eastAsia="Arial" w:hAnsi="Arial"/>
                  <w:sz w:val="14"/>
                  <w:szCs w:val="14"/>
                  <w:color w:val="0000FF"/>
                </w:rPr>
                <w:t>2018).</w:t>
              </w:r>
            </w:hyperlink>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rFonts w:ascii="Arial" w:cs="Arial" w:eastAsia="Arial" w:hAnsi="Arial"/>
                <w:sz w:val="14"/>
                <w:szCs w:val="14"/>
                <w:color w:val="0000FF"/>
              </w:rPr>
            </w:pPr>
            <w:hyperlink r:id="rId99">
              <w:r>
                <w:rPr>
                  <w:rFonts w:ascii="Arial" w:cs="Arial" w:eastAsia="Arial" w:hAnsi="Arial"/>
                  <w:sz w:val="14"/>
                  <w:szCs w:val="14"/>
                  <w:color w:val="0000FF"/>
                </w:rPr>
                <w:t>4.</w:t>
              </w:r>
            </w:hyperlink>
            <w:r>
              <w:rPr>
                <w:rFonts w:ascii="Arial" w:cs="Arial" w:eastAsia="Arial" w:hAnsi="Arial"/>
                <w:sz w:val="14"/>
                <w:szCs w:val="14"/>
                <w:color w:val="000000"/>
              </w:rPr>
              <w:t>1</w:t>
            </w:r>
          </w:p>
        </w:tc>
        <w:tc>
          <w:tcPr>
            <w:tcW w:w="80" w:type="dxa"/>
            <w:vAlign w:val="bottom"/>
          </w:tcPr>
          <w:p>
            <w:pPr>
              <w:spacing w:after="0"/>
              <w:rPr>
                <w:sz w:val="11"/>
                <w:szCs w:val="11"/>
                <w:color w:val="auto"/>
              </w:rPr>
            </w:pPr>
          </w:p>
        </w:tc>
        <w:tc>
          <w:tcPr>
            <w:tcW w:w="10100" w:type="dxa"/>
            <w:vAlign w:val="bottom"/>
          </w:tcPr>
          <w:p>
            <w:pPr>
              <w:ind w:left="20"/>
              <w:spacing w:after="0" w:line="138" w:lineRule="exact"/>
              <w:rPr>
                <w:rFonts w:ascii="Arial" w:cs="Arial" w:eastAsia="Arial" w:hAnsi="Arial"/>
                <w:sz w:val="14"/>
                <w:szCs w:val="14"/>
                <w:color w:val="0000FF"/>
                <w:w w:val="92"/>
              </w:rPr>
            </w:pPr>
            <w:hyperlink r:id="rId99">
              <w:r>
                <w:rPr>
                  <w:rFonts w:ascii="Arial" w:cs="Arial" w:eastAsia="Arial" w:hAnsi="Arial"/>
                  <w:sz w:val="14"/>
                  <w:szCs w:val="14"/>
                  <w:color w:val="0000FF"/>
                  <w:w w:val="92"/>
                </w:rPr>
                <w:t>Warrant Agreement, dated September 13, 2016, by and between American Stock Transfer &amp; Trust Company, LLC and the Registrant (incorporated by reference to Exhibit 4.1 to</w:t>
              </w:r>
            </w:hyperlink>
          </w:p>
        </w:tc>
      </w:tr>
      <w:tr>
        <w:trPr>
          <w:trHeight w:val="180"/>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100" w:type="dxa"/>
            <w:vAlign w:val="bottom"/>
          </w:tcPr>
          <w:p>
            <w:pPr>
              <w:ind w:left="20"/>
              <w:spacing w:after="0"/>
              <w:rPr>
                <w:rFonts w:ascii="Arial" w:cs="Arial" w:eastAsia="Arial" w:hAnsi="Arial"/>
                <w:sz w:val="14"/>
                <w:szCs w:val="14"/>
                <w:color w:val="0000FF"/>
              </w:rPr>
            </w:pPr>
            <w:hyperlink r:id="rId99">
              <w:r>
                <w:rPr>
                  <w:rFonts w:ascii="Arial" w:cs="Arial" w:eastAsia="Arial" w:hAnsi="Arial"/>
                  <w:sz w:val="14"/>
                  <w:szCs w:val="14"/>
                  <w:color w:val="0000FF"/>
                </w:rPr>
                <w:t>the Current Report on Form 8-K, filed September 16, 2016).</w:t>
              </w:r>
            </w:hyperlink>
          </w:p>
        </w:tc>
      </w:tr>
      <w:tr>
        <w:trPr>
          <w:trHeight w:val="191"/>
        </w:trPr>
        <w:tc>
          <w:tcPr>
            <w:tcW w:w="20" w:type="dxa"/>
            <w:vAlign w:val="bottom"/>
          </w:tcPr>
          <w:p>
            <w:pPr>
              <w:spacing w:after="0"/>
              <w:rPr>
                <w:sz w:val="16"/>
                <w:szCs w:val="16"/>
                <w:color w:val="auto"/>
              </w:rPr>
            </w:pPr>
          </w:p>
        </w:tc>
        <w:tc>
          <w:tcPr>
            <w:tcW w:w="1080" w:type="dxa"/>
            <w:vAlign w:val="bottom"/>
            <w:shd w:val="clear" w:color="auto" w:fill="CCEEFF"/>
          </w:tcPr>
          <w:p>
            <w:pPr>
              <w:spacing w:after="0"/>
              <w:rPr>
                <w:rFonts w:ascii="Arial" w:cs="Arial" w:eastAsia="Arial" w:hAnsi="Arial"/>
                <w:sz w:val="14"/>
                <w:szCs w:val="14"/>
                <w:color w:val="0000FF"/>
              </w:rPr>
            </w:pPr>
            <w:hyperlink r:id="rId100">
              <w:r>
                <w:rPr>
                  <w:rFonts w:ascii="Arial" w:cs="Arial" w:eastAsia="Arial" w:hAnsi="Arial"/>
                  <w:sz w:val="14"/>
                  <w:szCs w:val="14"/>
                  <w:color w:val="0000FF"/>
                </w:rPr>
                <w:t>4.2</w:t>
              </w:r>
            </w:hyperlink>
          </w:p>
        </w:tc>
        <w:tc>
          <w:tcPr>
            <w:tcW w:w="80" w:type="dxa"/>
            <w:vAlign w:val="bottom"/>
            <w:shd w:val="clear" w:color="auto" w:fill="CCEEFF"/>
          </w:tcPr>
          <w:p>
            <w:pPr>
              <w:spacing w:after="0"/>
              <w:rPr>
                <w:sz w:val="16"/>
                <w:szCs w:val="16"/>
                <w:color w:val="auto"/>
              </w:rPr>
            </w:pPr>
          </w:p>
        </w:tc>
        <w:tc>
          <w:tcPr>
            <w:tcW w:w="10100" w:type="dxa"/>
            <w:vAlign w:val="bottom"/>
            <w:shd w:val="clear" w:color="auto" w:fill="CCEEFF"/>
          </w:tcPr>
          <w:p>
            <w:pPr>
              <w:ind w:left="20"/>
              <w:spacing w:after="0"/>
              <w:rPr>
                <w:rFonts w:ascii="Arial" w:cs="Arial" w:eastAsia="Arial" w:hAnsi="Arial"/>
                <w:sz w:val="14"/>
                <w:szCs w:val="14"/>
                <w:color w:val="0000FF"/>
              </w:rPr>
            </w:pPr>
            <w:hyperlink r:id="rId100">
              <w:r>
                <w:rPr>
                  <w:rFonts w:ascii="Arial" w:cs="Arial" w:eastAsia="Arial" w:hAnsi="Arial"/>
                  <w:sz w:val="14"/>
                  <w:szCs w:val="14"/>
                  <w:color w:val="0000FF"/>
                </w:rPr>
                <w:t>Certificate of Designations of Senior Preferred Stock</w:t>
              </w:r>
            </w:hyperlink>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rFonts w:ascii="Arial" w:cs="Arial" w:eastAsia="Arial" w:hAnsi="Arial"/>
                <w:sz w:val="14"/>
                <w:szCs w:val="14"/>
                <w:color w:val="0000FF"/>
              </w:rPr>
            </w:pPr>
            <w:hyperlink r:id="rId101">
              <w:r>
                <w:rPr>
                  <w:rFonts w:ascii="Arial" w:cs="Arial" w:eastAsia="Arial" w:hAnsi="Arial"/>
                  <w:sz w:val="14"/>
                  <w:szCs w:val="14"/>
                  <w:color w:val="0000FF"/>
                </w:rPr>
                <w:t>10.1</w:t>
              </w:r>
            </w:hyperlink>
          </w:p>
        </w:tc>
        <w:tc>
          <w:tcPr>
            <w:tcW w:w="80" w:type="dxa"/>
            <w:vAlign w:val="bottom"/>
          </w:tcPr>
          <w:p>
            <w:pPr>
              <w:spacing w:after="0"/>
              <w:rPr>
                <w:sz w:val="11"/>
                <w:szCs w:val="11"/>
                <w:color w:val="auto"/>
              </w:rPr>
            </w:pPr>
          </w:p>
        </w:tc>
        <w:tc>
          <w:tcPr>
            <w:tcW w:w="10100" w:type="dxa"/>
            <w:vAlign w:val="bottom"/>
          </w:tcPr>
          <w:p>
            <w:pPr>
              <w:ind w:left="20"/>
              <w:spacing w:after="0" w:line="138" w:lineRule="exact"/>
              <w:rPr>
                <w:rFonts w:ascii="Arial" w:cs="Arial" w:eastAsia="Arial" w:hAnsi="Arial"/>
                <w:sz w:val="14"/>
                <w:szCs w:val="14"/>
                <w:color w:val="0000FF"/>
                <w:w w:val="95"/>
              </w:rPr>
            </w:pPr>
            <w:hyperlink r:id="rId101">
              <w:r>
                <w:rPr>
                  <w:rFonts w:ascii="Arial" w:cs="Arial" w:eastAsia="Arial" w:hAnsi="Arial"/>
                  <w:sz w:val="14"/>
                  <w:szCs w:val="14"/>
                  <w:color w:val="0000FF"/>
                  <w:w w:val="95"/>
                </w:rPr>
                <w:t>Registration Rights Agreement dated as of July 25, 2018 by and among M I Acquisitions, Inc. and the other parties thereto (incorporated by reference to Exhibit 10.1 to the</w:t>
              </w:r>
            </w:hyperlink>
          </w:p>
        </w:tc>
      </w:tr>
      <w:tr>
        <w:trPr>
          <w:trHeight w:val="180"/>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100" w:type="dxa"/>
            <w:vAlign w:val="bottom"/>
          </w:tcPr>
          <w:p>
            <w:pPr>
              <w:ind w:left="20"/>
              <w:spacing w:after="0"/>
              <w:rPr>
                <w:rFonts w:ascii="Arial" w:cs="Arial" w:eastAsia="Arial" w:hAnsi="Arial"/>
                <w:sz w:val="14"/>
                <w:szCs w:val="14"/>
                <w:color w:val="0000FF"/>
              </w:rPr>
            </w:pPr>
            <w:hyperlink r:id="rId101">
              <w:r>
                <w:rPr>
                  <w:rFonts w:ascii="Arial" w:cs="Arial" w:eastAsia="Arial" w:hAnsi="Arial"/>
                  <w:sz w:val="14"/>
                  <w:szCs w:val="14"/>
                  <w:color w:val="0000FF"/>
                </w:rPr>
                <w:t>Company's Current Report on Form 8-K, filed July 31, 2018).</w:t>
              </w:r>
            </w:hyperlink>
          </w:p>
        </w:tc>
      </w:tr>
      <w:tr>
        <w:trPr>
          <w:trHeight w:val="191"/>
        </w:trPr>
        <w:tc>
          <w:tcPr>
            <w:tcW w:w="20" w:type="dxa"/>
            <w:vAlign w:val="bottom"/>
          </w:tcPr>
          <w:p>
            <w:pPr>
              <w:spacing w:after="0"/>
              <w:rPr>
                <w:sz w:val="16"/>
                <w:szCs w:val="16"/>
                <w:color w:val="auto"/>
              </w:rPr>
            </w:pPr>
          </w:p>
        </w:tc>
        <w:tc>
          <w:tcPr>
            <w:tcW w:w="1080" w:type="dxa"/>
            <w:vAlign w:val="bottom"/>
            <w:shd w:val="clear" w:color="auto" w:fill="CCEEFF"/>
          </w:tcPr>
          <w:p>
            <w:pPr>
              <w:spacing w:after="0"/>
              <w:rPr>
                <w:rFonts w:ascii="Arial" w:cs="Arial" w:eastAsia="Arial" w:hAnsi="Arial"/>
                <w:sz w:val="14"/>
                <w:szCs w:val="14"/>
                <w:color w:val="0000FF"/>
              </w:rPr>
            </w:pPr>
            <w:hyperlink r:id="rId102">
              <w:r>
                <w:rPr>
                  <w:rFonts w:ascii="Arial" w:cs="Arial" w:eastAsia="Arial" w:hAnsi="Arial"/>
                  <w:sz w:val="14"/>
                  <w:szCs w:val="14"/>
                  <w:color w:val="0000FF"/>
                </w:rPr>
                <w:t>10.2</w:t>
              </w:r>
            </w:hyperlink>
          </w:p>
        </w:tc>
        <w:tc>
          <w:tcPr>
            <w:tcW w:w="80" w:type="dxa"/>
            <w:vAlign w:val="bottom"/>
            <w:shd w:val="clear" w:color="auto" w:fill="CCEEFF"/>
          </w:tcPr>
          <w:p>
            <w:pPr>
              <w:spacing w:after="0"/>
              <w:rPr>
                <w:sz w:val="16"/>
                <w:szCs w:val="16"/>
                <w:color w:val="auto"/>
              </w:rPr>
            </w:pPr>
          </w:p>
        </w:tc>
        <w:tc>
          <w:tcPr>
            <w:tcW w:w="10100" w:type="dxa"/>
            <w:vAlign w:val="bottom"/>
            <w:shd w:val="clear" w:color="auto" w:fill="CCEEFF"/>
          </w:tcPr>
          <w:p>
            <w:pPr>
              <w:ind w:left="20"/>
              <w:spacing w:after="0"/>
              <w:rPr>
                <w:rFonts w:ascii="Arial" w:cs="Arial" w:eastAsia="Arial" w:hAnsi="Arial"/>
                <w:sz w:val="14"/>
                <w:szCs w:val="14"/>
                <w:color w:val="0000FF"/>
                <w:w w:val="95"/>
              </w:rPr>
            </w:pPr>
            <w:hyperlink r:id="rId102">
              <w:r>
                <w:rPr>
                  <w:rFonts w:ascii="Arial" w:cs="Arial" w:eastAsia="Arial" w:hAnsi="Arial"/>
                  <w:sz w:val="14"/>
                  <w:szCs w:val="14"/>
                  <w:color w:val="0000FF"/>
                  <w:w w:val="95"/>
                </w:rPr>
                <w:t>Priority Technology Holdings, Inc. 2018 Equity Incentive Plan (incorporated by reference to Exhibit 10.2 to the Company's Current Report on Form 8-K, filed July 31, 2018).</w:t>
              </w:r>
            </w:hyperlink>
          </w:p>
        </w:tc>
      </w:tr>
      <w:tr>
        <w:trPr>
          <w:trHeight w:val="180"/>
        </w:trPr>
        <w:tc>
          <w:tcPr>
            <w:tcW w:w="20" w:type="dxa"/>
            <w:vAlign w:val="bottom"/>
          </w:tcPr>
          <w:p>
            <w:pPr>
              <w:spacing w:after="0"/>
              <w:rPr>
                <w:sz w:val="15"/>
                <w:szCs w:val="15"/>
                <w:color w:val="auto"/>
              </w:rPr>
            </w:pPr>
          </w:p>
        </w:tc>
        <w:tc>
          <w:tcPr>
            <w:tcW w:w="1080" w:type="dxa"/>
            <w:vAlign w:val="bottom"/>
          </w:tcPr>
          <w:p>
            <w:pPr>
              <w:spacing w:after="0"/>
              <w:rPr>
                <w:rFonts w:ascii="Arial" w:cs="Arial" w:eastAsia="Arial" w:hAnsi="Arial"/>
                <w:sz w:val="14"/>
                <w:szCs w:val="14"/>
                <w:color w:val="0000FF"/>
              </w:rPr>
            </w:pPr>
            <w:hyperlink r:id="rId103">
              <w:r>
                <w:rPr>
                  <w:rFonts w:ascii="Arial" w:cs="Arial" w:eastAsia="Arial" w:hAnsi="Arial"/>
                  <w:sz w:val="14"/>
                  <w:szCs w:val="14"/>
                  <w:color w:val="0000FF"/>
                </w:rPr>
                <w:t>10.3</w:t>
              </w:r>
            </w:hyperlink>
          </w:p>
        </w:tc>
        <w:tc>
          <w:tcPr>
            <w:tcW w:w="80" w:type="dxa"/>
            <w:vAlign w:val="bottom"/>
          </w:tcPr>
          <w:p>
            <w:pPr>
              <w:spacing w:after="0"/>
              <w:rPr>
                <w:sz w:val="15"/>
                <w:szCs w:val="15"/>
                <w:color w:val="auto"/>
              </w:rPr>
            </w:pPr>
          </w:p>
        </w:tc>
        <w:tc>
          <w:tcPr>
            <w:tcW w:w="10100" w:type="dxa"/>
            <w:vAlign w:val="bottom"/>
          </w:tcPr>
          <w:p>
            <w:pPr>
              <w:ind w:left="20"/>
              <w:spacing w:after="0"/>
              <w:rPr>
                <w:rFonts w:ascii="Arial" w:cs="Arial" w:eastAsia="Arial" w:hAnsi="Arial"/>
                <w:sz w:val="14"/>
                <w:szCs w:val="14"/>
                <w:color w:val="0000FF"/>
              </w:rPr>
            </w:pPr>
            <w:hyperlink r:id="rId103">
              <w:r>
                <w:rPr>
                  <w:rFonts w:ascii="Arial" w:cs="Arial" w:eastAsia="Arial" w:hAnsi="Arial"/>
                  <w:sz w:val="14"/>
                  <w:szCs w:val="14"/>
                  <w:color w:val="0000FF"/>
                </w:rPr>
                <w:t>Priority Technology Holdings, Inc. 2021 Employee Stock Purchase Plan</w:t>
              </w:r>
            </w:hyperlink>
          </w:p>
        </w:tc>
      </w:tr>
      <w:tr>
        <w:trPr>
          <w:trHeight w:val="181"/>
        </w:trPr>
        <w:tc>
          <w:tcPr>
            <w:tcW w:w="20" w:type="dxa"/>
            <w:vAlign w:val="bottom"/>
          </w:tcPr>
          <w:p>
            <w:pPr>
              <w:spacing w:after="0"/>
              <w:rPr>
                <w:sz w:val="15"/>
                <w:szCs w:val="15"/>
                <w:color w:val="auto"/>
              </w:rPr>
            </w:pPr>
          </w:p>
        </w:tc>
        <w:tc>
          <w:tcPr>
            <w:tcW w:w="1080" w:type="dxa"/>
            <w:vAlign w:val="bottom"/>
            <w:shd w:val="clear" w:color="auto" w:fill="CCEEFF"/>
          </w:tcPr>
          <w:p>
            <w:pPr>
              <w:spacing w:after="0"/>
              <w:rPr>
                <w:rFonts w:ascii="Arial" w:cs="Arial" w:eastAsia="Arial" w:hAnsi="Arial"/>
                <w:sz w:val="14"/>
                <w:szCs w:val="14"/>
                <w:color w:val="0000FF"/>
              </w:rPr>
            </w:pPr>
            <w:hyperlink r:id="rId104">
              <w:r>
                <w:rPr>
                  <w:rFonts w:ascii="Arial" w:cs="Arial" w:eastAsia="Arial" w:hAnsi="Arial"/>
                  <w:sz w:val="14"/>
                  <w:szCs w:val="14"/>
                  <w:color w:val="0000FF"/>
                </w:rPr>
                <w:t>10.3.1</w:t>
              </w:r>
            </w:hyperlink>
          </w:p>
        </w:tc>
        <w:tc>
          <w:tcPr>
            <w:tcW w:w="8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rPr>
                <w:rFonts w:ascii="Arial" w:cs="Arial" w:eastAsia="Arial" w:hAnsi="Arial"/>
                <w:sz w:val="14"/>
                <w:szCs w:val="14"/>
                <w:color w:val="0000FF"/>
              </w:rPr>
            </w:pPr>
            <w:hyperlink r:id="rId104">
              <w:r>
                <w:rPr>
                  <w:rFonts w:ascii="Arial" w:cs="Arial" w:eastAsia="Arial" w:hAnsi="Arial"/>
                  <w:sz w:val="14"/>
                  <w:szCs w:val="14"/>
                  <w:color w:val="0000FF"/>
                </w:rPr>
                <w:t>Amendment No. 1 to Priority Technology Holdings, Inc. 2021 Employee Stock Purchase Plan</w:t>
              </w:r>
            </w:hyperlink>
          </w:p>
        </w:tc>
      </w:tr>
      <w:tr>
        <w:trPr>
          <w:trHeight w:val="138"/>
        </w:trPr>
        <w:tc>
          <w:tcPr>
            <w:tcW w:w="20" w:type="dxa"/>
            <w:vAlign w:val="bottom"/>
          </w:tcPr>
          <w:p>
            <w:pPr>
              <w:spacing w:after="0"/>
              <w:rPr>
                <w:sz w:val="11"/>
                <w:szCs w:val="11"/>
                <w:color w:val="auto"/>
              </w:rPr>
            </w:pPr>
          </w:p>
        </w:tc>
        <w:tc>
          <w:tcPr>
            <w:tcW w:w="1160" w:type="dxa"/>
            <w:vAlign w:val="bottom"/>
            <w:gridSpan w:val="2"/>
          </w:tcPr>
          <w:p>
            <w:pPr>
              <w:spacing w:after="0" w:line="138" w:lineRule="exact"/>
              <w:rPr>
                <w:rFonts w:ascii="Arial" w:cs="Arial" w:eastAsia="Arial" w:hAnsi="Arial"/>
                <w:sz w:val="14"/>
                <w:szCs w:val="14"/>
                <w:color w:val="0000FF"/>
              </w:rPr>
            </w:pPr>
            <w:hyperlink r:id="rId105">
              <w:r>
                <w:rPr>
                  <w:rFonts w:ascii="Arial" w:cs="Arial" w:eastAsia="Arial" w:hAnsi="Arial"/>
                  <w:sz w:val="14"/>
                  <w:szCs w:val="14"/>
                  <w:color w:val="0000FF"/>
                </w:rPr>
                <w:t xml:space="preserve">10.4 </w:t>
              </w:r>
            </w:hyperlink>
            <w:r>
              <w:rPr>
                <w:rFonts w:ascii="Arial" w:cs="Arial" w:eastAsia="Arial" w:hAnsi="Arial"/>
                <w:sz w:val="14"/>
                <w:szCs w:val="14"/>
                <w:color w:val="000000"/>
              </w:rPr>
              <w:t>†</w:t>
            </w:r>
          </w:p>
        </w:tc>
        <w:tc>
          <w:tcPr>
            <w:tcW w:w="10100" w:type="dxa"/>
            <w:vAlign w:val="bottom"/>
          </w:tcPr>
          <w:p>
            <w:pPr>
              <w:ind w:left="20"/>
              <w:spacing w:after="0" w:line="138" w:lineRule="exact"/>
              <w:rPr>
                <w:rFonts w:ascii="Arial" w:cs="Arial" w:eastAsia="Arial" w:hAnsi="Arial"/>
                <w:sz w:val="14"/>
                <w:szCs w:val="14"/>
                <w:color w:val="0000FF"/>
                <w:w w:val="95"/>
              </w:rPr>
            </w:pPr>
            <w:hyperlink r:id="rId105">
              <w:r>
                <w:rPr>
                  <w:rFonts w:ascii="Arial" w:cs="Arial" w:eastAsia="Arial" w:hAnsi="Arial"/>
                  <w:sz w:val="14"/>
                  <w:szCs w:val="14"/>
                  <w:color w:val="0000FF"/>
                  <w:w w:val="95"/>
                </w:rPr>
                <w:t>Director Agreement by and among Priority Holdings LLC, Pipeline Cynergy Holdings, LLC, Priority Payment Systems Holdings, LLC and Thomas C. Priore, dated May 21,</w:t>
              </w:r>
            </w:hyperlink>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100" w:type="dxa"/>
            <w:vAlign w:val="bottom"/>
          </w:tcPr>
          <w:p>
            <w:pPr>
              <w:ind w:left="20"/>
              <w:spacing w:after="0"/>
              <w:rPr>
                <w:rFonts w:ascii="Arial" w:cs="Arial" w:eastAsia="Arial" w:hAnsi="Arial"/>
                <w:sz w:val="14"/>
                <w:szCs w:val="14"/>
                <w:color w:val="0000FF"/>
              </w:rPr>
            </w:pPr>
            <w:hyperlink r:id="rId105">
              <w:r>
                <w:rPr>
                  <w:rFonts w:ascii="Arial" w:cs="Arial" w:eastAsia="Arial" w:hAnsi="Arial"/>
                  <w:sz w:val="14"/>
                  <w:szCs w:val="14"/>
                  <w:color w:val="0000FF"/>
                </w:rPr>
                <w:t>2014 (incorporated by reference to Exhibit 10.6 to the Company's Registration Statement on Form S-4/A, filed December 26, 2018).</w:t>
              </w:r>
            </w:hyperlink>
          </w:p>
        </w:tc>
      </w:tr>
      <w:tr>
        <w:trPr>
          <w:trHeight w:val="143"/>
        </w:trPr>
        <w:tc>
          <w:tcPr>
            <w:tcW w:w="20" w:type="dxa"/>
            <w:vAlign w:val="bottom"/>
          </w:tcPr>
          <w:p>
            <w:pPr>
              <w:spacing w:after="0"/>
              <w:rPr>
                <w:sz w:val="12"/>
                <w:szCs w:val="12"/>
                <w:color w:val="auto"/>
              </w:rPr>
            </w:pPr>
          </w:p>
        </w:tc>
        <w:tc>
          <w:tcPr>
            <w:tcW w:w="1160" w:type="dxa"/>
            <w:vAlign w:val="bottom"/>
            <w:gridSpan w:val="2"/>
            <w:shd w:val="clear" w:color="auto" w:fill="CCEEFF"/>
          </w:tcPr>
          <w:p>
            <w:pPr>
              <w:spacing w:after="0" w:line="143" w:lineRule="exact"/>
              <w:rPr>
                <w:rFonts w:ascii="Arial" w:cs="Arial" w:eastAsia="Arial" w:hAnsi="Arial"/>
                <w:sz w:val="14"/>
                <w:szCs w:val="14"/>
                <w:color w:val="0000FF"/>
              </w:rPr>
            </w:pPr>
            <w:hyperlink r:id="rId106">
              <w:r>
                <w:rPr>
                  <w:rFonts w:ascii="Arial" w:cs="Arial" w:eastAsia="Arial" w:hAnsi="Arial"/>
                  <w:sz w:val="14"/>
                  <w:szCs w:val="14"/>
                  <w:color w:val="0000FF"/>
                </w:rPr>
                <w:t xml:space="preserve">10.5 </w:t>
              </w:r>
            </w:hyperlink>
            <w:r>
              <w:rPr>
                <w:rFonts w:ascii="Arial" w:cs="Arial" w:eastAsia="Arial" w:hAnsi="Arial"/>
                <w:sz w:val="14"/>
                <w:szCs w:val="14"/>
                <w:color w:val="000000"/>
              </w:rPr>
              <w:t>†</w:t>
            </w:r>
          </w:p>
        </w:tc>
        <w:tc>
          <w:tcPr>
            <w:tcW w:w="10100" w:type="dxa"/>
            <w:vAlign w:val="bottom"/>
            <w:shd w:val="clear" w:color="auto" w:fill="CCEEFF"/>
          </w:tcPr>
          <w:p>
            <w:pPr>
              <w:ind w:left="20"/>
              <w:spacing w:after="0" w:line="143" w:lineRule="exact"/>
              <w:rPr>
                <w:rFonts w:ascii="Arial" w:cs="Arial" w:eastAsia="Arial" w:hAnsi="Arial"/>
                <w:sz w:val="14"/>
                <w:szCs w:val="14"/>
                <w:color w:val="0000FF"/>
                <w:w w:val="96"/>
              </w:rPr>
            </w:pPr>
            <w:hyperlink r:id="rId106">
              <w:r>
                <w:rPr>
                  <w:rFonts w:ascii="Arial" w:cs="Arial" w:eastAsia="Arial" w:hAnsi="Arial"/>
                  <w:sz w:val="14"/>
                  <w:szCs w:val="14"/>
                  <w:color w:val="0000FF"/>
                  <w:w w:val="96"/>
                </w:rPr>
                <w:t>Amendment No. 1 to Director Agreement by and among Priority Holdings LLC, Pipeline Cynergy Holdings, LLC, Priority Payment Systems Holdings, LLC and Thomas C.</w:t>
              </w:r>
            </w:hyperlink>
          </w:p>
        </w:tc>
      </w:tr>
      <w:tr>
        <w:trPr>
          <w:trHeight w:val="191"/>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100" w:type="dxa"/>
            <w:vAlign w:val="bottom"/>
            <w:shd w:val="clear" w:color="auto" w:fill="CCEEFF"/>
          </w:tcPr>
          <w:p>
            <w:pPr>
              <w:ind w:left="20"/>
              <w:spacing w:after="0"/>
              <w:rPr>
                <w:rFonts w:ascii="Arial" w:cs="Arial" w:eastAsia="Arial" w:hAnsi="Arial"/>
                <w:sz w:val="14"/>
                <w:szCs w:val="14"/>
                <w:color w:val="0000FF"/>
              </w:rPr>
            </w:pPr>
            <w:hyperlink r:id="rId106">
              <w:r>
                <w:rPr>
                  <w:rFonts w:ascii="Arial" w:cs="Arial" w:eastAsia="Arial" w:hAnsi="Arial"/>
                  <w:sz w:val="14"/>
                  <w:szCs w:val="14"/>
                  <w:color w:val="0000FF"/>
                </w:rPr>
                <w:t>Priore, dated April 19, 2018 (incorporated by reference to Exhibit 10.7 to the Company's Registration Statement on Form S-4/A, filed December 26, 2018).</w:t>
              </w:r>
            </w:hyperlink>
          </w:p>
        </w:tc>
      </w:tr>
      <w:tr>
        <w:trPr>
          <w:trHeight w:val="180"/>
        </w:trPr>
        <w:tc>
          <w:tcPr>
            <w:tcW w:w="20" w:type="dxa"/>
            <w:vAlign w:val="bottom"/>
          </w:tcPr>
          <w:p>
            <w:pPr>
              <w:spacing w:after="0"/>
              <w:rPr>
                <w:sz w:val="15"/>
                <w:szCs w:val="15"/>
                <w:color w:val="auto"/>
              </w:rPr>
            </w:pPr>
          </w:p>
        </w:tc>
        <w:tc>
          <w:tcPr>
            <w:tcW w:w="1080" w:type="dxa"/>
            <w:vAlign w:val="bottom"/>
          </w:tcPr>
          <w:p>
            <w:pPr>
              <w:spacing w:after="0"/>
              <w:rPr>
                <w:rFonts w:ascii="Arial" w:cs="Arial" w:eastAsia="Arial" w:hAnsi="Arial"/>
                <w:sz w:val="14"/>
                <w:szCs w:val="14"/>
                <w:color w:val="0000FF"/>
              </w:rPr>
            </w:pPr>
            <w:hyperlink r:id="rId107">
              <w:r>
                <w:rPr>
                  <w:rFonts w:ascii="Arial" w:cs="Arial" w:eastAsia="Arial" w:hAnsi="Arial"/>
                  <w:sz w:val="14"/>
                  <w:szCs w:val="14"/>
                  <w:color w:val="0000FF"/>
                </w:rPr>
                <w:t>10.6</w:t>
              </w:r>
            </w:hyperlink>
          </w:p>
        </w:tc>
        <w:tc>
          <w:tcPr>
            <w:tcW w:w="80" w:type="dxa"/>
            <w:vAlign w:val="bottom"/>
          </w:tcPr>
          <w:p>
            <w:pPr>
              <w:spacing w:after="0"/>
              <w:rPr>
                <w:sz w:val="15"/>
                <w:szCs w:val="15"/>
                <w:color w:val="auto"/>
              </w:rPr>
            </w:pPr>
          </w:p>
        </w:tc>
        <w:tc>
          <w:tcPr>
            <w:tcW w:w="10100" w:type="dxa"/>
            <w:vAlign w:val="bottom"/>
          </w:tcPr>
          <w:p>
            <w:pPr>
              <w:ind w:left="20"/>
              <w:spacing w:after="0"/>
              <w:rPr>
                <w:rFonts w:ascii="Arial" w:cs="Arial" w:eastAsia="Arial" w:hAnsi="Arial"/>
                <w:sz w:val="14"/>
                <w:szCs w:val="14"/>
                <w:color w:val="0000FF"/>
              </w:rPr>
            </w:pPr>
            <w:hyperlink r:id="rId107">
              <w:r>
                <w:rPr>
                  <w:rFonts w:ascii="Arial" w:cs="Arial" w:eastAsia="Arial" w:hAnsi="Arial"/>
                  <w:sz w:val="14"/>
                  <w:szCs w:val="14"/>
                  <w:color w:val="0000FF"/>
                </w:rPr>
                <w:t>Form of Independent Director Agreement (incorporated by reference to Exhibit 10.19 to the Company's Annual Report on Form 10-K, filed March 29, 2019).</w:t>
              </w:r>
            </w:hyperlink>
          </w:p>
        </w:tc>
      </w:tr>
      <w:tr>
        <w:trPr>
          <w:trHeight w:val="138"/>
        </w:trPr>
        <w:tc>
          <w:tcPr>
            <w:tcW w:w="20" w:type="dxa"/>
            <w:vAlign w:val="bottom"/>
          </w:tcPr>
          <w:p>
            <w:pPr>
              <w:spacing w:after="0"/>
              <w:rPr>
                <w:sz w:val="12"/>
                <w:szCs w:val="12"/>
                <w:color w:val="auto"/>
              </w:rPr>
            </w:pPr>
          </w:p>
        </w:tc>
        <w:tc>
          <w:tcPr>
            <w:tcW w:w="1080" w:type="dxa"/>
            <w:vAlign w:val="bottom"/>
            <w:shd w:val="clear" w:color="auto" w:fill="CCEEFF"/>
          </w:tcPr>
          <w:p>
            <w:pPr>
              <w:spacing w:after="0" w:line="139" w:lineRule="exact"/>
              <w:rPr>
                <w:rFonts w:ascii="Arial" w:cs="Arial" w:eastAsia="Arial" w:hAnsi="Arial"/>
                <w:sz w:val="14"/>
                <w:szCs w:val="14"/>
                <w:color w:val="0000FF"/>
              </w:rPr>
            </w:pPr>
            <w:hyperlink r:id="rId108">
              <w:r>
                <w:rPr>
                  <w:rFonts w:ascii="Arial" w:cs="Arial" w:eastAsia="Arial" w:hAnsi="Arial"/>
                  <w:sz w:val="14"/>
                  <w:szCs w:val="14"/>
                  <w:color w:val="0000FF"/>
                </w:rPr>
                <w:t>10.7</w:t>
              </w:r>
            </w:hyperlink>
          </w:p>
        </w:tc>
        <w:tc>
          <w:tcPr>
            <w:tcW w:w="80" w:type="dxa"/>
            <w:vAlign w:val="bottom"/>
            <w:shd w:val="clear" w:color="auto" w:fill="CCEEFF"/>
          </w:tcPr>
          <w:p>
            <w:pPr>
              <w:spacing w:after="0"/>
              <w:rPr>
                <w:sz w:val="12"/>
                <w:szCs w:val="12"/>
                <w:color w:val="auto"/>
              </w:rPr>
            </w:pPr>
          </w:p>
        </w:tc>
        <w:tc>
          <w:tcPr>
            <w:tcW w:w="10100" w:type="dxa"/>
            <w:vAlign w:val="bottom"/>
            <w:shd w:val="clear" w:color="auto" w:fill="CCEEFF"/>
          </w:tcPr>
          <w:p>
            <w:pPr>
              <w:ind w:left="20"/>
              <w:spacing w:after="0" w:line="139" w:lineRule="exact"/>
              <w:rPr>
                <w:rFonts w:ascii="Arial" w:cs="Arial" w:eastAsia="Arial" w:hAnsi="Arial"/>
                <w:sz w:val="14"/>
                <w:szCs w:val="14"/>
                <w:color w:val="0000FF"/>
                <w:w w:val="97"/>
              </w:rPr>
            </w:pPr>
            <w:hyperlink r:id="rId108">
              <w:r>
                <w:rPr>
                  <w:rFonts w:ascii="Arial" w:cs="Arial" w:eastAsia="Arial" w:hAnsi="Arial"/>
                  <w:sz w:val="14"/>
                  <w:szCs w:val="14"/>
                  <w:color w:val="0000FF"/>
                  <w:w w:val="97"/>
                </w:rPr>
                <w:t>Asset Purchase Agreement by and between MRI Payments LLC, MRI Software LLC, and Priority Real Estate Technology LLC, dated August 31, 2020 (incorporated by</w:t>
              </w:r>
            </w:hyperlink>
          </w:p>
        </w:tc>
      </w:tr>
      <w:tr>
        <w:trPr>
          <w:trHeight w:val="191"/>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100" w:type="dxa"/>
            <w:vAlign w:val="bottom"/>
            <w:shd w:val="clear" w:color="auto" w:fill="CCEEFF"/>
          </w:tcPr>
          <w:p>
            <w:pPr>
              <w:ind w:left="20"/>
              <w:spacing w:after="0"/>
              <w:rPr>
                <w:rFonts w:ascii="Arial" w:cs="Arial" w:eastAsia="Arial" w:hAnsi="Arial"/>
                <w:sz w:val="14"/>
                <w:szCs w:val="14"/>
                <w:color w:val="0000FF"/>
              </w:rPr>
            </w:pPr>
            <w:hyperlink r:id="rId108">
              <w:r>
                <w:rPr>
                  <w:rFonts w:ascii="Arial" w:cs="Arial" w:eastAsia="Arial" w:hAnsi="Arial"/>
                  <w:sz w:val="14"/>
                  <w:szCs w:val="14"/>
                  <w:color w:val="0000FF"/>
                </w:rPr>
                <w:t>reference to Exhibit 10.1 to the Company's Current Report on Form 8-K filed September 1, 2020).</w:t>
              </w:r>
            </w:hyperlink>
          </w:p>
        </w:tc>
      </w:tr>
      <w:tr>
        <w:trPr>
          <w:trHeight w:val="180"/>
        </w:trPr>
        <w:tc>
          <w:tcPr>
            <w:tcW w:w="20" w:type="dxa"/>
            <w:vAlign w:val="bottom"/>
          </w:tcPr>
          <w:p>
            <w:pPr>
              <w:spacing w:after="0"/>
              <w:rPr>
                <w:sz w:val="15"/>
                <w:szCs w:val="15"/>
                <w:color w:val="auto"/>
              </w:rPr>
            </w:pPr>
          </w:p>
        </w:tc>
        <w:tc>
          <w:tcPr>
            <w:tcW w:w="1080" w:type="dxa"/>
            <w:vAlign w:val="bottom"/>
          </w:tcPr>
          <w:p>
            <w:pPr>
              <w:spacing w:after="0"/>
              <w:rPr>
                <w:rFonts w:ascii="Arial" w:cs="Arial" w:eastAsia="Arial" w:hAnsi="Arial"/>
                <w:sz w:val="14"/>
                <w:szCs w:val="14"/>
                <w:color w:val="0000FF"/>
              </w:rPr>
            </w:pPr>
            <w:hyperlink r:id="rId109">
              <w:r>
                <w:rPr>
                  <w:rFonts w:ascii="Arial" w:cs="Arial" w:eastAsia="Arial" w:hAnsi="Arial"/>
                  <w:sz w:val="14"/>
                  <w:szCs w:val="14"/>
                  <w:color w:val="0000FF"/>
                </w:rPr>
                <w:t>10.8</w:t>
              </w:r>
            </w:hyperlink>
          </w:p>
        </w:tc>
        <w:tc>
          <w:tcPr>
            <w:tcW w:w="80" w:type="dxa"/>
            <w:vAlign w:val="bottom"/>
          </w:tcPr>
          <w:p>
            <w:pPr>
              <w:spacing w:after="0"/>
              <w:rPr>
                <w:sz w:val="15"/>
                <w:szCs w:val="15"/>
                <w:color w:val="auto"/>
              </w:rPr>
            </w:pPr>
          </w:p>
        </w:tc>
        <w:tc>
          <w:tcPr>
            <w:tcW w:w="10100" w:type="dxa"/>
            <w:vAlign w:val="bottom"/>
          </w:tcPr>
          <w:p>
            <w:pPr>
              <w:ind w:left="20"/>
              <w:spacing w:after="0"/>
              <w:rPr>
                <w:rFonts w:ascii="Arial" w:cs="Arial" w:eastAsia="Arial" w:hAnsi="Arial"/>
                <w:sz w:val="14"/>
                <w:szCs w:val="14"/>
                <w:color w:val="0000FF"/>
              </w:rPr>
            </w:pPr>
            <w:hyperlink r:id="rId109">
              <w:r>
                <w:rPr>
                  <w:rFonts w:ascii="Arial" w:cs="Arial" w:eastAsia="Arial" w:hAnsi="Arial"/>
                  <w:sz w:val="14"/>
                  <w:szCs w:val="14"/>
                  <w:color w:val="0000FF"/>
                </w:rPr>
                <w:t>Support Agreement, dated as of March 5, 2021, by and among the Stockholders and Finxera</w:t>
              </w:r>
            </w:hyperlink>
          </w:p>
        </w:tc>
      </w:tr>
      <w:tr>
        <w:trPr>
          <w:trHeight w:val="181"/>
        </w:trPr>
        <w:tc>
          <w:tcPr>
            <w:tcW w:w="20" w:type="dxa"/>
            <w:vAlign w:val="bottom"/>
          </w:tcPr>
          <w:p>
            <w:pPr>
              <w:spacing w:after="0"/>
              <w:rPr>
                <w:sz w:val="15"/>
                <w:szCs w:val="15"/>
                <w:color w:val="auto"/>
              </w:rPr>
            </w:pPr>
          </w:p>
        </w:tc>
        <w:tc>
          <w:tcPr>
            <w:tcW w:w="1080" w:type="dxa"/>
            <w:vAlign w:val="bottom"/>
            <w:shd w:val="clear" w:color="auto" w:fill="CCEEFF"/>
          </w:tcPr>
          <w:p>
            <w:pPr>
              <w:spacing w:after="0"/>
              <w:rPr>
                <w:rFonts w:ascii="Arial" w:cs="Arial" w:eastAsia="Arial" w:hAnsi="Arial"/>
                <w:sz w:val="14"/>
                <w:szCs w:val="14"/>
                <w:color w:val="0000FF"/>
              </w:rPr>
            </w:pPr>
            <w:hyperlink r:id="rId110">
              <w:r>
                <w:rPr>
                  <w:rFonts w:ascii="Arial" w:cs="Arial" w:eastAsia="Arial" w:hAnsi="Arial"/>
                  <w:sz w:val="14"/>
                  <w:szCs w:val="14"/>
                  <w:color w:val="0000FF"/>
                </w:rPr>
                <w:t>10.9</w:t>
              </w:r>
            </w:hyperlink>
          </w:p>
        </w:tc>
        <w:tc>
          <w:tcPr>
            <w:tcW w:w="80" w:type="dxa"/>
            <w:vAlign w:val="bottom"/>
            <w:shd w:val="clear" w:color="auto" w:fill="CCEEFF"/>
          </w:tcPr>
          <w:p>
            <w:pPr>
              <w:spacing w:after="0"/>
              <w:rPr>
                <w:sz w:val="15"/>
                <w:szCs w:val="15"/>
                <w:color w:val="auto"/>
              </w:rPr>
            </w:pPr>
          </w:p>
        </w:tc>
        <w:tc>
          <w:tcPr>
            <w:tcW w:w="10100" w:type="dxa"/>
            <w:vAlign w:val="bottom"/>
            <w:shd w:val="clear" w:color="auto" w:fill="CCEEFF"/>
          </w:tcPr>
          <w:p>
            <w:pPr>
              <w:ind w:left="20"/>
              <w:spacing w:after="0"/>
              <w:rPr>
                <w:rFonts w:ascii="Arial" w:cs="Arial" w:eastAsia="Arial" w:hAnsi="Arial"/>
                <w:sz w:val="14"/>
                <w:szCs w:val="14"/>
                <w:color w:val="0000FF"/>
              </w:rPr>
            </w:pPr>
            <w:hyperlink r:id="rId110">
              <w:r>
                <w:rPr>
                  <w:rFonts w:ascii="Arial" w:cs="Arial" w:eastAsia="Arial" w:hAnsi="Arial"/>
                  <w:sz w:val="14"/>
                  <w:szCs w:val="14"/>
                  <w:color w:val="0000FF"/>
                </w:rPr>
                <w:t>Debt Commitment Letter, dated as of March 5, 2021, between Priority Holdings, LLC and Truist Securities, Inc.</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color w:val="0000FF"/>
                <w:w w:val="97"/>
              </w:rPr>
              <w:t>Table of Contents</w:t>
            </w:r>
          </w:p>
        </w:tc>
        <w:tc>
          <w:tcPr>
            <w:tcW w:w="10180" w:type="dxa"/>
            <w:vAlign w:val="bottom"/>
          </w:tcPr>
          <w:p>
            <w:pPr>
              <w:spacing w:after="0"/>
              <w:rPr>
                <w:sz w:val="14"/>
                <w:szCs w:val="14"/>
                <w:color w:val="auto"/>
              </w:rPr>
            </w:pPr>
          </w:p>
        </w:tc>
      </w:tr>
      <w:tr>
        <w:trPr>
          <w:trHeight w:val="934"/>
        </w:trPr>
        <w:tc>
          <w:tcPr>
            <w:tcW w:w="1000" w:type="dxa"/>
            <w:vAlign w:val="bottom"/>
            <w:tcBorders>
              <w:top w:val="single" w:sz="8" w:color="0000FF"/>
            </w:tcBorders>
          </w:tcPr>
          <w:p>
            <w:pPr>
              <w:ind w:left="20"/>
              <w:spacing w:after="0"/>
              <w:rPr>
                <w:rFonts w:ascii="Arial" w:cs="Arial" w:eastAsia="Arial" w:hAnsi="Arial"/>
                <w:sz w:val="14"/>
                <w:szCs w:val="14"/>
                <w:color w:val="0000FF"/>
              </w:rPr>
            </w:pPr>
            <w:hyperlink r:id="rId112">
              <w:r>
                <w:rPr>
                  <w:rFonts w:ascii="Arial" w:cs="Arial" w:eastAsia="Arial" w:hAnsi="Arial"/>
                  <w:sz w:val="14"/>
                  <w:szCs w:val="14"/>
                  <w:color w:val="0000FF"/>
                </w:rPr>
                <w:t>10.10</w:t>
              </w:r>
            </w:hyperlink>
          </w:p>
        </w:tc>
        <w:tc>
          <w:tcPr>
            <w:tcW w:w="100" w:type="dxa"/>
            <w:vAlign w:val="bottom"/>
          </w:tcPr>
          <w:p>
            <w:pPr>
              <w:spacing w:after="0"/>
              <w:rPr>
                <w:sz w:val="24"/>
                <w:szCs w:val="24"/>
                <w:color w:val="auto"/>
              </w:rPr>
            </w:pPr>
          </w:p>
        </w:tc>
        <w:tc>
          <w:tcPr>
            <w:tcW w:w="10180" w:type="dxa"/>
            <w:vAlign w:val="bottom"/>
          </w:tcPr>
          <w:p>
            <w:pPr>
              <w:ind w:left="100"/>
              <w:spacing w:after="0"/>
              <w:rPr>
                <w:rFonts w:ascii="Arial" w:cs="Arial" w:eastAsia="Arial" w:hAnsi="Arial"/>
                <w:sz w:val="14"/>
                <w:szCs w:val="14"/>
                <w:color w:val="0000FF"/>
              </w:rPr>
            </w:pPr>
            <w:hyperlink r:id="rId112">
              <w:r>
                <w:rPr>
                  <w:rFonts w:ascii="Arial" w:cs="Arial" w:eastAsia="Arial" w:hAnsi="Arial"/>
                  <w:sz w:val="14"/>
                  <w:szCs w:val="14"/>
                  <w:color w:val="0000FF"/>
                </w:rPr>
                <w:t>Preferred Stock Commitment Letter, dated as of March 5, 2021, among the Company and certain affiliates of Ares Capital Management LLC</w:t>
              </w:r>
            </w:hyperlink>
          </w:p>
        </w:tc>
      </w:tr>
      <w:tr>
        <w:trPr>
          <w:trHeight w:val="181"/>
        </w:trPr>
        <w:tc>
          <w:tcPr>
            <w:tcW w:w="1000" w:type="dxa"/>
            <w:vAlign w:val="bottom"/>
            <w:shd w:val="clear" w:color="auto" w:fill="CCEEFF"/>
          </w:tcPr>
          <w:p>
            <w:pPr>
              <w:ind w:left="20"/>
              <w:spacing w:after="0"/>
              <w:rPr>
                <w:rFonts w:ascii="Arial" w:cs="Arial" w:eastAsia="Arial" w:hAnsi="Arial"/>
                <w:sz w:val="14"/>
                <w:szCs w:val="14"/>
                <w:color w:val="0000FF"/>
              </w:rPr>
            </w:pPr>
            <w:hyperlink r:id="rId113">
              <w:r>
                <w:rPr>
                  <w:rFonts w:ascii="Arial" w:cs="Arial" w:eastAsia="Arial" w:hAnsi="Arial"/>
                  <w:sz w:val="14"/>
                  <w:szCs w:val="14"/>
                  <w:color w:val="0000FF"/>
                </w:rPr>
                <w:t>10.11</w:t>
              </w:r>
            </w:hyperlink>
          </w:p>
        </w:tc>
        <w:tc>
          <w:tcPr>
            <w:tcW w:w="100" w:type="dxa"/>
            <w:vAlign w:val="bottom"/>
            <w:shd w:val="clear" w:color="auto" w:fill="CCEEFF"/>
          </w:tcPr>
          <w:p>
            <w:pPr>
              <w:spacing w:after="0"/>
              <w:rPr>
                <w:sz w:val="15"/>
                <w:szCs w:val="15"/>
                <w:color w:val="auto"/>
              </w:rPr>
            </w:pPr>
          </w:p>
        </w:tc>
        <w:tc>
          <w:tcPr>
            <w:tcW w:w="10180" w:type="dxa"/>
            <w:vAlign w:val="bottom"/>
            <w:shd w:val="clear" w:color="auto" w:fill="CCEEFF"/>
          </w:tcPr>
          <w:p>
            <w:pPr>
              <w:ind w:left="100"/>
              <w:spacing w:after="0"/>
              <w:rPr>
                <w:rFonts w:ascii="Arial" w:cs="Arial" w:eastAsia="Arial" w:hAnsi="Arial"/>
                <w:sz w:val="14"/>
                <w:szCs w:val="14"/>
                <w:color w:val="0000FF"/>
              </w:rPr>
            </w:pPr>
            <w:hyperlink r:id="rId113">
              <w:r>
                <w:rPr>
                  <w:rFonts w:ascii="Arial" w:cs="Arial" w:eastAsia="Arial" w:hAnsi="Arial"/>
                  <w:sz w:val="14"/>
                  <w:szCs w:val="14"/>
                  <w:color w:val="0000FF"/>
                </w:rPr>
                <w:t>Securities Purchase Agreement, dated as of April 27, 2021, among the Company and the Investors named therein</w:t>
              </w:r>
            </w:hyperlink>
          </w:p>
        </w:tc>
      </w:tr>
      <w:tr>
        <w:trPr>
          <w:trHeight w:val="180"/>
        </w:trPr>
        <w:tc>
          <w:tcPr>
            <w:tcW w:w="1000" w:type="dxa"/>
            <w:vAlign w:val="bottom"/>
          </w:tcPr>
          <w:p>
            <w:pPr>
              <w:ind w:left="20"/>
              <w:spacing w:after="0"/>
              <w:rPr>
                <w:rFonts w:ascii="Arial" w:cs="Arial" w:eastAsia="Arial" w:hAnsi="Arial"/>
                <w:sz w:val="14"/>
                <w:szCs w:val="14"/>
                <w:color w:val="0000FF"/>
              </w:rPr>
            </w:pPr>
            <w:hyperlink r:id="rId114">
              <w:r>
                <w:rPr>
                  <w:rFonts w:ascii="Arial" w:cs="Arial" w:eastAsia="Arial" w:hAnsi="Arial"/>
                  <w:sz w:val="14"/>
                  <w:szCs w:val="14"/>
                  <w:color w:val="0000FF"/>
                </w:rPr>
                <w:t>10.12</w:t>
              </w:r>
            </w:hyperlink>
          </w:p>
        </w:tc>
        <w:tc>
          <w:tcPr>
            <w:tcW w:w="100" w:type="dxa"/>
            <w:vAlign w:val="bottom"/>
          </w:tcPr>
          <w:p>
            <w:pPr>
              <w:spacing w:after="0"/>
              <w:rPr>
                <w:sz w:val="15"/>
                <w:szCs w:val="15"/>
                <w:color w:val="auto"/>
              </w:rPr>
            </w:pPr>
          </w:p>
        </w:tc>
        <w:tc>
          <w:tcPr>
            <w:tcW w:w="10180" w:type="dxa"/>
            <w:vAlign w:val="bottom"/>
          </w:tcPr>
          <w:p>
            <w:pPr>
              <w:ind w:left="100"/>
              <w:spacing w:after="0"/>
              <w:rPr>
                <w:rFonts w:ascii="Arial" w:cs="Arial" w:eastAsia="Arial" w:hAnsi="Arial"/>
                <w:sz w:val="14"/>
                <w:szCs w:val="14"/>
                <w:color w:val="0000FF"/>
              </w:rPr>
            </w:pPr>
            <w:hyperlink r:id="rId114">
              <w:r>
                <w:rPr>
                  <w:rFonts w:ascii="Arial" w:cs="Arial" w:eastAsia="Arial" w:hAnsi="Arial"/>
                  <w:sz w:val="14"/>
                  <w:szCs w:val="14"/>
                  <w:color w:val="0000FF"/>
                </w:rPr>
                <w:t>Registration Rights Agreement, dated as of April 27, 2021, among the Company and the Investors name therein</w:t>
              </w:r>
            </w:hyperlink>
          </w:p>
        </w:tc>
      </w:tr>
      <w:tr>
        <w:trPr>
          <w:trHeight w:val="181"/>
        </w:trPr>
        <w:tc>
          <w:tcPr>
            <w:tcW w:w="1000" w:type="dxa"/>
            <w:vAlign w:val="bottom"/>
            <w:shd w:val="clear" w:color="auto" w:fill="CCEEFF"/>
          </w:tcPr>
          <w:p>
            <w:pPr>
              <w:ind w:left="20"/>
              <w:spacing w:after="0"/>
              <w:rPr>
                <w:rFonts w:ascii="Arial" w:cs="Arial" w:eastAsia="Arial" w:hAnsi="Arial"/>
                <w:sz w:val="14"/>
                <w:szCs w:val="14"/>
                <w:color w:val="0000FF"/>
              </w:rPr>
            </w:pPr>
            <w:hyperlink r:id="rId115">
              <w:r>
                <w:rPr>
                  <w:rFonts w:ascii="Arial" w:cs="Arial" w:eastAsia="Arial" w:hAnsi="Arial"/>
                  <w:sz w:val="14"/>
                  <w:szCs w:val="14"/>
                  <w:color w:val="0000FF"/>
                </w:rPr>
                <w:t>10.13</w:t>
              </w:r>
            </w:hyperlink>
          </w:p>
        </w:tc>
        <w:tc>
          <w:tcPr>
            <w:tcW w:w="100" w:type="dxa"/>
            <w:vAlign w:val="bottom"/>
            <w:shd w:val="clear" w:color="auto" w:fill="CCEEFF"/>
          </w:tcPr>
          <w:p>
            <w:pPr>
              <w:spacing w:after="0"/>
              <w:rPr>
                <w:sz w:val="15"/>
                <w:szCs w:val="15"/>
                <w:color w:val="auto"/>
              </w:rPr>
            </w:pPr>
          </w:p>
        </w:tc>
        <w:tc>
          <w:tcPr>
            <w:tcW w:w="10180" w:type="dxa"/>
            <w:vAlign w:val="bottom"/>
            <w:shd w:val="clear" w:color="auto" w:fill="CCEEFF"/>
          </w:tcPr>
          <w:p>
            <w:pPr>
              <w:ind w:left="100"/>
              <w:spacing w:after="0"/>
              <w:rPr>
                <w:rFonts w:ascii="Arial" w:cs="Arial" w:eastAsia="Arial" w:hAnsi="Arial"/>
                <w:sz w:val="14"/>
                <w:szCs w:val="14"/>
                <w:color w:val="0000FF"/>
              </w:rPr>
            </w:pPr>
            <w:hyperlink r:id="rId115">
              <w:r>
                <w:rPr>
                  <w:rFonts w:ascii="Arial" w:cs="Arial" w:eastAsia="Arial" w:hAnsi="Arial"/>
                  <w:sz w:val="14"/>
                  <w:szCs w:val="14"/>
                  <w:color w:val="0000FF"/>
                </w:rPr>
                <w:t>Credit Agreement, dated as of April 27, 2021, among the Loan Parties name therein and Truist Bank</w:t>
              </w:r>
            </w:hyperlink>
          </w:p>
        </w:tc>
      </w:tr>
      <w:tr>
        <w:trPr>
          <w:trHeight w:val="180"/>
        </w:trPr>
        <w:tc>
          <w:tcPr>
            <w:tcW w:w="1000" w:type="dxa"/>
            <w:vAlign w:val="bottom"/>
          </w:tcPr>
          <w:p>
            <w:pPr>
              <w:ind w:left="20"/>
              <w:spacing w:after="0"/>
              <w:rPr>
                <w:rFonts w:ascii="Arial" w:cs="Arial" w:eastAsia="Arial" w:hAnsi="Arial"/>
                <w:sz w:val="14"/>
                <w:szCs w:val="14"/>
                <w:color w:val="0000FF"/>
              </w:rPr>
            </w:pPr>
            <w:hyperlink r:id="rId116">
              <w:r>
                <w:rPr>
                  <w:rFonts w:ascii="Arial" w:cs="Arial" w:eastAsia="Arial" w:hAnsi="Arial"/>
                  <w:sz w:val="14"/>
                  <w:szCs w:val="14"/>
                  <w:color w:val="0000FF"/>
                </w:rPr>
                <w:t>10.14</w:t>
              </w:r>
            </w:hyperlink>
          </w:p>
        </w:tc>
        <w:tc>
          <w:tcPr>
            <w:tcW w:w="100" w:type="dxa"/>
            <w:vAlign w:val="bottom"/>
          </w:tcPr>
          <w:p>
            <w:pPr>
              <w:spacing w:after="0"/>
              <w:rPr>
                <w:sz w:val="15"/>
                <w:szCs w:val="15"/>
                <w:color w:val="auto"/>
              </w:rPr>
            </w:pPr>
          </w:p>
        </w:tc>
        <w:tc>
          <w:tcPr>
            <w:tcW w:w="10180" w:type="dxa"/>
            <w:vAlign w:val="bottom"/>
          </w:tcPr>
          <w:p>
            <w:pPr>
              <w:ind w:left="100"/>
              <w:spacing w:after="0"/>
              <w:rPr>
                <w:rFonts w:ascii="Arial" w:cs="Arial" w:eastAsia="Arial" w:hAnsi="Arial"/>
                <w:sz w:val="14"/>
                <w:szCs w:val="14"/>
                <w:color w:val="0000FF"/>
                <w:w w:val="99"/>
              </w:rPr>
            </w:pPr>
            <w:hyperlink r:id="rId116">
              <w:r>
                <w:rPr>
                  <w:rFonts w:ascii="Arial" w:cs="Arial" w:eastAsia="Arial" w:hAnsi="Arial"/>
                  <w:sz w:val="14"/>
                  <w:szCs w:val="14"/>
                  <w:color w:val="0000FF"/>
                  <w:w w:val="99"/>
                </w:rPr>
                <w:t>Amendment No. 2, dated September 17, 2021, to the Credit Agreement, dated as of April 27, 2021, by and among the Loan Parties named therein and Truist Bank.</w:t>
              </w:r>
            </w:hyperlink>
          </w:p>
        </w:tc>
      </w:tr>
      <w:tr>
        <w:trPr>
          <w:trHeight w:val="138"/>
        </w:trPr>
        <w:tc>
          <w:tcPr>
            <w:tcW w:w="1000" w:type="dxa"/>
            <w:vAlign w:val="bottom"/>
            <w:shd w:val="clear" w:color="auto" w:fill="CCEEFF"/>
          </w:tcPr>
          <w:p>
            <w:pPr>
              <w:ind w:left="20"/>
              <w:spacing w:after="0" w:line="139" w:lineRule="exact"/>
              <w:rPr>
                <w:rFonts w:ascii="Arial" w:cs="Arial" w:eastAsia="Arial" w:hAnsi="Arial"/>
                <w:sz w:val="14"/>
                <w:szCs w:val="14"/>
                <w:color w:val="0000FF"/>
              </w:rPr>
            </w:pPr>
            <w:hyperlink r:id="rId117">
              <w:r>
                <w:rPr>
                  <w:rFonts w:ascii="Arial" w:cs="Arial" w:eastAsia="Arial" w:hAnsi="Arial"/>
                  <w:sz w:val="14"/>
                  <w:szCs w:val="14"/>
                  <w:color w:val="0000FF"/>
                </w:rPr>
                <w:t>10.15</w:t>
              </w:r>
            </w:hyperlink>
          </w:p>
        </w:tc>
        <w:tc>
          <w:tcPr>
            <w:tcW w:w="100" w:type="dxa"/>
            <w:vAlign w:val="bottom"/>
            <w:shd w:val="clear" w:color="auto" w:fill="CCEEFF"/>
          </w:tcPr>
          <w:p>
            <w:pPr>
              <w:spacing w:after="0"/>
              <w:rPr>
                <w:sz w:val="12"/>
                <w:szCs w:val="12"/>
                <w:color w:val="auto"/>
              </w:rPr>
            </w:pPr>
          </w:p>
        </w:tc>
        <w:tc>
          <w:tcPr>
            <w:tcW w:w="10180" w:type="dxa"/>
            <w:vAlign w:val="bottom"/>
            <w:shd w:val="clear" w:color="auto" w:fill="CCEEFF"/>
          </w:tcPr>
          <w:p>
            <w:pPr>
              <w:ind w:left="100"/>
              <w:spacing w:after="0" w:line="139" w:lineRule="exact"/>
              <w:rPr>
                <w:rFonts w:ascii="Arial" w:cs="Arial" w:eastAsia="Arial" w:hAnsi="Arial"/>
                <w:sz w:val="14"/>
                <w:szCs w:val="14"/>
                <w:color w:val="0000FF"/>
                <w:w w:val="92"/>
              </w:rPr>
            </w:pPr>
            <w:hyperlink r:id="rId117">
              <w:r>
                <w:rPr>
                  <w:rFonts w:ascii="Arial" w:cs="Arial" w:eastAsia="Arial" w:hAnsi="Arial"/>
                  <w:sz w:val="14"/>
                  <w:szCs w:val="14"/>
                  <w:color w:val="0000FF"/>
                  <w:w w:val="92"/>
                </w:rPr>
                <w:t>Third Amendment to the Credit and Guaranty Agreement, dated as of June 30, 2023, by and among Priority Holdings, LLC, as the Initial Borrower, the Credit Parties thereto, the</w:t>
              </w:r>
            </w:hyperlink>
          </w:p>
        </w:tc>
      </w:tr>
      <w:tr>
        <w:trPr>
          <w:trHeight w:val="191"/>
        </w:trPr>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180" w:type="dxa"/>
            <w:vAlign w:val="bottom"/>
            <w:shd w:val="clear" w:color="auto" w:fill="CCEEFF"/>
          </w:tcPr>
          <w:p>
            <w:pPr>
              <w:ind w:left="100"/>
              <w:spacing w:after="0"/>
              <w:rPr>
                <w:rFonts w:ascii="Arial" w:cs="Arial" w:eastAsia="Arial" w:hAnsi="Arial"/>
                <w:sz w:val="14"/>
                <w:szCs w:val="14"/>
                <w:color w:val="0000FF"/>
              </w:rPr>
            </w:pPr>
            <w:hyperlink r:id="rId117">
              <w:r>
                <w:rPr>
                  <w:rFonts w:ascii="Arial" w:cs="Arial" w:eastAsia="Arial" w:hAnsi="Arial"/>
                  <w:sz w:val="14"/>
                  <w:szCs w:val="14"/>
                  <w:color w:val="0000FF"/>
                </w:rPr>
                <w:t>2023 Incremental Revolving Credit Lender and Truist Bank, as Administrative Agent and Collateral Agent.</w:t>
              </w:r>
            </w:hyperlink>
          </w:p>
        </w:tc>
      </w:tr>
      <w:tr>
        <w:trPr>
          <w:trHeight w:val="138"/>
        </w:trPr>
        <w:tc>
          <w:tcPr>
            <w:tcW w:w="1000" w:type="dxa"/>
            <w:vAlign w:val="bottom"/>
          </w:tcPr>
          <w:p>
            <w:pPr>
              <w:ind w:left="20"/>
              <w:spacing w:after="0" w:line="138" w:lineRule="exact"/>
              <w:rPr>
                <w:rFonts w:ascii="Arial" w:cs="Arial" w:eastAsia="Arial" w:hAnsi="Arial"/>
                <w:sz w:val="14"/>
                <w:szCs w:val="14"/>
                <w:color w:val="0000FF"/>
              </w:rPr>
            </w:pPr>
            <w:hyperlink r:id="rId118">
              <w:r>
                <w:rPr>
                  <w:rFonts w:ascii="Arial" w:cs="Arial" w:eastAsia="Arial" w:hAnsi="Arial"/>
                  <w:sz w:val="14"/>
                  <w:szCs w:val="14"/>
                  <w:color w:val="0000FF"/>
                </w:rPr>
                <w:t>10.16</w:t>
              </w:r>
            </w:hyperlink>
          </w:p>
        </w:tc>
        <w:tc>
          <w:tcPr>
            <w:tcW w:w="100" w:type="dxa"/>
            <w:vAlign w:val="bottom"/>
          </w:tcPr>
          <w:p>
            <w:pPr>
              <w:spacing w:after="0"/>
              <w:rPr>
                <w:sz w:val="11"/>
                <w:szCs w:val="11"/>
                <w:color w:val="auto"/>
              </w:rPr>
            </w:pPr>
          </w:p>
        </w:tc>
        <w:tc>
          <w:tcPr>
            <w:tcW w:w="10180" w:type="dxa"/>
            <w:vAlign w:val="bottom"/>
          </w:tcPr>
          <w:p>
            <w:pPr>
              <w:ind w:left="100"/>
              <w:spacing w:after="0" w:line="138" w:lineRule="exact"/>
              <w:rPr>
                <w:rFonts w:ascii="Arial" w:cs="Arial" w:eastAsia="Arial" w:hAnsi="Arial"/>
                <w:sz w:val="14"/>
                <w:szCs w:val="14"/>
                <w:color w:val="0000FF"/>
                <w:w w:val="93"/>
              </w:rPr>
            </w:pPr>
            <w:hyperlink r:id="rId118">
              <w:r>
                <w:rPr>
                  <w:rFonts w:ascii="Arial" w:cs="Arial" w:eastAsia="Arial" w:hAnsi="Arial"/>
                  <w:sz w:val="14"/>
                  <w:szCs w:val="14"/>
                  <w:color w:val="0000FF"/>
                  <w:w w:val="93"/>
                </w:rPr>
                <w:t>Fourth Amendment to the Credit and Guaranty Agreement, dated as of October 2, 2023, by and among Priority Holdings, LLC, as the Initial Borrower, the Credit Parties party</w:t>
              </w:r>
            </w:hyperlink>
          </w:p>
        </w:tc>
      </w:tr>
      <w:tr>
        <w:trPr>
          <w:trHeight w:val="180"/>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80" w:type="dxa"/>
            <w:vAlign w:val="bottom"/>
          </w:tcPr>
          <w:p>
            <w:pPr>
              <w:ind w:left="100"/>
              <w:spacing w:after="0"/>
              <w:rPr>
                <w:rFonts w:ascii="Arial" w:cs="Arial" w:eastAsia="Arial" w:hAnsi="Arial"/>
                <w:sz w:val="14"/>
                <w:szCs w:val="14"/>
                <w:color w:val="0000FF"/>
              </w:rPr>
            </w:pPr>
            <w:hyperlink r:id="rId118">
              <w:r>
                <w:rPr>
                  <w:rFonts w:ascii="Arial" w:cs="Arial" w:eastAsia="Arial" w:hAnsi="Arial"/>
                  <w:sz w:val="14"/>
                  <w:szCs w:val="14"/>
                  <w:color w:val="0000FF"/>
                </w:rPr>
                <w:t>thereto, the 2023-1 Incremental Term Lender and Truist Bank, as Administrative Agent and Collateral Agent.</w:t>
              </w:r>
            </w:hyperlink>
          </w:p>
        </w:tc>
      </w:tr>
      <w:tr>
        <w:trPr>
          <w:trHeight w:val="191"/>
        </w:trPr>
        <w:tc>
          <w:tcPr>
            <w:tcW w:w="1000" w:type="dxa"/>
            <w:vAlign w:val="bottom"/>
            <w:shd w:val="clear" w:color="auto" w:fill="CCEEFF"/>
          </w:tcPr>
          <w:p>
            <w:pPr>
              <w:ind w:left="20"/>
              <w:spacing w:after="0"/>
              <w:rPr>
                <w:rFonts w:ascii="Arial" w:cs="Arial" w:eastAsia="Arial" w:hAnsi="Arial"/>
                <w:sz w:val="14"/>
                <w:szCs w:val="14"/>
                <w:color w:val="0000FF"/>
              </w:rPr>
            </w:pPr>
            <w:hyperlink r:id="rId119">
              <w:r>
                <w:rPr>
                  <w:rFonts w:ascii="Arial" w:cs="Arial" w:eastAsia="Arial" w:hAnsi="Arial"/>
                  <w:sz w:val="14"/>
                  <w:szCs w:val="14"/>
                  <w:color w:val="0000FF"/>
                </w:rPr>
                <w:t>10.17</w:t>
              </w:r>
            </w:hyperlink>
          </w:p>
        </w:tc>
        <w:tc>
          <w:tcPr>
            <w:tcW w:w="100" w:type="dxa"/>
            <w:vAlign w:val="bottom"/>
            <w:shd w:val="clear" w:color="auto" w:fill="CCEEFF"/>
          </w:tcPr>
          <w:p>
            <w:pPr>
              <w:spacing w:after="0"/>
              <w:rPr>
                <w:sz w:val="16"/>
                <w:szCs w:val="16"/>
                <w:color w:val="auto"/>
              </w:rPr>
            </w:pPr>
          </w:p>
        </w:tc>
        <w:tc>
          <w:tcPr>
            <w:tcW w:w="10180" w:type="dxa"/>
            <w:vAlign w:val="bottom"/>
            <w:shd w:val="clear" w:color="auto" w:fill="CCEEFF"/>
          </w:tcPr>
          <w:p>
            <w:pPr>
              <w:ind w:left="100"/>
              <w:spacing w:after="0"/>
              <w:rPr>
                <w:rFonts w:ascii="Arial" w:cs="Arial" w:eastAsia="Arial" w:hAnsi="Arial"/>
                <w:sz w:val="14"/>
                <w:szCs w:val="14"/>
                <w:color w:val="0000FF"/>
              </w:rPr>
            </w:pPr>
            <w:hyperlink r:id="rId119">
              <w:r>
                <w:rPr>
                  <w:rFonts w:ascii="Arial" w:cs="Arial" w:eastAsia="Arial" w:hAnsi="Arial"/>
                  <w:sz w:val="14"/>
                  <w:szCs w:val="14"/>
                  <w:color w:val="0000FF"/>
                </w:rPr>
                <w:t>Form Restricted Stock Unit Award Agreement.</w:t>
              </w:r>
            </w:hyperlink>
          </w:p>
        </w:tc>
      </w:tr>
      <w:tr>
        <w:trPr>
          <w:trHeight w:val="180"/>
        </w:trPr>
        <w:tc>
          <w:tcPr>
            <w:tcW w:w="1100" w:type="dxa"/>
            <w:vAlign w:val="bottom"/>
            <w:gridSpan w:val="2"/>
          </w:tcPr>
          <w:p>
            <w:pPr>
              <w:ind w:left="20"/>
              <w:spacing w:after="0"/>
              <w:rPr>
                <w:rFonts w:ascii="Arial" w:cs="Arial" w:eastAsia="Arial" w:hAnsi="Arial"/>
                <w:sz w:val="14"/>
                <w:szCs w:val="14"/>
                <w:color w:val="0000FF"/>
              </w:rPr>
            </w:pPr>
            <w:hyperlink r:id="rId120">
              <w:r>
                <w:rPr>
                  <w:rFonts w:ascii="Arial" w:cs="Arial" w:eastAsia="Arial" w:hAnsi="Arial"/>
                  <w:sz w:val="14"/>
                  <w:szCs w:val="14"/>
                  <w:color w:val="0000FF"/>
                </w:rPr>
                <w:t xml:space="preserve">10.18 </w:t>
              </w:r>
            </w:hyperlink>
            <w:r>
              <w:rPr>
                <w:rFonts w:ascii="Arial" w:cs="Arial" w:eastAsia="Arial" w:hAnsi="Arial"/>
                <w:sz w:val="14"/>
                <w:szCs w:val="14"/>
                <w:color w:val="000000"/>
              </w:rPr>
              <w:t>†</w:t>
            </w:r>
          </w:p>
        </w:tc>
        <w:tc>
          <w:tcPr>
            <w:tcW w:w="10180" w:type="dxa"/>
            <w:vAlign w:val="bottom"/>
          </w:tcPr>
          <w:p>
            <w:pPr>
              <w:ind w:left="100"/>
              <w:spacing w:after="0"/>
              <w:rPr>
                <w:rFonts w:ascii="Arial" w:cs="Arial" w:eastAsia="Arial" w:hAnsi="Arial"/>
                <w:sz w:val="14"/>
                <w:szCs w:val="14"/>
                <w:color w:val="0000FF"/>
              </w:rPr>
            </w:pPr>
            <w:hyperlink r:id="rId120">
              <w:r>
                <w:rPr>
                  <w:rFonts w:ascii="Arial" w:cs="Arial" w:eastAsia="Arial" w:hAnsi="Arial"/>
                  <w:sz w:val="14"/>
                  <w:szCs w:val="14"/>
                  <w:color w:val="0000FF"/>
                </w:rPr>
                <w:t>Executive Employment Agreement between Priority Technology Holdings, Inc. and Tim O'Leary, dated September 19, 2022.</w:t>
              </w:r>
            </w:hyperlink>
          </w:p>
        </w:tc>
      </w:tr>
      <w:tr>
        <w:trPr>
          <w:trHeight w:val="181"/>
        </w:trPr>
        <w:tc>
          <w:tcPr>
            <w:tcW w:w="1000" w:type="dxa"/>
            <w:vAlign w:val="bottom"/>
            <w:shd w:val="clear" w:color="auto" w:fill="CCEEFF"/>
          </w:tcPr>
          <w:p>
            <w:pPr>
              <w:ind w:left="20"/>
              <w:spacing w:after="0"/>
              <w:rPr>
                <w:rFonts w:ascii="Arial" w:cs="Arial" w:eastAsia="Arial" w:hAnsi="Arial"/>
                <w:sz w:val="14"/>
                <w:szCs w:val="14"/>
                <w:color w:val="0000FF"/>
              </w:rPr>
            </w:pPr>
            <w:hyperlink r:id="rId121">
              <w:r>
                <w:rPr>
                  <w:rFonts w:ascii="Arial" w:cs="Arial" w:eastAsia="Arial" w:hAnsi="Arial"/>
                  <w:sz w:val="14"/>
                  <w:szCs w:val="14"/>
                  <w:color w:val="0000FF"/>
                </w:rPr>
                <w:t>10.19</w:t>
              </w:r>
            </w:hyperlink>
          </w:p>
        </w:tc>
        <w:tc>
          <w:tcPr>
            <w:tcW w:w="100" w:type="dxa"/>
            <w:vAlign w:val="bottom"/>
            <w:shd w:val="clear" w:color="auto" w:fill="CCEEFF"/>
          </w:tcPr>
          <w:p>
            <w:pPr>
              <w:spacing w:after="0"/>
              <w:rPr>
                <w:sz w:val="15"/>
                <w:szCs w:val="15"/>
                <w:color w:val="auto"/>
              </w:rPr>
            </w:pPr>
          </w:p>
        </w:tc>
        <w:tc>
          <w:tcPr>
            <w:tcW w:w="10180" w:type="dxa"/>
            <w:vAlign w:val="bottom"/>
            <w:shd w:val="clear" w:color="auto" w:fill="CCEEFF"/>
          </w:tcPr>
          <w:p>
            <w:pPr>
              <w:ind w:left="100"/>
              <w:spacing w:after="0"/>
              <w:rPr>
                <w:rFonts w:ascii="Arial" w:cs="Arial" w:eastAsia="Arial" w:hAnsi="Arial"/>
                <w:sz w:val="14"/>
                <w:szCs w:val="14"/>
                <w:color w:val="0000FF"/>
              </w:rPr>
            </w:pPr>
            <w:hyperlink r:id="rId121">
              <w:r>
                <w:rPr>
                  <w:rFonts w:ascii="Arial" w:cs="Arial" w:eastAsia="Arial" w:hAnsi="Arial"/>
                  <w:sz w:val="14"/>
                  <w:szCs w:val="14"/>
                  <w:color w:val="0000FF"/>
                </w:rPr>
                <w:t>Priority Technology Holdings, Inc. Recoupment Policy adopted March 1, 2023</w:t>
              </w:r>
            </w:hyperlink>
          </w:p>
        </w:tc>
      </w:tr>
      <w:tr>
        <w:trPr>
          <w:trHeight w:val="138"/>
        </w:trPr>
        <w:tc>
          <w:tcPr>
            <w:tcW w:w="1000" w:type="dxa"/>
            <w:vAlign w:val="bottom"/>
          </w:tcPr>
          <w:p>
            <w:pPr>
              <w:ind w:left="20"/>
              <w:spacing w:after="0" w:line="138" w:lineRule="exact"/>
              <w:rPr>
                <w:rFonts w:ascii="Arial" w:cs="Arial" w:eastAsia="Arial" w:hAnsi="Arial"/>
                <w:sz w:val="14"/>
                <w:szCs w:val="14"/>
                <w:color w:val="0000FF"/>
              </w:rPr>
            </w:pPr>
            <w:hyperlink r:id="rId122">
              <w:r>
                <w:rPr>
                  <w:rFonts w:ascii="Arial" w:cs="Arial" w:eastAsia="Arial" w:hAnsi="Arial"/>
                  <w:sz w:val="14"/>
                  <w:szCs w:val="14"/>
                  <w:color w:val="0000FF"/>
                </w:rPr>
                <w:t>10.20</w:t>
              </w:r>
            </w:hyperlink>
          </w:p>
        </w:tc>
        <w:tc>
          <w:tcPr>
            <w:tcW w:w="100" w:type="dxa"/>
            <w:vAlign w:val="bottom"/>
          </w:tcPr>
          <w:p>
            <w:pPr>
              <w:spacing w:after="0"/>
              <w:rPr>
                <w:sz w:val="11"/>
                <w:szCs w:val="11"/>
                <w:color w:val="auto"/>
              </w:rPr>
            </w:pPr>
          </w:p>
        </w:tc>
        <w:tc>
          <w:tcPr>
            <w:tcW w:w="10180" w:type="dxa"/>
            <w:vAlign w:val="bottom"/>
          </w:tcPr>
          <w:p>
            <w:pPr>
              <w:ind w:left="100"/>
              <w:spacing w:after="0" w:line="138" w:lineRule="exact"/>
              <w:rPr>
                <w:rFonts w:ascii="Arial" w:cs="Arial" w:eastAsia="Arial" w:hAnsi="Arial"/>
                <w:sz w:val="14"/>
                <w:szCs w:val="14"/>
                <w:color w:val="0000FF"/>
                <w:w w:val="92"/>
              </w:rPr>
            </w:pPr>
            <w:hyperlink r:id="rId122">
              <w:r>
                <w:rPr>
                  <w:rFonts w:ascii="Arial" w:cs="Arial" w:eastAsia="Arial" w:hAnsi="Arial"/>
                  <w:sz w:val="14"/>
                  <w:szCs w:val="14"/>
                  <w:color w:val="0000FF"/>
                  <w:w w:val="92"/>
                </w:rPr>
                <w:t>Amendment No. 1 to Equity and Asset Purchase Agreement, dated July 31, 2023, by and among Plastiq, Powered by Priority, LLC, Plastiq Inc., PLV Inc. and Nearside Business</w:t>
              </w:r>
            </w:hyperlink>
          </w:p>
        </w:tc>
      </w:tr>
      <w:tr>
        <w:trPr>
          <w:trHeight w:val="180"/>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80" w:type="dxa"/>
            <w:vAlign w:val="bottom"/>
          </w:tcPr>
          <w:p>
            <w:pPr>
              <w:ind w:left="100"/>
              <w:spacing w:after="0"/>
              <w:rPr>
                <w:rFonts w:ascii="Arial" w:cs="Arial" w:eastAsia="Arial" w:hAnsi="Arial"/>
                <w:sz w:val="14"/>
                <w:szCs w:val="14"/>
                <w:color w:val="0000FF"/>
              </w:rPr>
            </w:pPr>
            <w:hyperlink r:id="rId122">
              <w:r>
                <w:rPr>
                  <w:rFonts w:ascii="Arial" w:cs="Arial" w:eastAsia="Arial" w:hAnsi="Arial"/>
                  <w:sz w:val="14"/>
                  <w:szCs w:val="14"/>
                  <w:color w:val="0000FF"/>
                </w:rPr>
                <w:t>Corp.</w:t>
              </w:r>
            </w:hyperlink>
          </w:p>
        </w:tc>
      </w:tr>
      <w:tr>
        <w:trPr>
          <w:trHeight w:val="191"/>
        </w:trPr>
        <w:tc>
          <w:tcPr>
            <w:tcW w:w="1000" w:type="dxa"/>
            <w:vAlign w:val="bottom"/>
            <w:shd w:val="clear" w:color="auto" w:fill="CCEEFF"/>
          </w:tcPr>
          <w:p>
            <w:pPr>
              <w:ind w:left="20"/>
              <w:spacing w:after="0"/>
              <w:rPr>
                <w:rFonts w:ascii="Arial" w:cs="Arial" w:eastAsia="Arial" w:hAnsi="Arial"/>
                <w:sz w:val="14"/>
                <w:szCs w:val="14"/>
                <w:color w:val="0000FF"/>
              </w:rPr>
            </w:pPr>
            <w:hyperlink r:id="rId123">
              <w:r>
                <w:rPr>
                  <w:rFonts w:ascii="Arial" w:cs="Arial" w:eastAsia="Arial" w:hAnsi="Arial"/>
                  <w:sz w:val="14"/>
                  <w:szCs w:val="14"/>
                  <w:color w:val="0000FF"/>
                </w:rPr>
                <w:t>10.21</w:t>
              </w:r>
            </w:hyperlink>
          </w:p>
        </w:tc>
        <w:tc>
          <w:tcPr>
            <w:tcW w:w="100" w:type="dxa"/>
            <w:vAlign w:val="bottom"/>
            <w:shd w:val="clear" w:color="auto" w:fill="CCEEFF"/>
          </w:tcPr>
          <w:p>
            <w:pPr>
              <w:spacing w:after="0"/>
              <w:rPr>
                <w:sz w:val="16"/>
                <w:szCs w:val="16"/>
                <w:color w:val="auto"/>
              </w:rPr>
            </w:pPr>
          </w:p>
        </w:tc>
        <w:tc>
          <w:tcPr>
            <w:tcW w:w="10180" w:type="dxa"/>
            <w:vAlign w:val="bottom"/>
            <w:shd w:val="clear" w:color="auto" w:fill="CCEEFF"/>
          </w:tcPr>
          <w:p>
            <w:pPr>
              <w:ind w:left="100"/>
              <w:spacing w:after="0"/>
              <w:rPr>
                <w:rFonts w:ascii="Arial" w:cs="Arial" w:eastAsia="Arial" w:hAnsi="Arial"/>
                <w:sz w:val="14"/>
                <w:szCs w:val="14"/>
                <w:color w:val="0000FF"/>
              </w:rPr>
            </w:pPr>
            <w:hyperlink r:id="rId123">
              <w:r>
                <w:rPr>
                  <w:rFonts w:ascii="Arial" w:cs="Arial" w:eastAsia="Arial" w:hAnsi="Arial"/>
                  <w:sz w:val="14"/>
                  <w:szCs w:val="14"/>
                  <w:color w:val="0000FF"/>
                </w:rPr>
                <w:t>Side Letter Agreement, dated July 28, 2023, by and between Plastiq, Powered by Priority, LLC and Colonnade Acquisition Corp. II.</w:t>
              </w:r>
            </w:hyperlink>
          </w:p>
        </w:tc>
      </w:tr>
      <w:tr>
        <w:trPr>
          <w:trHeight w:val="138"/>
        </w:trPr>
        <w:tc>
          <w:tcPr>
            <w:tcW w:w="1000" w:type="dxa"/>
            <w:vAlign w:val="bottom"/>
          </w:tcPr>
          <w:p>
            <w:pPr>
              <w:ind w:left="20"/>
              <w:spacing w:after="0" w:line="138" w:lineRule="exact"/>
              <w:rPr>
                <w:rFonts w:ascii="Arial" w:cs="Arial" w:eastAsia="Arial" w:hAnsi="Arial"/>
                <w:sz w:val="14"/>
                <w:szCs w:val="14"/>
                <w:color w:val="0000FF"/>
              </w:rPr>
            </w:pPr>
            <w:hyperlink r:id="rId124">
              <w:r>
                <w:rPr>
                  <w:rFonts w:ascii="Arial" w:cs="Arial" w:eastAsia="Arial" w:hAnsi="Arial"/>
                  <w:sz w:val="14"/>
                  <w:szCs w:val="14"/>
                  <w:color w:val="0000FF"/>
                </w:rPr>
                <w:t>10.22</w:t>
              </w:r>
            </w:hyperlink>
          </w:p>
        </w:tc>
        <w:tc>
          <w:tcPr>
            <w:tcW w:w="100" w:type="dxa"/>
            <w:vAlign w:val="bottom"/>
          </w:tcPr>
          <w:p>
            <w:pPr>
              <w:spacing w:after="0"/>
              <w:rPr>
                <w:sz w:val="11"/>
                <w:szCs w:val="11"/>
                <w:color w:val="auto"/>
              </w:rPr>
            </w:pPr>
          </w:p>
        </w:tc>
        <w:tc>
          <w:tcPr>
            <w:tcW w:w="10180" w:type="dxa"/>
            <w:vAlign w:val="bottom"/>
          </w:tcPr>
          <w:p>
            <w:pPr>
              <w:ind w:left="100"/>
              <w:spacing w:after="0" w:line="138" w:lineRule="exact"/>
              <w:rPr>
                <w:rFonts w:ascii="Arial" w:cs="Arial" w:eastAsia="Arial" w:hAnsi="Arial"/>
                <w:sz w:val="14"/>
                <w:szCs w:val="14"/>
                <w:color w:val="0000FF"/>
                <w:w w:val="96"/>
              </w:rPr>
            </w:pPr>
            <w:hyperlink r:id="rId124">
              <w:r>
                <w:rPr>
                  <w:rFonts w:ascii="Arial" w:cs="Arial" w:eastAsia="Arial" w:hAnsi="Arial"/>
                  <w:sz w:val="14"/>
                  <w:szCs w:val="14"/>
                  <w:color w:val="0000FF"/>
                  <w:w w:val="96"/>
                </w:rPr>
                <w:t>Earnout Agreement, dated July 31, 2023, by and among Plastiq, Powered by Priority, LLC, Plastiq Inc., PLV Inc., Nearside Business Corp., Blue Torch Finance, LLC and</w:t>
              </w:r>
            </w:hyperlink>
          </w:p>
        </w:tc>
      </w:tr>
      <w:tr>
        <w:trPr>
          <w:trHeight w:val="180"/>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80" w:type="dxa"/>
            <w:vAlign w:val="bottom"/>
          </w:tcPr>
          <w:p>
            <w:pPr>
              <w:ind w:left="100"/>
              <w:spacing w:after="0"/>
              <w:rPr>
                <w:rFonts w:ascii="Arial" w:cs="Arial" w:eastAsia="Arial" w:hAnsi="Arial"/>
                <w:sz w:val="14"/>
                <w:szCs w:val="14"/>
                <w:color w:val="0000FF"/>
              </w:rPr>
            </w:pPr>
            <w:hyperlink r:id="rId124">
              <w:r>
                <w:rPr>
                  <w:rFonts w:ascii="Arial" w:cs="Arial" w:eastAsia="Arial" w:hAnsi="Arial"/>
                  <w:sz w:val="14"/>
                  <w:szCs w:val="14"/>
                  <w:color w:val="0000FF"/>
                </w:rPr>
                <w:t>Priority Holdings, LLC.</w:t>
              </w:r>
            </w:hyperlink>
          </w:p>
        </w:tc>
      </w:tr>
      <w:tr>
        <w:trPr>
          <w:trHeight w:val="149"/>
        </w:trPr>
        <w:tc>
          <w:tcPr>
            <w:tcW w:w="1000" w:type="dxa"/>
            <w:vAlign w:val="bottom"/>
            <w:shd w:val="clear" w:color="auto" w:fill="CCEEFF"/>
          </w:tcPr>
          <w:p>
            <w:pPr>
              <w:ind w:left="20"/>
              <w:spacing w:after="0" w:line="149" w:lineRule="exact"/>
              <w:rPr>
                <w:rFonts w:ascii="Arial" w:cs="Arial" w:eastAsia="Arial" w:hAnsi="Arial"/>
                <w:sz w:val="14"/>
                <w:szCs w:val="14"/>
                <w:color w:val="0000FF"/>
              </w:rPr>
            </w:pPr>
            <w:hyperlink r:id="rId125">
              <w:r>
                <w:rPr>
                  <w:rFonts w:ascii="Arial" w:cs="Arial" w:eastAsia="Arial" w:hAnsi="Arial"/>
                  <w:sz w:val="14"/>
                  <w:szCs w:val="14"/>
                  <w:color w:val="0000FF"/>
                </w:rPr>
                <w:t>10.23</w:t>
              </w:r>
            </w:hyperlink>
          </w:p>
        </w:tc>
        <w:tc>
          <w:tcPr>
            <w:tcW w:w="100" w:type="dxa"/>
            <w:vAlign w:val="bottom"/>
            <w:shd w:val="clear" w:color="auto" w:fill="CCEEFF"/>
          </w:tcPr>
          <w:p>
            <w:pPr>
              <w:spacing w:after="0"/>
              <w:rPr>
                <w:sz w:val="12"/>
                <w:szCs w:val="12"/>
                <w:color w:val="auto"/>
              </w:rPr>
            </w:pPr>
          </w:p>
        </w:tc>
        <w:tc>
          <w:tcPr>
            <w:tcW w:w="10180" w:type="dxa"/>
            <w:vAlign w:val="bottom"/>
            <w:shd w:val="clear" w:color="auto" w:fill="CCEEFF"/>
          </w:tcPr>
          <w:p>
            <w:pPr>
              <w:ind w:left="100"/>
              <w:spacing w:after="0" w:line="149" w:lineRule="exact"/>
              <w:rPr>
                <w:rFonts w:ascii="Arial" w:cs="Arial" w:eastAsia="Arial" w:hAnsi="Arial"/>
                <w:sz w:val="14"/>
                <w:szCs w:val="14"/>
                <w:color w:val="0000FF"/>
                <w:w w:val="92"/>
              </w:rPr>
            </w:pPr>
            <w:hyperlink r:id="rId125">
              <w:r>
                <w:rPr>
                  <w:rFonts w:ascii="Arial" w:cs="Arial" w:eastAsia="Arial" w:hAnsi="Arial"/>
                  <w:sz w:val="14"/>
                  <w:szCs w:val="14"/>
                  <w:color w:val="0000FF"/>
                  <w:w w:val="92"/>
                </w:rPr>
                <w:t>Priority Technology Holdings, Inc. Amended and Restated Certificate of Designations of the Powers, Preferences and Relative, Participating, Optional and Other Special Rights,</w:t>
              </w:r>
            </w:hyperlink>
          </w:p>
        </w:tc>
      </w:tr>
      <w:tr>
        <w:trPr>
          <w:trHeight w:val="191"/>
        </w:trPr>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180" w:type="dxa"/>
            <w:vAlign w:val="bottom"/>
            <w:shd w:val="clear" w:color="auto" w:fill="CCEEFF"/>
          </w:tcPr>
          <w:p>
            <w:pPr>
              <w:ind w:left="100"/>
              <w:spacing w:after="0"/>
              <w:rPr>
                <w:rFonts w:ascii="Arial" w:cs="Arial" w:eastAsia="Arial" w:hAnsi="Arial"/>
                <w:sz w:val="14"/>
                <w:szCs w:val="14"/>
                <w:color w:val="0000FF"/>
              </w:rPr>
            </w:pPr>
            <w:hyperlink r:id="rId125">
              <w:r>
                <w:rPr>
                  <w:rFonts w:ascii="Arial" w:cs="Arial" w:eastAsia="Arial" w:hAnsi="Arial"/>
                  <w:sz w:val="14"/>
                  <w:szCs w:val="14"/>
                  <w:color w:val="0000FF"/>
                </w:rPr>
                <w:t>and Qualifications, Limitations and Restrictions thereof, of Senior Preferred Stock.</w:t>
              </w:r>
            </w:hyperlink>
          </w:p>
        </w:tc>
      </w:tr>
      <w:tr>
        <w:trPr>
          <w:trHeight w:val="180"/>
        </w:trPr>
        <w:tc>
          <w:tcPr>
            <w:tcW w:w="1000" w:type="dxa"/>
            <w:vAlign w:val="bottom"/>
          </w:tcPr>
          <w:p>
            <w:pPr>
              <w:ind w:left="20"/>
              <w:spacing w:after="0"/>
              <w:rPr>
                <w:sz w:val="20"/>
                <w:szCs w:val="20"/>
                <w:color w:val="auto"/>
              </w:rPr>
            </w:pPr>
            <w:r>
              <w:rPr>
                <w:rFonts w:ascii="Arial" w:cs="Arial" w:eastAsia="Arial" w:hAnsi="Arial"/>
                <w:sz w:val="14"/>
                <w:szCs w:val="14"/>
                <w:color w:val="0000FF"/>
              </w:rPr>
              <w:t>10.24</w:t>
            </w:r>
          </w:p>
        </w:tc>
        <w:tc>
          <w:tcPr>
            <w:tcW w:w="100" w:type="dxa"/>
            <w:vAlign w:val="bottom"/>
          </w:tcPr>
          <w:p>
            <w:pPr>
              <w:spacing w:after="0"/>
              <w:rPr>
                <w:sz w:val="15"/>
                <w:szCs w:val="15"/>
                <w:color w:val="auto"/>
              </w:rPr>
            </w:pPr>
          </w:p>
        </w:tc>
        <w:tc>
          <w:tcPr>
            <w:tcW w:w="10180" w:type="dxa"/>
            <w:vAlign w:val="bottom"/>
          </w:tcPr>
          <w:p>
            <w:pPr>
              <w:ind w:left="100"/>
              <w:spacing w:after="0"/>
              <w:rPr>
                <w:sz w:val="20"/>
                <w:szCs w:val="20"/>
                <w:color w:val="auto"/>
              </w:rPr>
            </w:pPr>
            <w:r>
              <w:rPr>
                <w:rFonts w:ascii="Arial" w:cs="Arial" w:eastAsia="Arial" w:hAnsi="Arial"/>
                <w:sz w:val="14"/>
                <w:szCs w:val="14"/>
                <w:color w:val="0000FF"/>
              </w:rPr>
              <w:t>Rule 10b5-1 Sales Plan, dated June 16, 2023, by and between Sean Kiewiet and J.P. Morgan Securities LLC.</w:t>
            </w:r>
          </w:p>
        </w:tc>
      </w:tr>
      <w:tr>
        <w:trPr>
          <w:trHeight w:val="181"/>
        </w:trPr>
        <w:tc>
          <w:tcPr>
            <w:tcW w:w="1000" w:type="dxa"/>
            <w:vAlign w:val="bottom"/>
            <w:shd w:val="clear" w:color="auto" w:fill="CCEEFF"/>
          </w:tcPr>
          <w:p>
            <w:pPr>
              <w:ind w:left="20"/>
              <w:spacing w:after="0"/>
              <w:rPr>
                <w:rFonts w:ascii="Arial" w:cs="Arial" w:eastAsia="Arial" w:hAnsi="Arial"/>
                <w:sz w:val="14"/>
                <w:szCs w:val="14"/>
                <w:color w:val="0000FF"/>
              </w:rPr>
            </w:pPr>
            <w:hyperlink r:id="rId126">
              <w:r>
                <w:rPr>
                  <w:rFonts w:ascii="Arial" w:cs="Arial" w:eastAsia="Arial" w:hAnsi="Arial"/>
                  <w:sz w:val="14"/>
                  <w:szCs w:val="14"/>
                  <w:color w:val="0000FF"/>
                </w:rPr>
                <w:t>21.1</w:t>
              </w:r>
            </w:hyperlink>
          </w:p>
        </w:tc>
        <w:tc>
          <w:tcPr>
            <w:tcW w:w="100" w:type="dxa"/>
            <w:vAlign w:val="bottom"/>
            <w:shd w:val="clear" w:color="auto" w:fill="CCEEFF"/>
          </w:tcPr>
          <w:p>
            <w:pPr>
              <w:spacing w:after="0"/>
              <w:rPr>
                <w:sz w:val="15"/>
                <w:szCs w:val="15"/>
                <w:color w:val="auto"/>
              </w:rPr>
            </w:pPr>
          </w:p>
        </w:tc>
        <w:tc>
          <w:tcPr>
            <w:tcW w:w="10180" w:type="dxa"/>
            <w:vAlign w:val="bottom"/>
            <w:shd w:val="clear" w:color="auto" w:fill="CCEEFF"/>
          </w:tcPr>
          <w:p>
            <w:pPr>
              <w:ind w:left="100"/>
              <w:spacing w:after="0"/>
              <w:rPr>
                <w:rFonts w:ascii="Arial" w:cs="Arial" w:eastAsia="Arial" w:hAnsi="Arial"/>
                <w:sz w:val="14"/>
                <w:szCs w:val="14"/>
                <w:color w:val="0000FF"/>
              </w:rPr>
            </w:pPr>
            <w:hyperlink r:id="rId126">
              <w:r>
                <w:rPr>
                  <w:rFonts w:ascii="Arial" w:cs="Arial" w:eastAsia="Arial" w:hAnsi="Arial"/>
                  <w:sz w:val="14"/>
                  <w:szCs w:val="14"/>
                  <w:color w:val="0000FF"/>
                </w:rPr>
                <w:t>Subsidiaries</w:t>
              </w:r>
            </w:hyperlink>
          </w:p>
        </w:tc>
      </w:tr>
      <w:tr>
        <w:trPr>
          <w:trHeight w:val="180"/>
        </w:trPr>
        <w:tc>
          <w:tcPr>
            <w:tcW w:w="1000" w:type="dxa"/>
            <w:vAlign w:val="bottom"/>
          </w:tcPr>
          <w:p>
            <w:pPr>
              <w:ind w:left="20"/>
              <w:spacing w:after="0"/>
              <w:rPr>
                <w:sz w:val="20"/>
                <w:szCs w:val="20"/>
                <w:color w:val="auto"/>
              </w:rPr>
            </w:pPr>
            <w:r>
              <w:rPr>
                <w:rFonts w:ascii="Arial" w:cs="Arial" w:eastAsia="Arial" w:hAnsi="Arial"/>
                <w:sz w:val="14"/>
                <w:szCs w:val="14"/>
                <w:color w:val="0000FF"/>
              </w:rPr>
              <w:t xml:space="preserve">31.1 </w:t>
            </w:r>
            <w:r>
              <w:rPr>
                <w:rFonts w:ascii="Arial" w:cs="Arial" w:eastAsia="Arial" w:hAnsi="Arial"/>
                <w:sz w:val="14"/>
                <w:szCs w:val="14"/>
                <w:color w:val="000000"/>
              </w:rPr>
              <w:t>*</w:t>
            </w:r>
          </w:p>
        </w:tc>
        <w:tc>
          <w:tcPr>
            <w:tcW w:w="100" w:type="dxa"/>
            <w:vAlign w:val="bottom"/>
          </w:tcPr>
          <w:p>
            <w:pPr>
              <w:spacing w:after="0"/>
              <w:rPr>
                <w:sz w:val="15"/>
                <w:szCs w:val="15"/>
                <w:color w:val="auto"/>
              </w:rPr>
            </w:pPr>
          </w:p>
        </w:tc>
        <w:tc>
          <w:tcPr>
            <w:tcW w:w="10180" w:type="dxa"/>
            <w:vAlign w:val="bottom"/>
          </w:tcPr>
          <w:p>
            <w:pPr>
              <w:ind w:left="100"/>
              <w:spacing w:after="0"/>
              <w:rPr>
                <w:sz w:val="20"/>
                <w:szCs w:val="20"/>
                <w:color w:val="auto"/>
              </w:rPr>
            </w:pPr>
            <w:r>
              <w:rPr>
                <w:rFonts w:ascii="Arial" w:cs="Arial" w:eastAsia="Arial" w:hAnsi="Arial"/>
                <w:sz w:val="14"/>
                <w:szCs w:val="14"/>
                <w:color w:val="0000FF"/>
              </w:rPr>
              <w:t>Certification of Chief Executive Officer pursuant to Rule 13a-14 and Rule 15d-14(a), promulgated under the Securities and Exchange Act of 1934, as amended.</w:t>
            </w:r>
          </w:p>
        </w:tc>
      </w:tr>
      <w:tr>
        <w:trPr>
          <w:trHeight w:val="181"/>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 xml:space="preserve">31.2 </w:t>
            </w:r>
            <w:r>
              <w:rPr>
                <w:rFonts w:ascii="Arial" w:cs="Arial" w:eastAsia="Arial" w:hAnsi="Arial"/>
                <w:sz w:val="14"/>
                <w:szCs w:val="14"/>
                <w:color w:val="000000"/>
              </w:rPr>
              <w:t>*</w:t>
            </w:r>
          </w:p>
        </w:tc>
        <w:tc>
          <w:tcPr>
            <w:tcW w:w="100" w:type="dxa"/>
            <w:vAlign w:val="bottom"/>
            <w:shd w:val="clear" w:color="auto" w:fill="CCEEFF"/>
          </w:tcPr>
          <w:p>
            <w:pPr>
              <w:spacing w:after="0"/>
              <w:rPr>
                <w:sz w:val="15"/>
                <w:szCs w:val="15"/>
                <w:color w:val="auto"/>
              </w:rPr>
            </w:pPr>
          </w:p>
        </w:tc>
        <w:tc>
          <w:tcPr>
            <w:tcW w:w="10180" w:type="dxa"/>
            <w:vAlign w:val="bottom"/>
            <w:shd w:val="clear" w:color="auto" w:fill="CCEEFF"/>
          </w:tcPr>
          <w:p>
            <w:pPr>
              <w:ind w:left="100"/>
              <w:spacing w:after="0"/>
              <w:rPr>
                <w:sz w:val="20"/>
                <w:szCs w:val="20"/>
                <w:color w:val="auto"/>
              </w:rPr>
            </w:pPr>
            <w:r>
              <w:rPr>
                <w:rFonts w:ascii="Arial" w:cs="Arial" w:eastAsia="Arial" w:hAnsi="Arial"/>
                <w:sz w:val="14"/>
                <w:szCs w:val="14"/>
                <w:color w:val="0000FF"/>
              </w:rPr>
              <w:t>Certification of Chief Financial Officer pursuant to Rule 13a-14 and Rule 15d-14(a), promulgated under the Securities and Exchange Act of 1934, as amended.</w:t>
            </w:r>
          </w:p>
        </w:tc>
      </w:tr>
      <w:tr>
        <w:trPr>
          <w:trHeight w:val="180"/>
        </w:trPr>
        <w:tc>
          <w:tcPr>
            <w:tcW w:w="1000" w:type="dxa"/>
            <w:vAlign w:val="bottom"/>
          </w:tcPr>
          <w:p>
            <w:pPr>
              <w:ind w:left="20"/>
              <w:spacing w:after="0"/>
              <w:rPr>
                <w:sz w:val="20"/>
                <w:szCs w:val="20"/>
                <w:color w:val="auto"/>
              </w:rPr>
            </w:pPr>
            <w:r>
              <w:rPr>
                <w:rFonts w:ascii="Arial" w:cs="Arial" w:eastAsia="Arial" w:hAnsi="Arial"/>
                <w:sz w:val="14"/>
                <w:szCs w:val="14"/>
                <w:color w:val="0000FF"/>
              </w:rPr>
              <w:t xml:space="preserve">32 </w:t>
            </w:r>
            <w:r>
              <w:rPr>
                <w:rFonts w:ascii="Arial" w:cs="Arial" w:eastAsia="Arial" w:hAnsi="Arial"/>
                <w:sz w:val="14"/>
                <w:szCs w:val="14"/>
                <w:color w:val="000000"/>
              </w:rPr>
              <w:t>**</w:t>
            </w:r>
          </w:p>
        </w:tc>
        <w:tc>
          <w:tcPr>
            <w:tcW w:w="100" w:type="dxa"/>
            <w:vAlign w:val="bottom"/>
          </w:tcPr>
          <w:p>
            <w:pPr>
              <w:spacing w:after="0"/>
              <w:rPr>
                <w:sz w:val="15"/>
                <w:szCs w:val="15"/>
                <w:color w:val="auto"/>
              </w:rPr>
            </w:pPr>
          </w:p>
        </w:tc>
        <w:tc>
          <w:tcPr>
            <w:tcW w:w="10180" w:type="dxa"/>
            <w:vAlign w:val="bottom"/>
          </w:tcPr>
          <w:p>
            <w:pPr>
              <w:ind w:left="100"/>
              <w:spacing w:after="0"/>
              <w:rPr>
                <w:sz w:val="20"/>
                <w:szCs w:val="20"/>
                <w:color w:val="auto"/>
              </w:rPr>
            </w:pPr>
            <w:r>
              <w:rPr>
                <w:rFonts w:ascii="Arial" w:cs="Arial" w:eastAsia="Arial" w:hAnsi="Arial"/>
                <w:sz w:val="14"/>
                <w:szCs w:val="14"/>
                <w:color w:val="0000FF"/>
                <w:w w:val="93"/>
              </w:rPr>
              <w:t>Certification of Chief Executive Officer and Chief Financial Officer pursuant to 18 U.S.C. Section 1350, as adopted pursuant to Section 906 of the Sarbanes-Oxley Act of 2002.</w:t>
            </w:r>
          </w:p>
        </w:tc>
      </w:tr>
      <w:tr>
        <w:trPr>
          <w:trHeight w:val="181"/>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101.INS *</w:t>
            </w:r>
          </w:p>
        </w:tc>
        <w:tc>
          <w:tcPr>
            <w:tcW w:w="10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7"/>
              </w:rPr>
              <w:t>XBRL Instance Document - the instance document does not appear in the Interactive Data File because its XBRL tags are embedded within the Inline XBRL document.</w:t>
            </w:r>
          </w:p>
        </w:tc>
      </w:tr>
      <w:tr>
        <w:trPr>
          <w:trHeight w:val="180"/>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101.SCH *</w:t>
            </w:r>
          </w:p>
        </w:tc>
        <w:tc>
          <w:tcPr>
            <w:tcW w:w="10180" w:type="dxa"/>
            <w:vAlign w:val="bottom"/>
          </w:tcPr>
          <w:p>
            <w:pPr>
              <w:ind w:left="100"/>
              <w:spacing w:after="0"/>
              <w:rPr>
                <w:sz w:val="20"/>
                <w:szCs w:val="20"/>
                <w:color w:val="auto"/>
              </w:rPr>
            </w:pPr>
            <w:r>
              <w:rPr>
                <w:rFonts w:ascii="Arial" w:cs="Arial" w:eastAsia="Arial" w:hAnsi="Arial"/>
                <w:sz w:val="14"/>
                <w:szCs w:val="14"/>
                <w:color w:val="auto"/>
              </w:rPr>
              <w:t>XBRL Taxonomy Extension Schema Document</w:t>
            </w:r>
          </w:p>
        </w:tc>
      </w:tr>
      <w:tr>
        <w:trPr>
          <w:trHeight w:val="181"/>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101.CAL *</w:t>
            </w:r>
          </w:p>
        </w:tc>
        <w:tc>
          <w:tcPr>
            <w:tcW w:w="10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XBRL Taxonomy Extension Calculation Linkbase Document</w:t>
            </w:r>
          </w:p>
        </w:tc>
      </w:tr>
      <w:tr>
        <w:trPr>
          <w:trHeight w:val="180"/>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101.LAB *</w:t>
            </w:r>
          </w:p>
        </w:tc>
        <w:tc>
          <w:tcPr>
            <w:tcW w:w="10180" w:type="dxa"/>
            <w:vAlign w:val="bottom"/>
          </w:tcPr>
          <w:p>
            <w:pPr>
              <w:ind w:left="100"/>
              <w:spacing w:after="0"/>
              <w:rPr>
                <w:sz w:val="20"/>
                <w:szCs w:val="20"/>
                <w:color w:val="auto"/>
              </w:rPr>
            </w:pPr>
            <w:r>
              <w:rPr>
                <w:rFonts w:ascii="Arial" w:cs="Arial" w:eastAsia="Arial" w:hAnsi="Arial"/>
                <w:sz w:val="14"/>
                <w:szCs w:val="14"/>
                <w:color w:val="auto"/>
              </w:rPr>
              <w:t>XBRL Taxonomy Extension Label Linkbase Document</w:t>
            </w:r>
          </w:p>
        </w:tc>
      </w:tr>
      <w:tr>
        <w:trPr>
          <w:trHeight w:val="181"/>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101.PRE *</w:t>
            </w:r>
          </w:p>
        </w:tc>
        <w:tc>
          <w:tcPr>
            <w:tcW w:w="10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180"/>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101.DEF *</w:t>
            </w:r>
          </w:p>
        </w:tc>
        <w:tc>
          <w:tcPr>
            <w:tcW w:w="10180" w:type="dxa"/>
            <w:vAlign w:val="bottom"/>
          </w:tcPr>
          <w:p>
            <w:pPr>
              <w:ind w:left="100"/>
              <w:spacing w:after="0"/>
              <w:rPr>
                <w:sz w:val="20"/>
                <w:szCs w:val="20"/>
                <w:color w:val="auto"/>
              </w:rPr>
            </w:pPr>
            <w:r>
              <w:rPr>
                <w:rFonts w:ascii="Arial" w:cs="Arial" w:eastAsia="Arial" w:hAnsi="Arial"/>
                <w:sz w:val="14"/>
                <w:szCs w:val="14"/>
                <w:color w:val="auto"/>
              </w:rPr>
              <w:t>XBRL Taxonomy Extension Definition Linkbase Document</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9" w:lineRule="exact"/>
        <w:rPr>
          <w:sz w:val="20"/>
          <w:szCs w:val="20"/>
          <w:color w:val="auto"/>
        </w:rPr>
      </w:pPr>
    </w:p>
    <w:p>
      <w:pPr>
        <w:ind w:left="120" w:hanging="115"/>
        <w:spacing w:after="0"/>
        <w:tabs>
          <w:tab w:leader="none" w:pos="1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860" w:type="dxa"/>
            <w:vAlign w:val="bottom"/>
          </w:tcPr>
          <w:p>
            <w:pPr>
              <w:spacing w:after="0"/>
              <w:rPr>
                <w:sz w:val="15"/>
                <w:szCs w:val="15"/>
                <w:color w:val="auto"/>
              </w:rPr>
            </w:pPr>
          </w:p>
        </w:tc>
        <w:tc>
          <w:tcPr>
            <w:tcW w:w="5780" w:type="dxa"/>
            <w:vAlign w:val="bottom"/>
            <w:gridSpan w:val="4"/>
          </w:tcPr>
          <w:p>
            <w:pPr>
              <w:ind w:left="1800"/>
              <w:spacing w:after="0"/>
              <w:rPr>
                <w:sz w:val="20"/>
                <w:szCs w:val="20"/>
                <w:color w:val="auto"/>
              </w:rPr>
            </w:pPr>
            <w:r>
              <w:rPr>
                <w:rFonts w:ascii="Arial" w:cs="Arial" w:eastAsia="Arial" w:hAnsi="Arial"/>
                <w:sz w:val="14"/>
                <w:szCs w:val="14"/>
                <w:color w:val="auto"/>
              </w:rPr>
              <w:t>PRIORITY TECHNOLOGY HOLDINGS, INC.</w:t>
            </w:r>
          </w:p>
        </w:tc>
      </w:tr>
      <w:tr>
        <w:trPr>
          <w:trHeight w:val="287"/>
        </w:trPr>
        <w:tc>
          <w:tcPr>
            <w:tcW w:w="2860" w:type="dxa"/>
            <w:vAlign w:val="bottom"/>
          </w:tcPr>
          <w:p>
            <w:pPr>
              <w:spacing w:after="0"/>
              <w:rPr>
                <w:sz w:val="20"/>
                <w:szCs w:val="20"/>
                <w:color w:val="auto"/>
              </w:rPr>
            </w:pPr>
            <w:r>
              <w:rPr>
                <w:rFonts w:ascii="Arial" w:cs="Arial" w:eastAsia="Arial" w:hAnsi="Arial"/>
                <w:sz w:val="14"/>
                <w:szCs w:val="14"/>
                <w:color w:val="auto"/>
              </w:rPr>
              <w:t>November 9, 2023</w:t>
            </w:r>
          </w:p>
        </w:tc>
        <w:tc>
          <w:tcPr>
            <w:tcW w:w="300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4"/>
                <w:szCs w:val="14"/>
                <w:color w:val="auto"/>
              </w:rPr>
              <w:t>/s/ Thomas C. Priore</w:t>
            </w:r>
          </w:p>
        </w:tc>
      </w:tr>
      <w:tr>
        <w:trPr>
          <w:trHeight w:val="118"/>
        </w:trPr>
        <w:tc>
          <w:tcPr>
            <w:tcW w:w="286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160" w:type="dxa"/>
            <w:vAlign w:val="bottom"/>
            <w:tcBorders>
              <w:top w:val="single" w:sz="8" w:color="auto"/>
            </w:tcBorders>
          </w:tcPr>
          <w:p>
            <w:pPr>
              <w:spacing w:after="0" w:line="118" w:lineRule="exact"/>
              <w:rPr>
                <w:sz w:val="20"/>
                <w:szCs w:val="20"/>
                <w:color w:val="auto"/>
              </w:rPr>
            </w:pPr>
            <w:r>
              <w:rPr>
                <w:rFonts w:ascii="Arial" w:cs="Arial" w:eastAsia="Arial" w:hAnsi="Arial"/>
                <w:sz w:val="13"/>
                <w:szCs w:val="13"/>
                <w:color w:val="auto"/>
              </w:rPr>
              <w:t>Thomas C. Priore</w:t>
            </w: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38"/>
        </w:trPr>
        <w:tc>
          <w:tcPr>
            <w:tcW w:w="28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780" w:type="dxa"/>
            <w:vAlign w:val="bottom"/>
            <w:gridSpan w:val="3"/>
          </w:tcPr>
          <w:p>
            <w:pPr>
              <w:spacing w:after="0" w:line="138" w:lineRule="exact"/>
              <w:rPr>
                <w:sz w:val="20"/>
                <w:szCs w:val="20"/>
                <w:color w:val="auto"/>
              </w:rPr>
            </w:pPr>
            <w:r>
              <w:rPr>
                <w:rFonts w:ascii="Arial" w:cs="Arial" w:eastAsia="Arial" w:hAnsi="Arial"/>
                <w:sz w:val="14"/>
                <w:szCs w:val="14"/>
                <w:i w:val="1"/>
                <w:iCs w:val="1"/>
                <w:color w:val="auto"/>
                <w:w w:val="91"/>
              </w:rPr>
              <w:t>President, Chief Executive Officer and Chairman</w:t>
            </w:r>
          </w:p>
        </w:tc>
      </w:tr>
      <w:tr>
        <w:trPr>
          <w:trHeight w:val="180"/>
        </w:trPr>
        <w:tc>
          <w:tcPr>
            <w:tcW w:w="28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780" w:type="dxa"/>
            <w:vAlign w:val="bottom"/>
            <w:gridSpan w:val="3"/>
          </w:tcPr>
          <w:p>
            <w:pPr>
              <w:spacing w:after="0"/>
              <w:rPr>
                <w:sz w:val="20"/>
                <w:szCs w:val="20"/>
                <w:color w:val="auto"/>
              </w:rPr>
            </w:pPr>
            <w:r>
              <w:rPr>
                <w:rFonts w:ascii="Arial" w:cs="Arial" w:eastAsia="Arial" w:hAnsi="Arial"/>
                <w:sz w:val="14"/>
                <w:szCs w:val="14"/>
                <w:i w:val="1"/>
                <w:iCs w:val="1"/>
                <w:color w:val="auto"/>
              </w:rPr>
              <w:t>(Principal Executive Officer)</w:t>
            </w:r>
          </w:p>
        </w:tc>
      </w:tr>
      <w:tr>
        <w:trPr>
          <w:trHeight w:val="266"/>
        </w:trPr>
        <w:tc>
          <w:tcPr>
            <w:tcW w:w="2860" w:type="dxa"/>
            <w:vAlign w:val="bottom"/>
          </w:tcPr>
          <w:p>
            <w:pPr>
              <w:spacing w:after="0"/>
              <w:rPr>
                <w:sz w:val="20"/>
                <w:szCs w:val="20"/>
                <w:color w:val="auto"/>
              </w:rPr>
            </w:pPr>
            <w:r>
              <w:rPr>
                <w:rFonts w:ascii="Arial" w:cs="Arial" w:eastAsia="Arial" w:hAnsi="Arial"/>
                <w:sz w:val="14"/>
                <w:szCs w:val="14"/>
                <w:color w:val="auto"/>
              </w:rPr>
              <w:t>November 9, 2023</w:t>
            </w:r>
          </w:p>
        </w:tc>
        <w:tc>
          <w:tcPr>
            <w:tcW w:w="3000" w:type="dxa"/>
            <w:vAlign w:val="bottom"/>
          </w:tcPr>
          <w:p>
            <w:pPr>
              <w:spacing w:after="0"/>
              <w:rPr>
                <w:sz w:val="23"/>
                <w:szCs w:val="23"/>
                <w:color w:val="auto"/>
              </w:rPr>
            </w:pPr>
          </w:p>
        </w:tc>
        <w:tc>
          <w:tcPr>
            <w:tcW w:w="2780" w:type="dxa"/>
            <w:vAlign w:val="bottom"/>
            <w:gridSpan w:val="3"/>
          </w:tcPr>
          <w:p>
            <w:pPr>
              <w:spacing w:after="0"/>
              <w:rPr>
                <w:sz w:val="20"/>
                <w:szCs w:val="20"/>
                <w:color w:val="auto"/>
              </w:rPr>
            </w:pPr>
            <w:r>
              <w:rPr>
                <w:rFonts w:ascii="Arial" w:cs="Arial" w:eastAsia="Arial" w:hAnsi="Arial"/>
                <w:sz w:val="14"/>
                <w:szCs w:val="14"/>
                <w:color w:val="auto"/>
              </w:rPr>
              <w:t>/s/ Timothy M. O'Leary</w:t>
            </w:r>
          </w:p>
        </w:tc>
      </w:tr>
      <w:tr>
        <w:trPr>
          <w:trHeight w:val="118"/>
        </w:trPr>
        <w:tc>
          <w:tcPr>
            <w:tcW w:w="286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34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color w:val="auto"/>
              </w:rPr>
              <w:t>Tim O'Leary</w:t>
            </w:r>
          </w:p>
        </w:tc>
        <w:tc>
          <w:tcPr>
            <w:tcW w:w="1440" w:type="dxa"/>
            <w:vAlign w:val="bottom"/>
          </w:tcPr>
          <w:p>
            <w:pPr>
              <w:spacing w:after="0"/>
              <w:rPr>
                <w:sz w:val="10"/>
                <w:szCs w:val="10"/>
                <w:color w:val="auto"/>
              </w:rPr>
            </w:pPr>
          </w:p>
        </w:tc>
      </w:tr>
      <w:tr>
        <w:trPr>
          <w:trHeight w:val="138"/>
        </w:trPr>
        <w:tc>
          <w:tcPr>
            <w:tcW w:w="28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780" w:type="dxa"/>
            <w:vAlign w:val="bottom"/>
            <w:gridSpan w:val="3"/>
          </w:tcPr>
          <w:p>
            <w:pPr>
              <w:spacing w:after="0" w:line="138" w:lineRule="exact"/>
              <w:rPr>
                <w:sz w:val="20"/>
                <w:szCs w:val="20"/>
                <w:color w:val="auto"/>
              </w:rPr>
            </w:pPr>
            <w:r>
              <w:rPr>
                <w:rFonts w:ascii="Arial" w:cs="Arial" w:eastAsia="Arial" w:hAnsi="Arial"/>
                <w:sz w:val="14"/>
                <w:szCs w:val="14"/>
                <w:i w:val="1"/>
                <w:iCs w:val="1"/>
                <w:color w:val="auto"/>
              </w:rPr>
              <w:t>Chief Financial Officer</w:t>
            </w:r>
          </w:p>
        </w:tc>
      </w:tr>
      <w:tr>
        <w:trPr>
          <w:trHeight w:val="180"/>
        </w:trPr>
        <w:tc>
          <w:tcPr>
            <w:tcW w:w="28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780" w:type="dxa"/>
            <w:vAlign w:val="bottom"/>
            <w:gridSpan w:val="3"/>
          </w:tcPr>
          <w:p>
            <w:pPr>
              <w:spacing w:after="0"/>
              <w:rPr>
                <w:sz w:val="20"/>
                <w:szCs w:val="20"/>
                <w:color w:val="auto"/>
              </w:rPr>
            </w:pPr>
            <w:r>
              <w:rPr>
                <w:rFonts w:ascii="Arial" w:cs="Arial" w:eastAsia="Arial" w:hAnsi="Arial"/>
                <w:sz w:val="14"/>
                <w:szCs w:val="14"/>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0320"/>
          </w:cols>
          <w:pgMar w:left="300" w:top="129" w:right="1279" w:bottom="1440"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rFonts w:ascii="Arial" w:cs="Arial" w:eastAsia="Arial" w:hAnsi="Arial"/>
          <w:sz w:val="14"/>
          <w:szCs w:val="14"/>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EXCHANGE ACT RULE 13a-14(a)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303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Thomas C. Priore, certify that:</w:t>
      </w:r>
    </w:p>
    <w:p>
      <w:pPr>
        <w:spacing w:after="0" w:line="200" w:lineRule="exact"/>
        <w:rPr>
          <w:sz w:val="20"/>
          <w:szCs w:val="20"/>
          <w:color w:val="auto"/>
        </w:rPr>
      </w:pPr>
    </w:p>
    <w:p>
      <w:pPr>
        <w:ind w:left="260" w:hanging="255"/>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Priority Technology Holdings, Inc.;</w:t>
      </w:r>
    </w:p>
    <w:p>
      <w:pPr>
        <w:spacing w:after="0" w:line="199"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260" w:right="160" w:hanging="255"/>
        <w:spacing w:after="0" w:line="281" w:lineRule="auto"/>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760" w:right="20" w:hanging="246"/>
        <w:spacing w:after="0" w:line="304" w:lineRule="auto"/>
        <w:tabs>
          <w:tab w:leader="none" w:pos="758"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right="240" w:hanging="246"/>
        <w:spacing w:after="0" w:line="295" w:lineRule="auto"/>
        <w:tabs>
          <w:tab w:leader="none" w:pos="755"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760" w:right="420" w:hanging="246"/>
        <w:spacing w:after="0" w:line="253" w:lineRule="auto"/>
        <w:tabs>
          <w:tab w:leader="none" w:pos="758" w:val="left"/>
        </w:tabs>
        <w:numPr>
          <w:ilvl w:val="1"/>
          <w:numId w:val="2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60" w:right="80" w:hanging="246"/>
        <w:spacing w:after="0" w:line="305" w:lineRule="auto"/>
        <w:tabs>
          <w:tab w:leader="none" w:pos="755" w:val="left"/>
        </w:tabs>
        <w:numPr>
          <w:ilvl w:val="1"/>
          <w:numId w:val="2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3"/>
          <w:szCs w:val="13"/>
          <w:color w:val="auto"/>
        </w:rPr>
      </w:pPr>
    </w:p>
    <w:p>
      <w:pPr>
        <w:ind w:left="260" w:right="40" w:hanging="255"/>
        <w:spacing w:after="0" w:line="281" w:lineRule="auto"/>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760" w:right="120" w:hanging="246"/>
        <w:spacing w:after="0" w:line="260" w:lineRule="auto"/>
        <w:tabs>
          <w:tab w:leader="none" w:pos="758" w:val="left"/>
        </w:tabs>
        <w:numPr>
          <w:ilvl w:val="1"/>
          <w:numId w:val="2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246"/>
        <w:spacing w:after="0"/>
        <w:tabs>
          <w:tab w:leader="none" w:pos="760" w:val="left"/>
        </w:tabs>
        <w:numPr>
          <w:ilvl w:val="1"/>
          <w:numId w:val="2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980"/>
        <w:spacing w:after="0"/>
        <w:tabs>
          <w:tab w:leader="none" w:pos="6660" w:val="left"/>
        </w:tabs>
        <w:rPr>
          <w:sz w:val="20"/>
          <w:szCs w:val="20"/>
          <w:color w:val="auto"/>
        </w:rPr>
      </w:pPr>
      <w:r>
        <w:rPr>
          <w:rFonts w:ascii="Arial" w:cs="Arial" w:eastAsia="Arial" w:hAnsi="Arial"/>
          <w:sz w:val="14"/>
          <w:szCs w:val="14"/>
          <w:color w:val="auto"/>
        </w:rPr>
        <w:t>November 9, 2023</w:t>
      </w:r>
      <w:r>
        <w:rPr>
          <w:sz w:val="20"/>
          <w:szCs w:val="20"/>
          <w:color w:val="auto"/>
        </w:rPr>
        <w:tab/>
      </w:r>
      <w:r>
        <w:rPr>
          <w:rFonts w:ascii="Arial" w:cs="Arial" w:eastAsia="Arial" w:hAnsi="Arial"/>
          <w:sz w:val="13"/>
          <w:szCs w:val="13"/>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12065</wp:posOffset>
            </wp:positionV>
            <wp:extent cx="3732530"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3732530" cy="13335"/>
                    </a:xfrm>
                    <a:prstGeom prst="rect">
                      <a:avLst/>
                    </a:prstGeom>
                    <a:noFill/>
                  </pic:spPr>
                </pic:pic>
              </a:graphicData>
            </a:graphic>
          </wp:anchor>
        </w:drawing>
      </w:r>
    </w:p>
    <w:p>
      <w:pPr>
        <w:spacing w:after="0" w:line="21" w:lineRule="exact"/>
        <w:rPr>
          <w:sz w:val="20"/>
          <w:szCs w:val="20"/>
          <w:color w:val="auto"/>
        </w:rPr>
      </w:pPr>
    </w:p>
    <w:p>
      <w:pPr>
        <w:jc w:val="center"/>
        <w:ind w:left="3520"/>
        <w:spacing w:after="0"/>
        <w:rPr>
          <w:sz w:val="20"/>
          <w:szCs w:val="20"/>
          <w:color w:val="auto"/>
        </w:rPr>
      </w:pPr>
      <w:r>
        <w:rPr>
          <w:rFonts w:ascii="Arial" w:cs="Arial" w:eastAsia="Arial" w:hAnsi="Arial"/>
          <w:sz w:val="14"/>
          <w:szCs w:val="14"/>
          <w:color w:val="auto"/>
        </w:rPr>
        <w:t>Thomas C. Priore</w:t>
      </w:r>
    </w:p>
    <w:p>
      <w:pPr>
        <w:spacing w:after="0" w:line="19" w:lineRule="exact"/>
        <w:rPr>
          <w:sz w:val="20"/>
          <w:szCs w:val="20"/>
          <w:color w:val="auto"/>
        </w:rPr>
      </w:pPr>
    </w:p>
    <w:p>
      <w:pPr>
        <w:jc w:val="center"/>
        <w:ind w:left="3520"/>
        <w:spacing w:after="0"/>
        <w:rPr>
          <w:sz w:val="20"/>
          <w:szCs w:val="20"/>
          <w:color w:val="auto"/>
        </w:rPr>
      </w:pPr>
      <w:r>
        <w:rPr>
          <w:rFonts w:ascii="Arial" w:cs="Arial" w:eastAsia="Arial" w:hAnsi="Arial"/>
          <w:sz w:val="14"/>
          <w:szCs w:val="14"/>
          <w:i w:val="1"/>
          <w:iCs w:val="1"/>
          <w:color w:val="auto"/>
        </w:rPr>
        <w:t>Chief Executive Officer and Chairman</w:t>
      </w:r>
    </w:p>
    <w:p>
      <w:pPr>
        <w:spacing w:after="0" w:line="19" w:lineRule="exact"/>
        <w:rPr>
          <w:sz w:val="20"/>
          <w:szCs w:val="20"/>
          <w:color w:val="auto"/>
        </w:rPr>
      </w:pPr>
    </w:p>
    <w:p>
      <w:pPr>
        <w:jc w:val="center"/>
        <w:ind w:left="352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129" w:right="31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EXCHANGE ACT RULE 13a-14(a)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303 OF THE SARBANES-OXLEY ACT OF 2002</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I, Timothy M. O’Leary, certify that:</w:t>
      </w:r>
    </w:p>
    <w:p>
      <w:pPr>
        <w:spacing w:after="0" w:line="200" w:lineRule="exact"/>
        <w:rPr>
          <w:sz w:val="20"/>
          <w:szCs w:val="20"/>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Priority Technology Holdings, Inc.;</w:t>
      </w:r>
    </w:p>
    <w:p>
      <w:pPr>
        <w:spacing w:after="0" w:line="199"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260" w:right="160" w:hanging="255"/>
        <w:spacing w:after="0" w:line="281"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760" w:right="20" w:hanging="246"/>
        <w:spacing w:after="0" w:line="304" w:lineRule="auto"/>
        <w:tabs>
          <w:tab w:leader="none" w:pos="758"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right="240" w:hanging="246"/>
        <w:spacing w:after="0" w:line="295" w:lineRule="auto"/>
        <w:tabs>
          <w:tab w:leader="none" w:pos="755"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760" w:right="420" w:hanging="246"/>
        <w:spacing w:after="0" w:line="253" w:lineRule="auto"/>
        <w:tabs>
          <w:tab w:leader="none" w:pos="758" w:val="left"/>
        </w:tabs>
        <w:numPr>
          <w:ilvl w:val="1"/>
          <w:numId w:val="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60" w:right="80" w:hanging="246"/>
        <w:spacing w:after="0" w:line="305" w:lineRule="auto"/>
        <w:tabs>
          <w:tab w:leader="none" w:pos="755" w:val="left"/>
        </w:tabs>
        <w:numPr>
          <w:ilvl w:val="1"/>
          <w:numId w:val="2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3"/>
          <w:szCs w:val="13"/>
          <w:color w:val="auto"/>
        </w:rPr>
      </w:pPr>
    </w:p>
    <w:p>
      <w:pPr>
        <w:ind w:left="260" w:right="40" w:hanging="255"/>
        <w:spacing w:after="0" w:line="281"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760" w:right="120" w:hanging="246"/>
        <w:spacing w:after="0" w:line="260" w:lineRule="auto"/>
        <w:tabs>
          <w:tab w:leader="none" w:pos="758" w:val="left"/>
        </w:tabs>
        <w:numPr>
          <w:ilvl w:val="1"/>
          <w:numId w:val="2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246"/>
        <w:spacing w:after="0"/>
        <w:tabs>
          <w:tab w:leader="none" w:pos="7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100"/>
        <w:spacing w:after="0"/>
        <w:tabs>
          <w:tab w:leader="none" w:pos="7920" w:val="left"/>
        </w:tabs>
        <w:rPr>
          <w:sz w:val="20"/>
          <w:szCs w:val="20"/>
          <w:color w:val="auto"/>
        </w:rPr>
      </w:pPr>
      <w:r>
        <w:rPr>
          <w:rFonts w:ascii="Arial" w:cs="Arial" w:eastAsia="Arial" w:hAnsi="Arial"/>
          <w:sz w:val="14"/>
          <w:szCs w:val="14"/>
          <w:color w:val="auto"/>
        </w:rPr>
        <w:t>November 9, 2023</w:t>
      </w:r>
      <w:r>
        <w:rPr>
          <w:sz w:val="20"/>
          <w:szCs w:val="20"/>
          <w:color w:val="auto"/>
        </w:rPr>
        <w:tab/>
      </w:r>
      <w:r>
        <w:rPr>
          <w:rFonts w:ascii="Arial" w:cs="Arial" w:eastAsia="Arial" w:hAnsi="Arial"/>
          <w:sz w:val="14"/>
          <w:szCs w:val="14"/>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12065</wp:posOffset>
            </wp:positionV>
            <wp:extent cx="307213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3072130" cy="13335"/>
                    </a:xfrm>
                    <a:prstGeom prst="rect">
                      <a:avLst/>
                    </a:prstGeom>
                    <a:noFill/>
                  </pic:spPr>
                </pic:pic>
              </a:graphicData>
            </a:graphic>
          </wp:anchor>
        </w:drawing>
      </w:r>
    </w:p>
    <w:p>
      <w:pPr>
        <w:spacing w:after="0" w:line="21" w:lineRule="exact"/>
        <w:rPr>
          <w:sz w:val="20"/>
          <w:szCs w:val="20"/>
          <w:color w:val="auto"/>
        </w:rPr>
      </w:pPr>
    </w:p>
    <w:p>
      <w:pPr>
        <w:jc w:val="center"/>
        <w:ind w:left="6260"/>
        <w:spacing w:after="0"/>
        <w:rPr>
          <w:sz w:val="20"/>
          <w:szCs w:val="20"/>
          <w:color w:val="auto"/>
        </w:rPr>
      </w:pPr>
      <w:r>
        <w:rPr>
          <w:rFonts w:ascii="Arial" w:cs="Arial" w:eastAsia="Arial" w:hAnsi="Arial"/>
          <w:sz w:val="14"/>
          <w:szCs w:val="14"/>
          <w:color w:val="auto"/>
        </w:rPr>
        <w:t>Timothy M. O’Leary</w:t>
      </w:r>
    </w:p>
    <w:p>
      <w:pPr>
        <w:spacing w:after="0" w:line="19" w:lineRule="exact"/>
        <w:rPr>
          <w:sz w:val="20"/>
          <w:szCs w:val="20"/>
          <w:color w:val="auto"/>
        </w:rPr>
      </w:pPr>
    </w:p>
    <w:p>
      <w:pPr>
        <w:jc w:val="center"/>
        <w:ind w:left="626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jc w:val="center"/>
        <w:ind w:left="626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11280"/>
          </w:cols>
          <w:pgMar w:left="300" w:top="129" w:right="319" w:bottom="1440" w:gutter="0" w:footer="0" w:header="0"/>
        </w:sectPr>
      </w:pPr>
    </w:p>
    <w:bookmarkStart w:id="62" w:name="page63"/>
    <w:bookmarkEnd w:id="62"/>
    <w:p>
      <w:pPr>
        <w:jc w:val="right"/>
        <w:spacing w:after="0"/>
        <w:rPr>
          <w:sz w:val="20"/>
          <w:szCs w:val="20"/>
          <w:color w:val="auto"/>
        </w:rPr>
      </w:pPr>
      <w:r>
        <w:rPr>
          <w:rFonts w:ascii="Arial" w:cs="Arial" w:eastAsia="Arial" w:hAnsi="Arial"/>
          <w:sz w:val="14"/>
          <w:szCs w:val="14"/>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line="270" w:lineRule="auto"/>
        <w:rPr>
          <w:sz w:val="20"/>
          <w:szCs w:val="20"/>
          <w:color w:val="auto"/>
        </w:rPr>
      </w:pPr>
      <w:r>
        <w:rPr>
          <w:rFonts w:ascii="Arial" w:cs="Arial" w:eastAsia="Arial" w:hAnsi="Arial"/>
          <w:sz w:val="14"/>
          <w:szCs w:val="14"/>
          <w:b w:val="1"/>
          <w:bCs w:val="1"/>
          <w:color w:val="auto"/>
        </w:rPr>
        <w:t>CERTIFICATION OF PRINCIPAL EXECUTIVE OFFICER AND PRINCIPAL FINANCIAL OFFICER PURSUANT TO 18 U.S.C. SECTION 1350, AS ADOPTED PURSUANT TO SECTION 906 OF THE SARBANES-OXLEY ACT OF 2002</w:t>
      </w:r>
    </w:p>
    <w:p>
      <w:pPr>
        <w:spacing w:after="0" w:line="3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the Quarterly Report on Form 10-Q of Priority Technology Holdings, Inc. (the "Company") for the quarter ended September 30, 2023 as filed with the Securities and Exchange Commission (the "Report"), each of the undersigned, on the dates indicated below, hereby certifies pursuant to 18 U.S.C. Section 1350, as adopted pursuant to Section 906 of the Sarbanes-Oxley Act of 2002, that:</w:t>
      </w:r>
    </w:p>
    <w:p>
      <w:pPr>
        <w:spacing w:after="0" w:line="163" w:lineRule="exact"/>
        <w:rPr>
          <w:sz w:val="20"/>
          <w:szCs w:val="20"/>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Act of 1934; and</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4680" w:val="left"/>
        </w:tabs>
        <w:rPr>
          <w:sz w:val="20"/>
          <w:szCs w:val="20"/>
          <w:color w:val="auto"/>
        </w:rPr>
      </w:pPr>
      <w:r>
        <w:rPr>
          <w:rFonts w:ascii="Arial" w:cs="Arial" w:eastAsia="Arial" w:hAnsi="Arial"/>
          <w:sz w:val="14"/>
          <w:szCs w:val="14"/>
          <w:color w:val="auto"/>
        </w:rPr>
        <w:t>November 9, 2023</w:t>
      </w:r>
      <w:r>
        <w:rPr>
          <w:sz w:val="20"/>
          <w:szCs w:val="20"/>
          <w:color w:val="auto"/>
        </w:rPr>
        <w:tab/>
      </w:r>
      <w:r>
        <w:rPr>
          <w:rFonts w:ascii="Arial" w:cs="Arial" w:eastAsia="Arial" w:hAnsi="Arial"/>
          <w:sz w:val="13"/>
          <w:szCs w:val="13"/>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12065</wp:posOffset>
            </wp:positionV>
            <wp:extent cx="4210685"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4210685" cy="13335"/>
                    </a:xfrm>
                    <a:prstGeom prst="rect">
                      <a:avLst/>
                    </a:prstGeom>
                    <a:noFill/>
                  </pic:spPr>
                </pic:pic>
              </a:graphicData>
            </a:graphic>
          </wp:anchor>
        </w:drawing>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Thomas C. Priore</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4"/>
          <w:szCs w:val="14"/>
          <w:i w:val="1"/>
          <w:iCs w:val="1"/>
          <w:color w:val="auto"/>
        </w:rPr>
        <w:t>Chief Executive Officer and Chairman</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4"/>
          <w:szCs w:val="14"/>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tabs>
          <w:tab w:leader="none" w:pos="4680" w:val="left"/>
        </w:tabs>
        <w:rPr>
          <w:sz w:val="20"/>
          <w:szCs w:val="20"/>
          <w:color w:val="auto"/>
        </w:rPr>
      </w:pPr>
      <w:r>
        <w:rPr>
          <w:rFonts w:ascii="Arial" w:cs="Arial" w:eastAsia="Arial" w:hAnsi="Arial"/>
          <w:sz w:val="14"/>
          <w:szCs w:val="14"/>
          <w:color w:val="auto"/>
        </w:rPr>
        <w:t>November 9, 2023</w:t>
      </w:r>
      <w:r>
        <w:rPr>
          <w:sz w:val="20"/>
          <w:szCs w:val="20"/>
          <w:color w:val="auto"/>
        </w:rPr>
        <w:tab/>
      </w:r>
      <w:r>
        <w:rPr>
          <w:rFonts w:ascii="Arial" w:cs="Arial" w:eastAsia="Arial" w:hAnsi="Arial"/>
          <w:sz w:val="14"/>
          <w:szCs w:val="14"/>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12065</wp:posOffset>
            </wp:positionV>
            <wp:extent cx="4210685"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4210685" cy="13335"/>
                    </a:xfrm>
                    <a:prstGeom prst="rect">
                      <a:avLst/>
                    </a:prstGeom>
                    <a:noFill/>
                  </pic:spPr>
                </pic:pic>
              </a:graphicData>
            </a:graphic>
          </wp:anchor>
        </w:drawing>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Timothy M. O’Leary</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4"/>
          <w:szCs w:val="14"/>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80"/>
      </w:cols>
      <w:pgMar w:left="30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lvl w:ilvl="1">
      <w:lvlJc w:val="left"/>
      <w:lvlText w:val="(%2)"/>
      <w:numFmt w:val="decimal"/>
      <w:start w:val="1"/>
    </w:lvl>
  </w:abstractNum>
  <w:abstractNum w:abstractNumId="10">
    <w:nsid w:val="7C83E458"/>
    <w:multiLevelType w:val="hybridMultilevel"/>
    <w:lvl w:ilvl="0">
      <w:lvlJc w:val="left"/>
      <w:lvlText w:val="%1."/>
      <w:numFmt w:val="decimal"/>
      <w:start w:val="5"/>
    </w:lvl>
    <w:lvl w:ilvl="1">
      <w:lvlJc w:val="left"/>
      <w:lvlText w:val="%2"/>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11"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93" Type="http://schemas.openxmlformats.org/officeDocument/2006/relationships/hyperlink" Target="https://www.sec.gov/Archives/edgar/data/1653558/000161577418006226/s111183_defm14a.htm" TargetMode="External"/><Relationship Id="rId94" Type="http://schemas.openxmlformats.org/officeDocument/2006/relationships/hyperlink" Target="https://www.sec.gov/Archives/edgar/data/1653558/000165355821000031/projectwarriorfinxera-merg.htm" TargetMode="External"/><Relationship Id="rId95" Type="http://schemas.openxmlformats.org/officeDocument/2006/relationships/hyperlink" Target="https://www.sec.gov/Archives/edgar/data/1653558/000165355821000060/annex1certificateofamendme.htm" TargetMode="External"/><Relationship Id="rId96" Type="http://schemas.openxmlformats.org/officeDocument/2006/relationships/hyperlink" Target="https://www.sec.gov/Archives/edgar/data/0001653558/000165355821000031/projectwarriorfinxera-merg.htm" TargetMode="External"/><Relationship Id="rId97" Type="http://schemas.openxmlformats.org/officeDocument/2006/relationships/hyperlink" Target="http://www.sec.gov/Archives/edgar/data/1653558/000161577418007231/s111606_ex3-1.htm" TargetMode="External"/><Relationship Id="rId98" Type="http://schemas.openxmlformats.org/officeDocument/2006/relationships/hyperlink" Target="http://www.sec.gov/Archives/edgar/data/1653558/000161577418007231/s111606_ex3-2.htm" TargetMode="External"/><Relationship Id="rId99" Type="http://schemas.openxmlformats.org/officeDocument/2006/relationships/hyperlink" Target="http://www.sec.gov/Archives/edgar/data/1653558/000161577416007233/s104127_ex4-1.htm" TargetMode="External"/><Relationship Id="rId100" Type="http://schemas.openxmlformats.org/officeDocument/2006/relationships/hyperlink" Target="https://www.sec.gov/Archives/edgar/data/1653558/000165355821000065/exhibit31-priorityxcertifi.htm" TargetMode="External"/><Relationship Id="rId101" Type="http://schemas.openxmlformats.org/officeDocument/2006/relationships/hyperlink" Target="http://www.sec.gov/Archives/edgar/data/1653558/000161577418007231/s111606_ex10-1.htm" TargetMode="External"/><Relationship Id="rId102" Type="http://schemas.openxmlformats.org/officeDocument/2006/relationships/hyperlink" Target="http://www.sec.gov/Archives/edgar/data/1653558/000161577418007231/s111606_ex10-2.htm" TargetMode="External"/><Relationship Id="rId103" Type="http://schemas.openxmlformats.org/officeDocument/2006/relationships/hyperlink" Target="https://www.sec.gov/Archives/edgar/data/0001653558/000165355821000101/ex1021prioritytechnologyq2.htm" TargetMode="External"/><Relationship Id="rId104" Type="http://schemas.openxmlformats.org/officeDocument/2006/relationships/hyperlink" Target="https://www.sec.gov/Archives/edgar/data/1653558/000165355822000028/prioritytechnology-ex1031x.htm" TargetMode="External"/><Relationship Id="rId105" Type="http://schemas.openxmlformats.org/officeDocument/2006/relationships/hyperlink" Target="http://www.sec.gov/Archives/edgar/data/1653558/000161577418014981/s114881_ex10-6.htm" TargetMode="External"/><Relationship Id="rId106" Type="http://schemas.openxmlformats.org/officeDocument/2006/relationships/hyperlink" Target="http://www.sec.gov/Archives/edgar/data/1653558/000161577418014981/s114881_ex10-7.htm" TargetMode="External"/><Relationship Id="rId107" Type="http://schemas.openxmlformats.org/officeDocument/2006/relationships/hyperlink" Target="http://www.sec.gov/Archives/edgar/data/1653558/000162828019003666/prioritytechnology-ex1019.htm" TargetMode="External"/><Relationship Id="rId108" Type="http://schemas.openxmlformats.org/officeDocument/2006/relationships/hyperlink" Target="https://www.sec.gov/Archives/edgar/data/1653558/000165355820000148/assetpurchaseagreement.htm" TargetMode="External"/><Relationship Id="rId109" Type="http://schemas.openxmlformats.org/officeDocument/2006/relationships/hyperlink" Target="https://www.sec.gov/Archives/edgar/data/0001653558/000165355821000031/exhibith-supportagreemente.htm" TargetMode="External"/><Relationship Id="rId110" Type="http://schemas.openxmlformats.org/officeDocument/2006/relationships/hyperlink" Target="https://www.sec.gov/Archives/edgar/data/0001653558/000165355821000031/priorityprojectwarrior-tru.htm" TargetMode="External"/><Relationship Id="rId112" Type="http://schemas.openxmlformats.org/officeDocument/2006/relationships/hyperlink" Target="https://www.sec.gov/Archives/edgar/data/0001653558/000165355821000031/priority-arespreferredcomm.htm" TargetMode="External"/><Relationship Id="rId113" Type="http://schemas.openxmlformats.org/officeDocument/2006/relationships/hyperlink" Target="https://www.sec.gov/Archives/edgar/data/0001653558/000165355821000065/exhibit101-priorityxpurcha.htm" TargetMode="External"/><Relationship Id="rId114" Type="http://schemas.openxmlformats.org/officeDocument/2006/relationships/hyperlink" Target="https://www.sec.gov/Archives/edgar/data/0001653558/000165355821000065/exhibit102-priorityxregist.htm" TargetMode="External"/><Relationship Id="rId115" Type="http://schemas.openxmlformats.org/officeDocument/2006/relationships/hyperlink" Target="https://www.sec.gov/Archives/edgar/data/0001653558/000165355821000065/exhibit103-prioritypayment.htm" TargetMode="External"/><Relationship Id="rId116" Type="http://schemas.openxmlformats.org/officeDocument/2006/relationships/hyperlink" Target="https://www.sec.gov/Archives/edgar/data/0001653558/000165355821000114/prioritypayments-secondame.htm" TargetMode="External"/><Relationship Id="rId117" Type="http://schemas.openxmlformats.org/officeDocument/2006/relationships/hyperlink" Target="https://www.sec.gov/Archives/edgar/data/1653558/000165355823000078/a063023exhibit101vf.htm" TargetMode="External"/><Relationship Id="rId118" Type="http://schemas.openxmlformats.org/officeDocument/2006/relationships/hyperlink" Target="https://www.sec.gov/Archives/edgar/data/1653558/000165355823000123/exhibit1011.htm" TargetMode="External"/><Relationship Id="rId119" Type="http://schemas.openxmlformats.org/officeDocument/2006/relationships/hyperlink" Target="https://www.sec.gov/Archives/edgar/data/1653558/000165355822000094/ex1023formrestrictedstocku.htm" TargetMode="External"/><Relationship Id="rId120" Type="http://schemas.openxmlformats.org/officeDocument/2006/relationships/hyperlink" Target="https://www.sec.gov/Archives/edgar/data/1653558/000165355823000030/prioritytechnology-ex108.htm" TargetMode="External"/><Relationship Id="rId121" Type="http://schemas.openxmlformats.org/officeDocument/2006/relationships/hyperlink" Target="https://www.sec.gov/Archives/edgar/data/1653558/000165355823000056/ex1025priorityrecoupmentcl.htm" TargetMode="External"/><Relationship Id="rId122" Type="http://schemas.openxmlformats.org/officeDocument/2006/relationships/hyperlink" Target="https://www.sec.gov/Archives/edgar/data/1653558/000165355823000087/ex101projectbellamy-amen.htm" TargetMode="External"/><Relationship Id="rId123" Type="http://schemas.openxmlformats.org/officeDocument/2006/relationships/hyperlink" Target="https://www.sec.gov/Archives/edgar/data/1653558/000165355823000087/ex102priority-sideletter.htm" TargetMode="External"/><Relationship Id="rId124" Type="http://schemas.openxmlformats.org/officeDocument/2006/relationships/hyperlink" Target="https://www.sec.gov/Archives/edgar/data/1653558/000165355823000087/ex103projectbellamy-earnou.htm" TargetMode="External"/><Relationship Id="rId125" Type="http://schemas.openxmlformats.org/officeDocument/2006/relationships/hyperlink" Target="https://www.sec.gov/Archives/edgar/data/1653558/000165355823000100/ex1023priority-amendedandr.htm" TargetMode="External"/><Relationship Id="rId126" Type="http://schemas.openxmlformats.org/officeDocument/2006/relationships/hyperlink" Target="https://www.sec.gov/Archives/edgar/data/1653558/000165355823000100/ex211subsidiariesofprior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2023-11-09T07:40:19Z</dcterms:created>
  <dcterms:modified xsi:type="dcterms:W3CDTF">2023-11-09T07:40:19Z</dcterms:modified>
</cp:coreProperties>
</file>