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52" w:lineRule="exact"/>
        <w:rPr>
          <w:sz w:val="24"/>
          <w:szCs w:val="24"/>
          <w:color w:val="auto"/>
        </w:rPr>
      </w:pPr>
    </w:p>
    <w:p>
      <w:pPr>
        <w:jc w:val="center"/>
        <w:ind w:left="4020" w:right="1420" w:hanging="2596"/>
        <w:spacing w:after="0" w:line="292" w:lineRule="auto"/>
        <w:tabs>
          <w:tab w:leader="none" w:pos="163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2023</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6" w:lineRule="exact"/>
        <w:rPr>
          <w:sz w:val="24"/>
          <w:szCs w:val="24"/>
          <w:color w:val="auto"/>
        </w:rPr>
      </w:pPr>
    </w:p>
    <w:p>
      <w:pPr>
        <w:ind w:left="1620" w:hanging="196"/>
        <w:spacing w:after="0"/>
        <w:tabs>
          <w:tab w:leader="none" w:pos="16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 w:lineRule="exact"/>
        <w:rPr>
          <w:sz w:val="24"/>
          <w:szCs w:val="24"/>
          <w:color w:val="auto"/>
        </w:rPr>
      </w:pPr>
    </w:p>
    <w:p>
      <w:pPr>
        <w:ind w:left="408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FFFFFF"/>
        </w:rPr>
        <w:t>Priority Technology Holdings,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51435</wp:posOffset>
            </wp:positionV>
            <wp:extent cx="2537460" cy="1174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620" w:type="dxa"/>
            <w:vAlign w:val="bottom"/>
          </w:tcPr>
          <w:p>
            <w:pPr>
              <w:jc w:val="center"/>
              <w:ind w:right="850"/>
              <w:spacing w:after="0"/>
              <w:rPr>
                <w:sz w:val="20"/>
                <w:szCs w:val="20"/>
                <w:color w:val="auto"/>
              </w:rPr>
            </w:pPr>
            <w:r>
              <w:rPr>
                <w:rFonts w:ascii="Arial" w:cs="Arial" w:eastAsia="Arial" w:hAnsi="Arial"/>
                <w:sz w:val="18"/>
                <w:szCs w:val="18"/>
                <w:b w:val="1"/>
                <w:bCs w:val="1"/>
                <w:color w:val="auto"/>
                <w:w w:val="90"/>
              </w:rPr>
              <w:t>Priority Technology Holdings, Inc.</w:t>
            </w:r>
          </w:p>
        </w:tc>
        <w:tc>
          <w:tcPr>
            <w:tcW w:w="3340" w:type="dxa"/>
            <w:vAlign w:val="bottom"/>
          </w:tcPr>
          <w:p>
            <w:pPr>
              <w:spacing w:after="0"/>
              <w:rPr>
                <w:sz w:val="20"/>
                <w:szCs w:val="20"/>
                <w:color w:val="auto"/>
              </w:rPr>
            </w:pPr>
          </w:p>
        </w:tc>
      </w:tr>
      <w:tr>
        <w:trPr>
          <w:trHeight w:val="432"/>
        </w:trPr>
        <w:tc>
          <w:tcPr>
            <w:tcW w:w="7900" w:type="dxa"/>
            <w:vAlign w:val="bottom"/>
            <w:gridSpan w:val="2"/>
          </w:tcPr>
          <w:p>
            <w:pPr>
              <w:jc w:val="center"/>
              <w:ind w:left="3253"/>
              <w:spacing w:after="0"/>
              <w:rPr>
                <w:sz w:val="20"/>
                <w:szCs w:val="20"/>
                <w:color w:val="auto"/>
              </w:rPr>
            </w:pPr>
            <w:r>
              <w:rPr>
                <w:rFonts w:ascii="Arial" w:cs="Arial" w:eastAsia="Arial" w:hAnsi="Arial"/>
                <w:sz w:val="18"/>
                <w:szCs w:val="18"/>
                <w:color w:val="auto"/>
                <w:w w:val="90"/>
              </w:rPr>
              <w:t>(Exact name of registrant as specified in its charter)</w:t>
            </w:r>
          </w:p>
        </w:tc>
        <w:tc>
          <w:tcPr>
            <w:tcW w:w="3340" w:type="dxa"/>
            <w:vAlign w:val="bottom"/>
          </w:tcPr>
          <w:p>
            <w:pPr>
              <w:spacing w:after="0"/>
              <w:rPr>
                <w:sz w:val="24"/>
                <w:szCs w:val="24"/>
                <w:color w:val="auto"/>
              </w:rPr>
            </w:pPr>
          </w:p>
        </w:tc>
      </w:tr>
      <w:tr>
        <w:trPr>
          <w:trHeight w:val="500"/>
        </w:trPr>
        <w:tc>
          <w:tcPr>
            <w:tcW w:w="4280" w:type="dxa"/>
            <w:vAlign w:val="bottom"/>
            <w:tcBorders>
              <w:bottom w:val="single" w:sz="8" w:color="auto"/>
            </w:tcBorders>
          </w:tcPr>
          <w:p>
            <w:pPr>
              <w:jc w:val="center"/>
              <w:ind w:left="2233"/>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1795"/>
              <w:spacing w:after="0"/>
              <w:rPr>
                <w:sz w:val="20"/>
                <w:szCs w:val="20"/>
                <w:color w:val="auto"/>
              </w:rPr>
            </w:pPr>
            <w:r>
              <w:rPr>
                <w:rFonts w:ascii="Arial" w:cs="Arial" w:eastAsia="Arial" w:hAnsi="Arial"/>
                <w:sz w:val="18"/>
                <w:szCs w:val="18"/>
                <w:b w:val="1"/>
                <w:bCs w:val="1"/>
                <w:color w:val="auto"/>
              </w:rPr>
              <w:t>47-4257046</w:t>
            </w:r>
          </w:p>
        </w:tc>
      </w:tr>
      <w:tr>
        <w:trPr>
          <w:trHeight w:val="159"/>
        </w:trPr>
        <w:tc>
          <w:tcPr>
            <w:tcW w:w="4280" w:type="dxa"/>
            <w:vAlign w:val="bottom"/>
          </w:tcPr>
          <w:p>
            <w:pPr>
              <w:jc w:val="center"/>
              <w:ind w:left="2233"/>
              <w:spacing w:after="0" w:line="159" w:lineRule="exact"/>
              <w:rPr>
                <w:sz w:val="20"/>
                <w:szCs w:val="20"/>
                <w:color w:val="auto"/>
              </w:rPr>
            </w:pPr>
            <w:r>
              <w:rPr>
                <w:rFonts w:ascii="Arial" w:cs="Arial" w:eastAsia="Arial" w:hAnsi="Arial"/>
                <w:sz w:val="16"/>
                <w:szCs w:val="16"/>
                <w:color w:val="auto"/>
                <w:w w:val="93"/>
              </w:rPr>
              <w:t>(State or other jurisdiction of</w:t>
            </w:r>
          </w:p>
        </w:tc>
        <w:tc>
          <w:tcPr>
            <w:tcW w:w="3620" w:type="dxa"/>
            <w:vAlign w:val="bottom"/>
          </w:tcPr>
          <w:p>
            <w:pPr>
              <w:spacing w:after="0"/>
              <w:rPr>
                <w:sz w:val="13"/>
                <w:szCs w:val="13"/>
                <w:color w:val="auto"/>
              </w:rPr>
            </w:pPr>
          </w:p>
        </w:tc>
        <w:tc>
          <w:tcPr>
            <w:tcW w:w="3340" w:type="dxa"/>
            <w:vAlign w:val="bottom"/>
          </w:tcPr>
          <w:p>
            <w:pPr>
              <w:jc w:val="center"/>
              <w:ind w:right="1215"/>
              <w:spacing w:after="0" w:line="159" w:lineRule="exact"/>
              <w:rPr>
                <w:sz w:val="20"/>
                <w:szCs w:val="20"/>
                <w:color w:val="auto"/>
              </w:rPr>
            </w:pPr>
            <w:r>
              <w:rPr>
                <w:rFonts w:ascii="Arial" w:cs="Arial" w:eastAsia="Arial" w:hAnsi="Arial"/>
                <w:sz w:val="16"/>
                <w:szCs w:val="16"/>
                <w:color w:val="auto"/>
                <w:w w:val="95"/>
              </w:rPr>
              <w:t>(I.R.S. Employer</w:t>
            </w:r>
          </w:p>
        </w:tc>
      </w:tr>
      <w:tr>
        <w:trPr>
          <w:trHeight w:val="206"/>
        </w:trPr>
        <w:tc>
          <w:tcPr>
            <w:tcW w:w="4280" w:type="dxa"/>
            <w:vAlign w:val="bottom"/>
          </w:tcPr>
          <w:p>
            <w:pPr>
              <w:jc w:val="center"/>
              <w:ind w:left="2233"/>
              <w:spacing w:after="0"/>
              <w:rPr>
                <w:sz w:val="20"/>
                <w:szCs w:val="20"/>
                <w:color w:val="auto"/>
              </w:rPr>
            </w:pPr>
            <w:r>
              <w:rPr>
                <w:rFonts w:ascii="Arial" w:cs="Arial" w:eastAsia="Arial" w:hAnsi="Arial"/>
                <w:sz w:val="16"/>
                <w:szCs w:val="16"/>
                <w:color w:val="auto"/>
                <w:w w:val="94"/>
              </w:rPr>
              <w:t>incorporation or organization)</w:t>
            </w:r>
          </w:p>
        </w:tc>
        <w:tc>
          <w:tcPr>
            <w:tcW w:w="3620" w:type="dxa"/>
            <w:vAlign w:val="bottom"/>
          </w:tcPr>
          <w:p>
            <w:pPr>
              <w:spacing w:after="0"/>
              <w:rPr>
                <w:sz w:val="17"/>
                <w:szCs w:val="17"/>
                <w:color w:val="auto"/>
              </w:rPr>
            </w:pPr>
          </w:p>
        </w:tc>
        <w:tc>
          <w:tcPr>
            <w:tcW w:w="3340" w:type="dxa"/>
            <w:vAlign w:val="bottom"/>
          </w:tcPr>
          <w:p>
            <w:pPr>
              <w:jc w:val="center"/>
              <w:ind w:right="1215"/>
              <w:spacing w:after="0"/>
              <w:rPr>
                <w:sz w:val="20"/>
                <w:szCs w:val="20"/>
                <w:color w:val="auto"/>
              </w:rPr>
            </w:pPr>
            <w:r>
              <w:rPr>
                <w:rFonts w:ascii="Arial" w:cs="Arial" w:eastAsia="Arial" w:hAnsi="Arial"/>
                <w:sz w:val="16"/>
                <w:szCs w:val="16"/>
                <w:color w:val="auto"/>
                <w:w w:val="96"/>
              </w:rPr>
              <w:t>Identification No.)</w:t>
            </w:r>
          </w:p>
        </w:tc>
      </w:tr>
      <w:tr>
        <w:trPr>
          <w:trHeight w:val="433"/>
        </w:trPr>
        <w:tc>
          <w:tcPr>
            <w:tcW w:w="4280" w:type="dxa"/>
            <w:vAlign w:val="bottom"/>
          </w:tcPr>
          <w:p>
            <w:pPr>
              <w:jc w:val="center"/>
              <w:ind w:left="2253"/>
              <w:spacing w:after="0"/>
              <w:rPr>
                <w:sz w:val="20"/>
                <w:szCs w:val="20"/>
                <w:color w:val="auto"/>
              </w:rPr>
            </w:pPr>
            <w:r>
              <w:rPr>
                <w:rFonts w:ascii="Arial" w:cs="Arial" w:eastAsia="Arial" w:hAnsi="Arial"/>
                <w:sz w:val="18"/>
                <w:szCs w:val="18"/>
                <w:b w:val="1"/>
                <w:bCs w:val="1"/>
                <w:color w:val="auto"/>
                <w:w w:val="90"/>
              </w:rPr>
              <w:t>2001 Westside Parkway</w:t>
            </w:r>
          </w:p>
        </w:tc>
        <w:tc>
          <w:tcPr>
            <w:tcW w:w="36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0"/>
        </w:trPr>
        <w:tc>
          <w:tcPr>
            <w:tcW w:w="4280" w:type="dxa"/>
            <w:vAlign w:val="bottom"/>
          </w:tcPr>
          <w:p>
            <w:pPr>
              <w:jc w:val="center"/>
              <w:ind w:left="2253"/>
              <w:spacing w:after="0"/>
              <w:rPr>
                <w:sz w:val="20"/>
                <w:szCs w:val="20"/>
                <w:color w:val="auto"/>
              </w:rPr>
            </w:pPr>
            <w:r>
              <w:rPr>
                <w:rFonts w:ascii="Arial" w:cs="Arial" w:eastAsia="Arial" w:hAnsi="Arial"/>
                <w:sz w:val="18"/>
                <w:szCs w:val="18"/>
                <w:b w:val="1"/>
                <w:bCs w:val="1"/>
                <w:color w:val="auto"/>
                <w:w w:val="88"/>
              </w:rPr>
              <w:t>Suite 155</w:t>
            </w:r>
          </w:p>
        </w:tc>
        <w:tc>
          <w:tcPr>
            <w:tcW w:w="36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41"/>
        </w:trPr>
        <w:tc>
          <w:tcPr>
            <w:tcW w:w="428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b w:val="1"/>
                <w:bCs w:val="1"/>
                <w:color w:val="auto"/>
                <w:w w:val="93"/>
              </w:rPr>
              <w:t>Alpharetta,</w:t>
            </w:r>
          </w:p>
        </w:tc>
        <w:tc>
          <w:tcPr>
            <w:tcW w:w="362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b w:val="1"/>
                <w:bCs w:val="1"/>
                <w:color w:val="auto"/>
                <w:w w:val="91"/>
              </w:rPr>
              <w:t>Georgia</w:t>
            </w:r>
          </w:p>
        </w:tc>
        <w:tc>
          <w:tcPr>
            <w:tcW w:w="3340" w:type="dxa"/>
            <w:vAlign w:val="bottom"/>
            <w:tcBorders>
              <w:bottom w:val="single" w:sz="8" w:color="auto"/>
            </w:tcBorders>
          </w:tcPr>
          <w:p>
            <w:pPr>
              <w:jc w:val="right"/>
              <w:ind w:right="2015"/>
              <w:spacing w:after="0"/>
              <w:rPr>
                <w:sz w:val="20"/>
                <w:szCs w:val="20"/>
                <w:color w:val="auto"/>
              </w:rPr>
            </w:pPr>
            <w:r>
              <w:rPr>
                <w:rFonts w:ascii="Arial" w:cs="Arial" w:eastAsia="Arial" w:hAnsi="Arial"/>
                <w:sz w:val="18"/>
                <w:szCs w:val="18"/>
                <w:b w:val="1"/>
                <w:bCs w:val="1"/>
                <w:color w:val="auto"/>
              </w:rPr>
              <w:t>30004</w:t>
            </w:r>
          </w:p>
        </w:tc>
      </w:tr>
      <w:tr>
        <w:trPr>
          <w:trHeight w:val="210"/>
        </w:trPr>
        <w:tc>
          <w:tcPr>
            <w:tcW w:w="4280" w:type="dxa"/>
            <w:vAlign w:val="bottom"/>
          </w:tcPr>
          <w:p>
            <w:pPr>
              <w:jc w:val="center"/>
              <w:ind w:left="293"/>
              <w:spacing w:after="0"/>
              <w:rPr>
                <w:sz w:val="20"/>
                <w:szCs w:val="20"/>
                <w:color w:val="auto"/>
              </w:rPr>
            </w:pPr>
            <w:r>
              <w:rPr>
                <w:rFonts w:ascii="Arial" w:cs="Arial" w:eastAsia="Arial" w:hAnsi="Arial"/>
                <w:sz w:val="16"/>
                <w:szCs w:val="16"/>
                <w:color w:val="auto"/>
                <w:w w:val="94"/>
              </w:rPr>
              <w:t>(Address of principal executive offices)</w:t>
            </w:r>
          </w:p>
        </w:tc>
        <w:tc>
          <w:tcPr>
            <w:tcW w:w="3620" w:type="dxa"/>
            <w:vAlign w:val="bottom"/>
          </w:tcPr>
          <w:p>
            <w:pPr>
              <w:spacing w:after="0"/>
              <w:rPr>
                <w:sz w:val="18"/>
                <w:szCs w:val="18"/>
                <w:color w:val="auto"/>
              </w:rPr>
            </w:pPr>
          </w:p>
        </w:tc>
        <w:tc>
          <w:tcPr>
            <w:tcW w:w="3340" w:type="dxa"/>
            <w:vAlign w:val="bottom"/>
          </w:tcPr>
          <w:p>
            <w:pPr>
              <w:jc w:val="center"/>
              <w:ind w:right="1215"/>
              <w:spacing w:after="0"/>
              <w:rPr>
                <w:sz w:val="20"/>
                <w:szCs w:val="20"/>
                <w:color w:val="auto"/>
              </w:rPr>
            </w:pPr>
            <w:r>
              <w:rPr>
                <w:rFonts w:ascii="Arial" w:cs="Arial" w:eastAsia="Arial" w:hAnsi="Arial"/>
                <w:sz w:val="16"/>
                <w:szCs w:val="16"/>
                <w:color w:val="auto"/>
                <w:w w:val="95"/>
              </w:rPr>
              <w:t>(Zip Code)</w:t>
            </w:r>
          </w:p>
        </w:tc>
      </w:tr>
    </w:tbl>
    <w:p>
      <w:pPr>
        <w:spacing w:after="0" w:line="28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(800) 935-5961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7"/>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Market</w:t>
            </w:r>
          </w:p>
        </w:tc>
      </w:tr>
    </w:tbl>
    <w:p>
      <w:pPr>
        <w:spacing w:after="0" w:line="310"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w:t>
      </w:r>
    </w:p>
    <w:p>
      <w:pPr>
        <w:spacing w:after="0" w:line="23" w:lineRule="exact"/>
        <w:rPr>
          <w:sz w:val="24"/>
          <w:szCs w:val="24"/>
          <w:color w:val="auto"/>
        </w:rPr>
      </w:pPr>
    </w:p>
    <w:p>
      <w:pPr>
        <w:ind w:right="580"/>
        <w:spacing w:after="0" w:line="230" w:lineRule="exact"/>
        <w:rPr>
          <w:sz w:val="20"/>
          <w:szCs w:val="20"/>
          <w:color w:val="auto"/>
        </w:rPr>
      </w:pPr>
      <w:r>
        <w:rPr>
          <w:rFonts w:ascii="Arial" w:cs="Arial" w:eastAsia="Arial" w:hAnsi="Arial"/>
          <w:sz w:val="18"/>
          <w:szCs w:val="18"/>
          <w:color w:val="auto"/>
        </w:rPr>
        <w:t xml:space="preserve">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w:t>
      </w:r>
    </w:p>
    <w:p>
      <w:pPr>
        <w:spacing w:after="0" w:line="23" w:lineRule="exact"/>
        <w:rPr>
          <w:sz w:val="24"/>
          <w:szCs w:val="24"/>
          <w:color w:val="auto"/>
        </w:rPr>
      </w:pPr>
    </w:p>
    <w:p>
      <w:pPr>
        <w:ind w:right="200"/>
        <w:spacing w:after="0" w:line="260" w:lineRule="auto"/>
        <w:rPr>
          <w:sz w:val="20"/>
          <w:szCs w:val="20"/>
          <w:color w:val="auto"/>
        </w:rPr>
      </w:pPr>
      <w:r>
        <w:rPr>
          <w:rFonts w:ascii="Arial" w:cs="Arial" w:eastAsia="Arial" w:hAnsi="Arial"/>
          <w:sz w:val="18"/>
          <w:szCs w:val="18"/>
          <w:color w:val="auto"/>
        </w:rPr>
        <w:t>reporting company, or an emerging growth company. See the definitions of "large accelerated filer," "accelerated filer," "smaller reporting company," and "emerging growth company" in Rule 12b-2 of the Exchange Act.</w:t>
      </w:r>
    </w:p>
    <w:p>
      <w:pPr>
        <w:spacing w:after="0" w:line="31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4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80" w:type="dxa"/>
            <w:vAlign w:val="bottom"/>
          </w:tcPr>
          <w:p>
            <w:pPr>
              <w:ind w:left="104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8"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0"/>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40"/>
          </w:cols>
          <w:pgMar w:left="320" w:top="1093"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May 5, 2023, the number of the registrant's Common Stock outstanding was 76,496,121.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4"/>
          </w:tcPr>
          <w:p>
            <w:pPr>
              <w:jc w:val="center"/>
              <w:ind w:left="179"/>
              <w:spacing w:after="0"/>
              <w:rPr>
                <w:sz w:val="20"/>
                <w:szCs w:val="20"/>
                <w:color w:val="auto"/>
              </w:rPr>
            </w:pPr>
            <w:r>
              <w:rPr>
                <w:rFonts w:ascii="Arial" w:cs="Arial" w:eastAsia="Arial" w:hAnsi="Arial"/>
                <w:sz w:val="16"/>
                <w:szCs w:val="16"/>
                <w:color w:val="auto"/>
                <w:w w:val="85"/>
              </w:rPr>
              <w:t>Page</w:t>
            </w:r>
          </w:p>
        </w:tc>
      </w:tr>
      <w:tr>
        <w:trPr>
          <w:trHeight w:val="196"/>
        </w:trPr>
        <w:tc>
          <w:tcPr>
            <w:tcW w:w="10460" w:type="dxa"/>
            <w:vAlign w:val="bottom"/>
            <w:gridSpan w:val="32"/>
          </w:tcPr>
          <w:p>
            <w:pPr>
              <w:spacing w:after="0"/>
              <w:rPr>
                <w:sz w:val="20"/>
                <w:szCs w:val="20"/>
                <w:color w:val="auto"/>
              </w:rPr>
            </w:pPr>
            <w:r>
              <w:rPr>
                <w:rFonts w:ascii="Arial" w:cs="Arial" w:eastAsia="Arial" w:hAnsi="Arial"/>
                <w:sz w:val="16"/>
                <w:szCs w:val="16"/>
                <w:color w:val="0000FF"/>
              </w:rPr>
              <w:t>Commonly Used or Defined Terms</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color w:val="0000FF"/>
              </w:rPr>
              <w:t>ii</w:t>
            </w: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62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99"/>
              </w:rPr>
              <w:t>PART I. FINANCIAL INFORMATION</w:t>
            </w:r>
          </w:p>
        </w:tc>
        <w:tc>
          <w:tcPr>
            <w:tcW w:w="7840" w:type="dxa"/>
            <w:vAlign w:val="bottom"/>
            <w:gridSpan w:val="13"/>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w w:val="89"/>
              </w:rPr>
              <w:t>1</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340" w:type="dxa"/>
            <w:vAlign w:val="bottom"/>
            <w:gridSpan w:val="31"/>
          </w:tcPr>
          <w:p>
            <w:pPr>
              <w:spacing w:after="0"/>
              <w:rPr>
                <w:sz w:val="20"/>
                <w:szCs w:val="20"/>
                <w:color w:val="auto"/>
              </w:rPr>
            </w:pPr>
            <w:r>
              <w:rPr>
                <w:rFonts w:ascii="Arial" w:cs="Arial" w:eastAsia="Arial" w:hAnsi="Arial"/>
                <w:sz w:val="16"/>
                <w:szCs w:val="16"/>
                <w:color w:val="0000FF"/>
              </w:rPr>
              <w:t>Item 1. Financial Statements</w:t>
            </w:r>
          </w:p>
        </w:tc>
        <w:tc>
          <w:tcPr>
            <w:tcW w:w="460" w:type="dxa"/>
            <w:vAlign w:val="bottom"/>
            <w:gridSpan w:val="3"/>
          </w:tcPr>
          <w:p>
            <w:pPr>
              <w:jc w:val="center"/>
              <w:ind w:left="299"/>
              <w:spacing w:after="0"/>
              <w:rPr>
                <w:sz w:val="20"/>
                <w:szCs w:val="20"/>
                <w:color w:val="auto"/>
              </w:rPr>
            </w:pPr>
            <w:r>
              <w:rPr>
                <w:rFonts w:ascii="Arial" w:cs="Arial" w:eastAsia="Arial" w:hAnsi="Arial"/>
                <w:sz w:val="16"/>
                <w:szCs w:val="16"/>
                <w:color w:val="0000FF"/>
                <w:w w:val="89"/>
              </w:rPr>
              <w:t>1</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600" w:type="dxa"/>
            <w:vAlign w:val="bottom"/>
            <w:tcBorders>
              <w:bottom w:val="single" w:sz="8" w:color="0000FF"/>
            </w:tcBorders>
            <w:gridSpan w:val="26"/>
          </w:tcPr>
          <w:p>
            <w:pPr>
              <w:spacing w:after="0"/>
              <w:rPr>
                <w:sz w:val="20"/>
                <w:szCs w:val="20"/>
                <w:color w:val="auto"/>
              </w:rPr>
            </w:pPr>
            <w:r>
              <w:rPr>
                <w:rFonts w:ascii="Arial" w:cs="Arial" w:eastAsia="Arial" w:hAnsi="Arial"/>
                <w:sz w:val="16"/>
                <w:szCs w:val="16"/>
                <w:color w:val="0000FF"/>
                <w:w w:val="90"/>
              </w:rPr>
              <w:t>Unaudited Consolidated Balance Sheets as of March 31, 2023 and December 31, 2022</w:t>
            </w:r>
          </w:p>
        </w:tc>
        <w:tc>
          <w:tcPr>
            <w:tcW w:w="4740" w:type="dxa"/>
            <w:vAlign w:val="bottom"/>
            <w:gridSpan w:val="5"/>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w w:val="89"/>
              </w:rPr>
              <w:t>1</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340" w:type="dxa"/>
            <w:vAlign w:val="bottom"/>
            <w:gridSpan w:val="31"/>
          </w:tcPr>
          <w:p>
            <w:pPr>
              <w:spacing w:after="0"/>
              <w:rPr>
                <w:sz w:val="20"/>
                <w:szCs w:val="20"/>
                <w:color w:val="auto"/>
              </w:rPr>
            </w:pPr>
            <w:r>
              <w:rPr>
                <w:rFonts w:ascii="Arial" w:cs="Arial" w:eastAsia="Arial" w:hAnsi="Arial"/>
                <w:sz w:val="16"/>
                <w:szCs w:val="16"/>
                <w:color w:val="0000FF"/>
              </w:rPr>
              <w:t>Unaudited Consolidated Statements of Operations and Comprehensive Loss for the three months ended March 31, 2023 and 2022</w:t>
            </w:r>
          </w:p>
        </w:tc>
        <w:tc>
          <w:tcPr>
            <w:tcW w:w="460" w:type="dxa"/>
            <w:vAlign w:val="bottom"/>
            <w:gridSpan w:val="3"/>
          </w:tcPr>
          <w:p>
            <w:pPr>
              <w:jc w:val="center"/>
              <w:ind w:left="299"/>
              <w:spacing w:after="0"/>
              <w:rPr>
                <w:sz w:val="20"/>
                <w:szCs w:val="20"/>
                <w:color w:val="auto"/>
              </w:rPr>
            </w:pPr>
            <w:r>
              <w:rPr>
                <w:rFonts w:ascii="Arial" w:cs="Arial" w:eastAsia="Arial" w:hAnsi="Arial"/>
                <w:sz w:val="16"/>
                <w:szCs w:val="16"/>
                <w:color w:val="0000FF"/>
                <w:w w:val="89"/>
              </w:rPr>
              <w:t>2</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40" w:type="dxa"/>
            <w:vAlign w:val="bottom"/>
            <w:gridSpan w:val="31"/>
          </w:tcPr>
          <w:p>
            <w:pPr>
              <w:spacing w:after="0"/>
              <w:rPr>
                <w:sz w:val="20"/>
                <w:szCs w:val="20"/>
                <w:color w:val="auto"/>
              </w:rPr>
            </w:pPr>
            <w:r>
              <w:rPr>
                <w:rFonts w:ascii="Arial" w:cs="Arial" w:eastAsia="Arial" w:hAnsi="Arial"/>
                <w:sz w:val="16"/>
                <w:szCs w:val="16"/>
                <w:color w:val="0000FF"/>
                <w:w w:val="94"/>
              </w:rPr>
              <w:t>Unaudited Consolidated Statements of Changes in Stockholders' Deficit and Non-Controlling Interest for the three months ended March 31, 2023 and 2022</w:t>
            </w:r>
          </w:p>
        </w:tc>
        <w:tc>
          <w:tcPr>
            <w:tcW w:w="460" w:type="dxa"/>
            <w:vAlign w:val="bottom"/>
            <w:gridSpan w:val="3"/>
          </w:tcPr>
          <w:p>
            <w:pPr>
              <w:jc w:val="center"/>
              <w:ind w:left="299"/>
              <w:spacing w:after="0"/>
              <w:rPr>
                <w:sz w:val="20"/>
                <w:szCs w:val="20"/>
                <w:color w:val="auto"/>
              </w:rPr>
            </w:pPr>
            <w:r>
              <w:rPr>
                <w:rFonts w:ascii="Arial" w:cs="Arial" w:eastAsia="Arial" w:hAnsi="Arial"/>
                <w:sz w:val="16"/>
                <w:szCs w:val="16"/>
                <w:color w:val="0000FF"/>
                <w:w w:val="89"/>
              </w:rPr>
              <w:t>3</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780" w:type="dxa"/>
            <w:vAlign w:val="bottom"/>
            <w:tcBorders>
              <w:top w:val="single" w:sz="8" w:color="0000FF"/>
              <w:bottom w:val="single" w:sz="8" w:color="0000FF"/>
            </w:tcBorders>
            <w:gridSpan w:val="28"/>
          </w:tcPr>
          <w:p>
            <w:pPr>
              <w:spacing w:after="0"/>
              <w:rPr>
                <w:sz w:val="20"/>
                <w:szCs w:val="20"/>
                <w:color w:val="auto"/>
              </w:rPr>
            </w:pPr>
            <w:r>
              <w:rPr>
                <w:rFonts w:ascii="Arial" w:cs="Arial" w:eastAsia="Arial" w:hAnsi="Arial"/>
                <w:sz w:val="16"/>
                <w:szCs w:val="16"/>
                <w:color w:val="0000FF"/>
                <w:w w:val="90"/>
              </w:rPr>
              <w:t>Unaudited Consolidated Statements of Cash Flows for the three months ended March 31, 2023 and 2022</w:t>
            </w:r>
          </w:p>
        </w:tc>
        <w:tc>
          <w:tcPr>
            <w:tcW w:w="3280" w:type="dxa"/>
            <w:vAlign w:val="bottom"/>
            <w:tcBorders>
              <w:top w:val="single" w:sz="8" w:color="0000FF"/>
            </w:tcBorders>
            <w:gridSpan w:val="2"/>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6"/>
                <w:szCs w:val="16"/>
                <w:color w:val="0000FF"/>
                <w:w w:val="89"/>
              </w:rPr>
              <w:t>4</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340" w:type="dxa"/>
            <w:vAlign w:val="bottom"/>
            <w:gridSpan w:val="31"/>
          </w:tcPr>
          <w:p>
            <w:pPr>
              <w:spacing w:after="0"/>
              <w:rPr>
                <w:sz w:val="20"/>
                <w:szCs w:val="20"/>
                <w:color w:val="auto"/>
              </w:rPr>
            </w:pPr>
            <w:r>
              <w:rPr>
                <w:rFonts w:ascii="Arial" w:cs="Arial" w:eastAsia="Arial" w:hAnsi="Arial"/>
                <w:sz w:val="16"/>
                <w:szCs w:val="16"/>
                <w:color w:val="0000FF"/>
              </w:rPr>
              <w:t>Notes to Unaudited Consolidated Financial Statements</w:t>
            </w:r>
            <w:r>
              <w:rPr>
                <w:rFonts w:ascii="Arial" w:cs="Arial" w:eastAsia="Arial" w:hAnsi="Arial"/>
                <w:sz w:val="16"/>
                <w:szCs w:val="16"/>
                <w:color w:val="000000"/>
              </w:rPr>
              <w:t>:</w:t>
            </w:r>
          </w:p>
        </w:tc>
        <w:tc>
          <w:tcPr>
            <w:tcW w:w="460" w:type="dxa"/>
            <w:vAlign w:val="bottom"/>
            <w:gridSpan w:val="3"/>
          </w:tcPr>
          <w:p>
            <w:pPr>
              <w:jc w:val="center"/>
              <w:ind w:left="299"/>
              <w:spacing w:after="0"/>
              <w:rPr>
                <w:sz w:val="20"/>
                <w:szCs w:val="20"/>
                <w:color w:val="auto"/>
              </w:rPr>
            </w:pPr>
            <w:r>
              <w:rPr>
                <w:rFonts w:ascii="Arial" w:cs="Arial" w:eastAsia="Arial" w:hAnsi="Arial"/>
                <w:sz w:val="16"/>
                <w:szCs w:val="16"/>
                <w:color w:val="0000FF"/>
                <w:w w:val="89"/>
              </w:rPr>
              <w:t>6</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1.</w:t>
            </w:r>
          </w:p>
        </w:tc>
        <w:tc>
          <w:tcPr>
            <w:tcW w:w="10100" w:type="dxa"/>
            <w:vAlign w:val="bottom"/>
            <w:gridSpan w:val="29"/>
          </w:tcPr>
          <w:p>
            <w:pPr>
              <w:ind w:left="20"/>
              <w:spacing w:after="0"/>
              <w:rPr>
                <w:sz w:val="20"/>
                <w:szCs w:val="20"/>
                <w:color w:val="auto"/>
              </w:rPr>
            </w:pPr>
            <w:r>
              <w:rPr>
                <w:rFonts w:ascii="Arial" w:cs="Arial" w:eastAsia="Arial" w:hAnsi="Arial"/>
                <w:sz w:val="16"/>
                <w:szCs w:val="16"/>
                <w:color w:val="0000FF"/>
              </w:rPr>
              <w:t>Nature of Business and Significant Accounting Policies</w:t>
            </w:r>
          </w:p>
        </w:tc>
        <w:tc>
          <w:tcPr>
            <w:tcW w:w="460" w:type="dxa"/>
            <w:vAlign w:val="bottom"/>
            <w:gridSpan w:val="3"/>
          </w:tcPr>
          <w:p>
            <w:pPr>
              <w:jc w:val="center"/>
              <w:ind w:left="299"/>
              <w:spacing w:after="0"/>
              <w:rPr>
                <w:sz w:val="20"/>
                <w:szCs w:val="20"/>
                <w:color w:val="auto"/>
              </w:rPr>
            </w:pPr>
            <w:r>
              <w:rPr>
                <w:rFonts w:ascii="Arial" w:cs="Arial" w:eastAsia="Arial" w:hAnsi="Arial"/>
                <w:sz w:val="16"/>
                <w:szCs w:val="16"/>
                <w:color w:val="0000FF"/>
                <w:w w:val="89"/>
              </w:rPr>
              <w:t>6</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w w:val="93"/>
              </w:rPr>
              <w:t>2. Acquisitions</w:t>
            </w:r>
          </w:p>
        </w:tc>
        <w:tc>
          <w:tcPr>
            <w:tcW w:w="2780" w:type="dxa"/>
            <w:vAlign w:val="bottom"/>
            <w:tcBorders>
              <w:top w:val="single" w:sz="8" w:color="0000FF"/>
            </w:tcBorders>
            <w:gridSpan w:val="15"/>
          </w:tcPr>
          <w:p>
            <w:pPr>
              <w:spacing w:after="0"/>
              <w:rPr>
                <w:sz w:val="17"/>
                <w:szCs w:val="17"/>
                <w:color w:val="auto"/>
              </w:rPr>
            </w:pPr>
          </w:p>
        </w:tc>
        <w:tc>
          <w:tcPr>
            <w:tcW w:w="6480" w:type="dxa"/>
            <w:vAlign w:val="bottom"/>
            <w:gridSpan w:val="9"/>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6"/>
                <w:szCs w:val="16"/>
                <w:color w:val="0000FF"/>
                <w:w w:val="89"/>
              </w:rPr>
              <w:t>7</w:t>
            </w:r>
          </w:p>
        </w:tc>
        <w:tc>
          <w:tcPr>
            <w:tcW w:w="12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3.</w:t>
            </w:r>
          </w:p>
        </w:tc>
        <w:tc>
          <w:tcPr>
            <w:tcW w:w="660" w:type="dxa"/>
            <w:vAlign w:val="bottom"/>
            <w:tcBorders>
              <w:bottom w:val="single" w:sz="8" w:color="0000FF"/>
            </w:tcBorders>
            <w:gridSpan w:val="2"/>
          </w:tcPr>
          <w:p>
            <w:pPr>
              <w:ind w:left="20"/>
              <w:spacing w:after="0"/>
              <w:rPr>
                <w:sz w:val="20"/>
                <w:szCs w:val="20"/>
                <w:color w:val="auto"/>
              </w:rPr>
            </w:pPr>
            <w:r>
              <w:rPr>
                <w:rFonts w:ascii="Arial" w:cs="Arial" w:eastAsia="Arial" w:hAnsi="Arial"/>
                <w:sz w:val="16"/>
                <w:szCs w:val="16"/>
                <w:color w:val="0000FF"/>
                <w:w w:val="86"/>
              </w:rPr>
              <w:t>Revenues</w:t>
            </w:r>
          </w:p>
        </w:tc>
        <w:tc>
          <w:tcPr>
            <w:tcW w:w="9440" w:type="dxa"/>
            <w:vAlign w:val="bottom"/>
            <w:gridSpan w:val="27"/>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w w:val="89"/>
              </w:rPr>
              <w:t>9</w:t>
            </w:r>
          </w:p>
        </w:tc>
        <w:tc>
          <w:tcPr>
            <w:tcW w:w="12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4.</w:t>
            </w:r>
          </w:p>
        </w:tc>
        <w:tc>
          <w:tcPr>
            <w:tcW w:w="4240" w:type="dxa"/>
            <w:vAlign w:val="bottom"/>
            <w:tcBorders>
              <w:bottom w:val="single" w:sz="8" w:color="0000FF"/>
            </w:tcBorders>
            <w:gridSpan w:val="23"/>
          </w:tcPr>
          <w:p>
            <w:pPr>
              <w:ind w:left="20"/>
              <w:spacing w:after="0"/>
              <w:rPr>
                <w:sz w:val="20"/>
                <w:szCs w:val="20"/>
                <w:color w:val="auto"/>
              </w:rPr>
            </w:pPr>
            <w:r>
              <w:rPr>
                <w:rFonts w:ascii="Arial" w:cs="Arial" w:eastAsia="Arial" w:hAnsi="Arial"/>
                <w:sz w:val="16"/>
                <w:szCs w:val="16"/>
                <w:color w:val="0000FF"/>
                <w:w w:val="90"/>
              </w:rPr>
              <w:t>Settlement Assets and Customer/Subscriber Account Obligations</w:t>
            </w:r>
          </w:p>
        </w:tc>
        <w:tc>
          <w:tcPr>
            <w:tcW w:w="5860" w:type="dxa"/>
            <w:vAlign w:val="bottom"/>
            <w:gridSpan w:val="6"/>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10</w:t>
            </w:r>
          </w:p>
        </w:tc>
        <w:tc>
          <w:tcPr>
            <w:tcW w:w="12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5.</w:t>
            </w:r>
          </w:p>
        </w:tc>
        <w:tc>
          <w:tcPr>
            <w:tcW w:w="10100" w:type="dxa"/>
            <w:vAlign w:val="bottom"/>
            <w:gridSpan w:val="29"/>
          </w:tcPr>
          <w:p>
            <w:pPr>
              <w:ind w:left="20"/>
              <w:spacing w:after="0"/>
              <w:rPr>
                <w:sz w:val="20"/>
                <w:szCs w:val="20"/>
                <w:color w:val="auto"/>
              </w:rPr>
            </w:pPr>
            <w:r>
              <w:rPr>
                <w:rFonts w:ascii="Arial" w:cs="Arial" w:eastAsia="Arial" w:hAnsi="Arial"/>
                <w:sz w:val="16"/>
                <w:szCs w:val="16"/>
                <w:color w:val="0000FF"/>
              </w:rPr>
              <w:t>Notes Receivable</w:t>
            </w:r>
          </w:p>
        </w:tc>
        <w:tc>
          <w:tcPr>
            <w:tcW w:w="460" w:type="dxa"/>
            <w:vAlign w:val="bottom"/>
            <w:gridSpan w:val="3"/>
          </w:tcPr>
          <w:p>
            <w:pPr>
              <w:jc w:val="center"/>
              <w:ind w:left="219"/>
              <w:spacing w:after="0"/>
              <w:rPr>
                <w:sz w:val="20"/>
                <w:szCs w:val="20"/>
                <w:color w:val="auto"/>
              </w:rPr>
            </w:pPr>
            <w:r>
              <w:rPr>
                <w:rFonts w:ascii="Arial" w:cs="Arial" w:eastAsia="Arial" w:hAnsi="Arial"/>
                <w:sz w:val="16"/>
                <w:szCs w:val="16"/>
                <w:color w:val="0000FF"/>
                <w:w w:val="89"/>
              </w:rPr>
              <w:t>11</w:t>
            </w:r>
          </w:p>
        </w:tc>
        <w:tc>
          <w:tcPr>
            <w:tcW w:w="120" w:type="dxa"/>
            <w:vAlign w:val="bottom"/>
          </w:tcPr>
          <w:p>
            <w:pPr>
              <w:spacing w:after="0"/>
              <w:rPr>
                <w:sz w:val="17"/>
                <w:szCs w:val="17"/>
                <w:color w:val="auto"/>
              </w:rPr>
            </w:pPr>
          </w:p>
        </w:tc>
      </w:tr>
      <w:tr>
        <w:trPr>
          <w:trHeight w:val="20"/>
        </w:trPr>
        <w:tc>
          <w:tcPr>
            <w:tcW w:w="2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6.</w:t>
            </w:r>
          </w:p>
        </w:tc>
        <w:tc>
          <w:tcPr>
            <w:tcW w:w="10100" w:type="dxa"/>
            <w:vAlign w:val="bottom"/>
            <w:gridSpan w:val="29"/>
          </w:tcPr>
          <w:p>
            <w:pPr>
              <w:ind w:left="20"/>
              <w:spacing w:after="0"/>
              <w:rPr>
                <w:sz w:val="20"/>
                <w:szCs w:val="20"/>
                <w:color w:val="auto"/>
              </w:rPr>
            </w:pPr>
            <w:r>
              <w:rPr>
                <w:rFonts w:ascii="Arial" w:cs="Arial" w:eastAsia="Arial" w:hAnsi="Arial"/>
                <w:sz w:val="16"/>
                <w:szCs w:val="16"/>
                <w:color w:val="0000FF"/>
              </w:rPr>
              <w:t>Property, Equipment and Software</w:t>
            </w:r>
          </w:p>
        </w:tc>
        <w:tc>
          <w:tcPr>
            <w:tcW w:w="460" w:type="dxa"/>
            <w:vAlign w:val="bottom"/>
            <w:gridSpan w:val="3"/>
          </w:tcPr>
          <w:p>
            <w:pPr>
              <w:jc w:val="center"/>
              <w:ind w:left="219"/>
              <w:spacing w:after="0"/>
              <w:rPr>
                <w:sz w:val="20"/>
                <w:szCs w:val="20"/>
                <w:color w:val="auto"/>
              </w:rPr>
            </w:pPr>
            <w:r>
              <w:rPr>
                <w:rFonts w:ascii="Arial" w:cs="Arial" w:eastAsia="Arial" w:hAnsi="Arial"/>
                <w:sz w:val="16"/>
                <w:szCs w:val="16"/>
                <w:color w:val="0000FF"/>
                <w:w w:val="89"/>
              </w:rPr>
              <w:t>12</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7.</w:t>
            </w:r>
          </w:p>
        </w:tc>
        <w:tc>
          <w:tcPr>
            <w:tcW w:w="2480" w:type="dxa"/>
            <w:vAlign w:val="bottom"/>
            <w:tcBorders>
              <w:bottom w:val="single" w:sz="8" w:color="0000FF"/>
            </w:tcBorders>
            <w:gridSpan w:val="18"/>
          </w:tcPr>
          <w:p>
            <w:pPr>
              <w:ind w:left="20"/>
              <w:spacing w:after="0"/>
              <w:rPr>
                <w:sz w:val="20"/>
                <w:szCs w:val="20"/>
                <w:color w:val="auto"/>
              </w:rPr>
            </w:pPr>
            <w:r>
              <w:rPr>
                <w:rFonts w:ascii="Arial" w:cs="Arial" w:eastAsia="Arial" w:hAnsi="Arial"/>
                <w:sz w:val="16"/>
                <w:szCs w:val="16"/>
                <w:color w:val="0000FF"/>
                <w:w w:val="92"/>
              </w:rPr>
              <w:t>Goodwill and Other Intangible Assets</w:t>
            </w:r>
          </w:p>
        </w:tc>
        <w:tc>
          <w:tcPr>
            <w:tcW w:w="7620" w:type="dxa"/>
            <w:vAlign w:val="bottom"/>
            <w:gridSpan w:val="11"/>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12</w:t>
            </w:r>
          </w:p>
        </w:tc>
        <w:tc>
          <w:tcPr>
            <w:tcW w:w="12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8.</w:t>
            </w:r>
          </w:p>
        </w:tc>
        <w:tc>
          <w:tcPr>
            <w:tcW w:w="1160" w:type="dxa"/>
            <w:vAlign w:val="bottom"/>
            <w:tcBorders>
              <w:bottom w:val="single" w:sz="8" w:color="0000FF"/>
            </w:tcBorders>
            <w:gridSpan w:val="7"/>
          </w:tcPr>
          <w:p>
            <w:pPr>
              <w:ind w:left="20"/>
              <w:spacing w:after="0"/>
              <w:rPr>
                <w:sz w:val="20"/>
                <w:szCs w:val="20"/>
                <w:color w:val="auto"/>
              </w:rPr>
            </w:pPr>
            <w:r>
              <w:rPr>
                <w:rFonts w:ascii="Arial" w:cs="Arial" w:eastAsia="Arial" w:hAnsi="Arial"/>
                <w:sz w:val="16"/>
                <w:szCs w:val="16"/>
                <w:color w:val="0000FF"/>
                <w:w w:val="92"/>
              </w:rPr>
              <w:t>Debt Obligations</w:t>
            </w:r>
          </w:p>
        </w:tc>
        <w:tc>
          <w:tcPr>
            <w:tcW w:w="8940" w:type="dxa"/>
            <w:vAlign w:val="bottom"/>
            <w:gridSpan w:val="22"/>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14</w:t>
            </w:r>
          </w:p>
        </w:tc>
        <w:tc>
          <w:tcPr>
            <w:tcW w:w="12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9.</w:t>
            </w:r>
          </w:p>
        </w:tc>
        <w:tc>
          <w:tcPr>
            <w:tcW w:w="3300" w:type="dxa"/>
            <w:vAlign w:val="bottom"/>
            <w:tcBorders>
              <w:bottom w:val="single" w:sz="8" w:color="0000FF"/>
            </w:tcBorders>
            <w:gridSpan w:val="19"/>
          </w:tcPr>
          <w:p>
            <w:pPr>
              <w:ind w:left="20"/>
              <w:spacing w:after="0"/>
              <w:rPr>
                <w:sz w:val="20"/>
                <w:szCs w:val="20"/>
                <w:color w:val="auto"/>
              </w:rPr>
            </w:pPr>
            <w:r>
              <w:rPr>
                <w:rFonts w:ascii="Arial" w:cs="Arial" w:eastAsia="Arial" w:hAnsi="Arial"/>
                <w:sz w:val="16"/>
                <w:szCs w:val="16"/>
                <w:color w:val="0000FF"/>
                <w:w w:val="90"/>
              </w:rPr>
              <w:t>Redeemable Senior Preferred Stock and Warrants</w:t>
            </w:r>
          </w:p>
        </w:tc>
        <w:tc>
          <w:tcPr>
            <w:tcW w:w="6800" w:type="dxa"/>
            <w:vAlign w:val="bottom"/>
            <w:gridSpan w:val="10"/>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15</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30"/>
          </w:tcPr>
          <w:p>
            <w:pPr>
              <w:spacing w:after="0"/>
              <w:rPr>
                <w:sz w:val="20"/>
                <w:szCs w:val="20"/>
                <w:color w:val="auto"/>
              </w:rPr>
            </w:pPr>
            <w:r>
              <w:rPr>
                <w:rFonts w:ascii="Arial" w:cs="Arial" w:eastAsia="Arial" w:hAnsi="Arial"/>
                <w:sz w:val="16"/>
                <w:szCs w:val="16"/>
                <w:color w:val="0000FF"/>
              </w:rPr>
              <w:t>10. Income Taxes</w:t>
            </w:r>
          </w:p>
        </w:tc>
        <w:tc>
          <w:tcPr>
            <w:tcW w:w="460" w:type="dxa"/>
            <w:vAlign w:val="bottom"/>
            <w:gridSpan w:val="3"/>
          </w:tcPr>
          <w:p>
            <w:pPr>
              <w:jc w:val="center"/>
              <w:ind w:left="219"/>
              <w:spacing w:after="0"/>
              <w:rPr>
                <w:sz w:val="20"/>
                <w:szCs w:val="20"/>
                <w:color w:val="auto"/>
              </w:rPr>
            </w:pPr>
            <w:r>
              <w:rPr>
                <w:rFonts w:ascii="Arial" w:cs="Arial" w:eastAsia="Arial" w:hAnsi="Arial"/>
                <w:sz w:val="16"/>
                <w:szCs w:val="16"/>
                <w:color w:val="0000FF"/>
                <w:w w:val="89"/>
              </w:rPr>
              <w:t>15</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30"/>
          </w:tcPr>
          <w:p>
            <w:pPr>
              <w:spacing w:after="0"/>
              <w:rPr>
                <w:sz w:val="20"/>
                <w:szCs w:val="20"/>
                <w:color w:val="auto"/>
              </w:rPr>
            </w:pPr>
            <w:r>
              <w:rPr>
                <w:rFonts w:ascii="Arial" w:cs="Arial" w:eastAsia="Arial" w:hAnsi="Arial"/>
                <w:sz w:val="16"/>
                <w:szCs w:val="16"/>
                <w:color w:val="0000FF"/>
              </w:rPr>
              <w:t>11. Stockholders' Deficit</w:t>
            </w:r>
          </w:p>
        </w:tc>
        <w:tc>
          <w:tcPr>
            <w:tcW w:w="460" w:type="dxa"/>
            <w:vAlign w:val="bottom"/>
            <w:gridSpan w:val="3"/>
          </w:tcPr>
          <w:p>
            <w:pPr>
              <w:jc w:val="center"/>
              <w:ind w:left="219"/>
              <w:spacing w:after="0"/>
              <w:rPr>
                <w:sz w:val="20"/>
                <w:szCs w:val="20"/>
                <w:color w:val="auto"/>
              </w:rPr>
            </w:pPr>
            <w:r>
              <w:rPr>
                <w:rFonts w:ascii="Arial" w:cs="Arial" w:eastAsia="Arial" w:hAnsi="Arial"/>
                <w:sz w:val="16"/>
                <w:szCs w:val="16"/>
                <w:color w:val="0000FF"/>
                <w:w w:val="89"/>
              </w:rPr>
              <w:t>16</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0"/>
              </w:rPr>
              <w:t>12. Stock-based Compensation</w:t>
            </w:r>
          </w:p>
        </w:tc>
        <w:tc>
          <w:tcPr>
            <w:tcW w:w="8180" w:type="dxa"/>
            <w:vAlign w:val="bottom"/>
            <w:gridSpan w:val="15"/>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16</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30"/>
          </w:tcPr>
          <w:p>
            <w:pPr>
              <w:spacing w:after="0"/>
              <w:rPr>
                <w:sz w:val="20"/>
                <w:szCs w:val="20"/>
                <w:color w:val="auto"/>
              </w:rPr>
            </w:pPr>
            <w:r>
              <w:rPr>
                <w:rFonts w:ascii="Arial" w:cs="Arial" w:eastAsia="Arial" w:hAnsi="Arial"/>
                <w:sz w:val="16"/>
                <w:szCs w:val="16"/>
                <w:color w:val="0000FF"/>
              </w:rPr>
              <w:t>13. Commitments and Contingencies</w:t>
            </w:r>
          </w:p>
        </w:tc>
        <w:tc>
          <w:tcPr>
            <w:tcW w:w="460" w:type="dxa"/>
            <w:vAlign w:val="bottom"/>
            <w:gridSpan w:val="3"/>
          </w:tcPr>
          <w:p>
            <w:pPr>
              <w:jc w:val="center"/>
              <w:ind w:left="219"/>
              <w:spacing w:after="0"/>
              <w:rPr>
                <w:sz w:val="20"/>
                <w:szCs w:val="20"/>
                <w:color w:val="auto"/>
              </w:rPr>
            </w:pPr>
            <w:r>
              <w:rPr>
                <w:rFonts w:ascii="Arial" w:cs="Arial" w:eastAsia="Arial" w:hAnsi="Arial"/>
                <w:sz w:val="16"/>
                <w:szCs w:val="16"/>
                <w:color w:val="0000FF"/>
                <w:w w:val="89"/>
              </w:rPr>
              <w:t>17</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0"/>
              </w:rPr>
              <w:t>14. Fair Value</w:t>
            </w:r>
          </w:p>
        </w:tc>
        <w:tc>
          <w:tcPr>
            <w:tcW w:w="1480" w:type="dxa"/>
            <w:vAlign w:val="bottom"/>
            <w:tcBorders>
              <w:top w:val="single" w:sz="8" w:color="0000FF"/>
            </w:tcBorders>
            <w:gridSpan w:val="13"/>
          </w:tcPr>
          <w:p>
            <w:pPr>
              <w:spacing w:after="0"/>
              <w:rPr>
                <w:sz w:val="17"/>
                <w:szCs w:val="17"/>
                <w:color w:val="auto"/>
              </w:rPr>
            </w:pPr>
          </w:p>
        </w:tc>
        <w:tc>
          <w:tcPr>
            <w:tcW w:w="7840" w:type="dxa"/>
            <w:vAlign w:val="bottom"/>
            <w:gridSpan w:val="13"/>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18</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30"/>
          </w:tcPr>
          <w:p>
            <w:pPr>
              <w:spacing w:after="0"/>
              <w:rPr>
                <w:sz w:val="20"/>
                <w:szCs w:val="20"/>
                <w:color w:val="auto"/>
              </w:rPr>
            </w:pPr>
            <w:r>
              <w:rPr>
                <w:rFonts w:ascii="Arial" w:cs="Arial" w:eastAsia="Arial" w:hAnsi="Arial"/>
                <w:sz w:val="16"/>
                <w:szCs w:val="16"/>
                <w:color w:val="0000FF"/>
              </w:rPr>
              <w:t>15. Segment Information</w:t>
            </w:r>
          </w:p>
        </w:tc>
        <w:tc>
          <w:tcPr>
            <w:tcW w:w="460" w:type="dxa"/>
            <w:vAlign w:val="bottom"/>
            <w:gridSpan w:val="3"/>
          </w:tcPr>
          <w:p>
            <w:pPr>
              <w:jc w:val="center"/>
              <w:ind w:left="219"/>
              <w:spacing w:after="0"/>
              <w:rPr>
                <w:sz w:val="20"/>
                <w:szCs w:val="20"/>
                <w:color w:val="auto"/>
              </w:rPr>
            </w:pPr>
            <w:r>
              <w:rPr>
                <w:rFonts w:ascii="Arial" w:cs="Arial" w:eastAsia="Arial" w:hAnsi="Arial"/>
                <w:sz w:val="16"/>
                <w:szCs w:val="16"/>
                <w:color w:val="0000FF"/>
                <w:w w:val="89"/>
              </w:rPr>
              <w:t>19</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89"/>
              </w:rPr>
              <w:t>16. Loss per Common Share</w:t>
            </w:r>
          </w:p>
        </w:tc>
        <w:tc>
          <w:tcPr>
            <w:tcW w:w="8380" w:type="dxa"/>
            <w:vAlign w:val="bottom"/>
            <w:gridSpan w:val="18"/>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21</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340" w:type="dxa"/>
            <w:vAlign w:val="bottom"/>
            <w:gridSpan w:val="31"/>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460" w:type="dxa"/>
            <w:vAlign w:val="bottom"/>
            <w:gridSpan w:val="3"/>
          </w:tcPr>
          <w:p>
            <w:pPr>
              <w:jc w:val="center"/>
              <w:ind w:left="219"/>
              <w:spacing w:after="0"/>
              <w:rPr>
                <w:sz w:val="20"/>
                <w:szCs w:val="20"/>
                <w:color w:val="auto"/>
              </w:rPr>
            </w:pPr>
            <w:r>
              <w:rPr>
                <w:rFonts w:ascii="Arial" w:cs="Arial" w:eastAsia="Arial" w:hAnsi="Arial"/>
                <w:sz w:val="16"/>
                <w:szCs w:val="16"/>
                <w:color w:val="0000FF"/>
                <w:w w:val="89"/>
              </w:rPr>
              <w:t>22</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23"/>
          </w:tcPr>
          <w:p>
            <w:pPr>
              <w:spacing w:after="0"/>
              <w:rPr>
                <w:sz w:val="20"/>
                <w:szCs w:val="20"/>
                <w:color w:val="auto"/>
              </w:rPr>
            </w:pPr>
            <w:r>
              <w:rPr>
                <w:rFonts w:ascii="Arial" w:cs="Arial" w:eastAsia="Arial" w:hAnsi="Arial"/>
                <w:sz w:val="16"/>
                <w:szCs w:val="16"/>
                <w:color w:val="0000FF"/>
                <w:w w:val="92"/>
              </w:rPr>
              <w:t>Item 3. Qualitative and Quantitative Disclosures about Market Risk</w:t>
            </w:r>
          </w:p>
        </w:tc>
        <w:tc>
          <w:tcPr>
            <w:tcW w:w="1900" w:type="dxa"/>
            <w:vAlign w:val="bottom"/>
            <w:tcBorders>
              <w:top w:val="single" w:sz="8" w:color="0000FF"/>
            </w:tcBorders>
            <w:gridSpan w:val="4"/>
          </w:tcPr>
          <w:p>
            <w:pPr>
              <w:spacing w:after="0"/>
              <w:rPr>
                <w:sz w:val="17"/>
                <w:szCs w:val="17"/>
                <w:color w:val="auto"/>
              </w:rPr>
            </w:pPr>
          </w:p>
        </w:tc>
        <w:tc>
          <w:tcPr>
            <w:tcW w:w="4060" w:type="dxa"/>
            <w:vAlign w:val="bottom"/>
            <w:gridSpan w:val="4"/>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30</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10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0"/>
              </w:rPr>
              <w:t>Item 4. Controls and Procedures</w:t>
            </w:r>
          </w:p>
        </w:tc>
        <w:tc>
          <w:tcPr>
            <w:tcW w:w="8240" w:type="dxa"/>
            <w:vAlign w:val="bottom"/>
            <w:gridSpan w:val="16"/>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30</w:t>
            </w:r>
          </w:p>
        </w:tc>
        <w:tc>
          <w:tcPr>
            <w:tcW w:w="120" w:type="dxa"/>
            <w:vAlign w:val="bottom"/>
          </w:tcPr>
          <w:p>
            <w:pPr>
              <w:spacing w:after="0"/>
              <w:rPr>
                <w:sz w:val="17"/>
                <w:szCs w:val="17"/>
                <w:color w:val="auto"/>
              </w:rPr>
            </w:pPr>
          </w:p>
        </w:tc>
      </w:tr>
      <w:tr>
        <w:trPr>
          <w:trHeight w:val="196"/>
        </w:trPr>
        <w:tc>
          <w:tcPr>
            <w:tcW w:w="232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6"/>
              </w:rPr>
              <w:t>PART II. OTHER INFORMATION</w:t>
            </w:r>
          </w:p>
        </w:tc>
        <w:tc>
          <w:tcPr>
            <w:tcW w:w="8140" w:type="dxa"/>
            <w:vAlign w:val="bottom"/>
            <w:gridSpan w:val="14"/>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32</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70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89"/>
              </w:rPr>
              <w:t>Item 1. Legal Proceedings</w:t>
            </w:r>
          </w:p>
        </w:tc>
        <w:tc>
          <w:tcPr>
            <w:tcW w:w="8640" w:type="dxa"/>
            <w:vAlign w:val="bottom"/>
            <w:gridSpan w:val="20"/>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32</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340" w:type="dxa"/>
            <w:vAlign w:val="bottom"/>
            <w:gridSpan w:val="31"/>
          </w:tcPr>
          <w:p>
            <w:pPr>
              <w:spacing w:after="0"/>
              <w:rPr>
                <w:sz w:val="20"/>
                <w:szCs w:val="20"/>
                <w:color w:val="auto"/>
              </w:rPr>
            </w:pPr>
            <w:r>
              <w:rPr>
                <w:rFonts w:ascii="Arial" w:cs="Arial" w:eastAsia="Arial" w:hAnsi="Arial"/>
                <w:sz w:val="16"/>
                <w:szCs w:val="16"/>
                <w:color w:val="0000FF"/>
              </w:rPr>
              <w:t>Item 1A. Risk Factors</w:t>
            </w:r>
          </w:p>
        </w:tc>
        <w:tc>
          <w:tcPr>
            <w:tcW w:w="460" w:type="dxa"/>
            <w:vAlign w:val="bottom"/>
            <w:gridSpan w:val="3"/>
          </w:tcPr>
          <w:p>
            <w:pPr>
              <w:jc w:val="center"/>
              <w:ind w:left="219"/>
              <w:spacing w:after="0"/>
              <w:rPr>
                <w:sz w:val="20"/>
                <w:szCs w:val="20"/>
                <w:color w:val="auto"/>
              </w:rPr>
            </w:pPr>
            <w:r>
              <w:rPr>
                <w:rFonts w:ascii="Arial" w:cs="Arial" w:eastAsia="Arial" w:hAnsi="Arial"/>
                <w:sz w:val="16"/>
                <w:szCs w:val="16"/>
                <w:color w:val="0000FF"/>
                <w:w w:val="89"/>
              </w:rPr>
              <w:t>32</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40" w:type="dxa"/>
            <w:vAlign w:val="bottom"/>
            <w:gridSpan w:val="31"/>
          </w:tcPr>
          <w:p>
            <w:pPr>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460" w:type="dxa"/>
            <w:vAlign w:val="bottom"/>
            <w:gridSpan w:val="3"/>
          </w:tcPr>
          <w:p>
            <w:pPr>
              <w:jc w:val="center"/>
              <w:ind w:left="219"/>
              <w:spacing w:after="0"/>
              <w:rPr>
                <w:sz w:val="20"/>
                <w:szCs w:val="20"/>
                <w:color w:val="auto"/>
              </w:rPr>
            </w:pPr>
            <w:r>
              <w:rPr>
                <w:rFonts w:ascii="Arial" w:cs="Arial" w:eastAsia="Arial" w:hAnsi="Arial"/>
                <w:sz w:val="16"/>
                <w:szCs w:val="16"/>
                <w:color w:val="0000FF"/>
                <w:w w:val="89"/>
              </w:rPr>
              <w:t>32</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400" w:type="dxa"/>
            <w:vAlign w:val="bottom"/>
            <w:tcBorders>
              <w:top w:val="single" w:sz="8" w:color="0000FF"/>
            </w:tcBorders>
            <w:gridSpan w:val="24"/>
          </w:tcPr>
          <w:p>
            <w:pPr>
              <w:spacing w:after="0"/>
              <w:rPr>
                <w:sz w:val="20"/>
                <w:szCs w:val="20"/>
                <w:color w:val="auto"/>
              </w:rPr>
            </w:pPr>
            <w:r>
              <w:rPr>
                <w:rFonts w:ascii="Arial" w:cs="Arial" w:eastAsia="Arial" w:hAnsi="Arial"/>
                <w:sz w:val="16"/>
                <w:szCs w:val="16"/>
                <w:color w:val="0000FF"/>
              </w:rPr>
              <w:t>Item 3. Defaults Upon Senior Securities</w:t>
            </w:r>
          </w:p>
        </w:tc>
        <w:tc>
          <w:tcPr>
            <w:tcW w:w="5940" w:type="dxa"/>
            <w:vAlign w:val="bottom"/>
            <w:gridSpan w:val="7"/>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32</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58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Item 4. Mine Safety Disclosures</w:t>
            </w:r>
          </w:p>
        </w:tc>
        <w:tc>
          <w:tcPr>
            <w:tcW w:w="7760" w:type="dxa"/>
            <w:vAlign w:val="bottom"/>
            <w:gridSpan w:val="12"/>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32</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w w:val="93"/>
              </w:rPr>
              <w:t>Item 5. Other Information</w:t>
            </w:r>
          </w:p>
        </w:tc>
        <w:tc>
          <w:tcPr>
            <w:tcW w:w="380" w:type="dxa"/>
            <w:vAlign w:val="bottom"/>
            <w:tcBorders>
              <w:top w:val="single" w:sz="8" w:color="0000FF"/>
            </w:tcBorders>
            <w:gridSpan w:val="3"/>
          </w:tcPr>
          <w:p>
            <w:pPr>
              <w:spacing w:after="0"/>
              <w:rPr>
                <w:sz w:val="17"/>
                <w:szCs w:val="17"/>
                <w:color w:val="auto"/>
              </w:rPr>
            </w:pPr>
          </w:p>
        </w:tc>
        <w:tc>
          <w:tcPr>
            <w:tcW w:w="8260" w:type="dxa"/>
            <w:vAlign w:val="bottom"/>
            <w:gridSpan w:val="17"/>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33</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3"/>
              </w:rPr>
              <w:t>Item 6. Exhibits</w:t>
            </w:r>
          </w:p>
        </w:tc>
        <w:tc>
          <w:tcPr>
            <w:tcW w:w="9300" w:type="dxa"/>
            <w:vAlign w:val="bottom"/>
            <w:gridSpan w:val="25"/>
          </w:tcPr>
          <w:p>
            <w:pPr>
              <w:spacing w:after="0"/>
              <w:rPr>
                <w:sz w:val="17"/>
                <w:szCs w:val="17"/>
                <w:color w:val="auto"/>
              </w:rPr>
            </w:pP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33</w:t>
            </w:r>
          </w:p>
        </w:tc>
        <w:tc>
          <w:tcPr>
            <w:tcW w:w="120" w:type="dxa"/>
            <w:vAlign w:val="bottom"/>
          </w:tcPr>
          <w:p>
            <w:pPr>
              <w:spacing w:after="0"/>
              <w:rPr>
                <w:sz w:val="17"/>
                <w:szCs w:val="17"/>
                <w:color w:val="auto"/>
              </w:rPr>
            </w:pPr>
          </w:p>
        </w:tc>
      </w:tr>
      <w:tr>
        <w:trPr>
          <w:trHeight w:val="196"/>
        </w:trPr>
        <w:tc>
          <w:tcPr>
            <w:tcW w:w="10460" w:type="dxa"/>
            <w:vAlign w:val="bottom"/>
            <w:gridSpan w:val="32"/>
          </w:tcPr>
          <w:p>
            <w:pPr>
              <w:spacing w:after="0"/>
              <w:rPr>
                <w:sz w:val="20"/>
                <w:szCs w:val="20"/>
                <w:color w:val="auto"/>
              </w:rPr>
            </w:pPr>
            <w:r>
              <w:rPr>
                <w:rFonts w:ascii="Arial" w:cs="Arial" w:eastAsia="Arial" w:hAnsi="Arial"/>
                <w:sz w:val="16"/>
                <w:szCs w:val="16"/>
                <w:color w:val="0000FF"/>
              </w:rPr>
              <w:t>Signatures</w:t>
            </w:r>
          </w:p>
        </w:tc>
        <w:tc>
          <w:tcPr>
            <w:tcW w:w="460" w:type="dxa"/>
            <w:vAlign w:val="bottom"/>
            <w:gridSpan w:val="3"/>
          </w:tcPr>
          <w:p>
            <w:pPr>
              <w:jc w:val="center"/>
              <w:ind w:left="219"/>
              <w:spacing w:after="0"/>
              <w:rPr>
                <w:sz w:val="20"/>
                <w:szCs w:val="20"/>
                <w:color w:val="auto"/>
              </w:rPr>
            </w:pPr>
            <w:r>
              <w:rPr>
                <w:rFonts w:ascii="Arial" w:cs="Arial" w:eastAsia="Arial" w:hAnsi="Arial"/>
                <w:sz w:val="16"/>
                <w:szCs w:val="16"/>
                <w:color w:val="0000FF"/>
                <w:w w:val="89"/>
              </w:rPr>
              <w:t>35</w:t>
            </w:r>
          </w:p>
        </w:tc>
        <w:tc>
          <w:tcPr>
            <w:tcW w:w="1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255"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Commonly Used 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Term</w:t>
            </w:r>
          </w:p>
        </w:tc>
        <w:tc>
          <w:tcPr>
            <w:tcW w:w="100" w:type="dxa"/>
            <w:vAlign w:val="bottom"/>
          </w:tcPr>
          <w:p>
            <w:pPr>
              <w:spacing w:after="0"/>
              <w:rPr>
                <w:sz w:val="20"/>
                <w:szCs w:val="20"/>
                <w:color w:val="auto"/>
              </w:rPr>
            </w:pPr>
          </w:p>
        </w:tc>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Definition</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Plan</w:t>
            </w:r>
          </w:p>
        </w:tc>
        <w:tc>
          <w:tcPr>
            <w:tcW w:w="100" w:type="dxa"/>
            <w:vAlign w:val="bottom"/>
            <w:shd w:val="clear" w:color="auto" w:fill="CCEEFF"/>
          </w:tcPr>
          <w:p>
            <w:pPr>
              <w:spacing w:after="0"/>
              <w:rPr>
                <w:sz w:val="20"/>
                <w:szCs w:val="20"/>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Equity Incentive Plan</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2021 Stock Purchase Plan</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Priority Technology Holdings, Inc. 2021 Employee Stock Purchase Plan</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Share Repurchase Program</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Priority Technology Holdings, Inc. 2021 Share Repurchase Program</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AOCI</w:t>
            </w:r>
          </w:p>
        </w:tc>
        <w:tc>
          <w:tcPr>
            <w:tcW w:w="1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Accumulated other comprehensive income/loss</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w:t>
            </w:r>
          </w:p>
        </w:tc>
        <w:tc>
          <w:tcPr>
            <w:tcW w:w="100" w:type="dxa"/>
            <w:vAlign w:val="bottom"/>
            <w:shd w:val="clear" w:color="auto" w:fill="CCEEFF"/>
          </w:tcPr>
          <w:p>
            <w:pPr>
              <w:spacing w:after="0"/>
              <w:rPr>
                <w:sz w:val="20"/>
                <w:szCs w:val="20"/>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ASC</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Accounting Standards Codification</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APIC</w:t>
            </w:r>
          </w:p>
        </w:tc>
        <w:tc>
          <w:tcPr>
            <w:tcW w:w="100" w:type="dxa"/>
            <w:vAlign w:val="bottom"/>
            <w:shd w:val="clear" w:color="auto" w:fill="CCEEFF"/>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ASU</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Accounting Standards Update</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B2B</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Business-to-business</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B2C</w:t>
            </w:r>
          </w:p>
        </w:tc>
        <w:tc>
          <w:tcPr>
            <w:tcW w:w="1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Business-to-consumer</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CEO</w:t>
            </w:r>
          </w:p>
        </w:tc>
        <w:tc>
          <w:tcPr>
            <w:tcW w:w="100" w:type="dxa"/>
            <w:vAlign w:val="bottom"/>
            <w:shd w:val="clear" w:color="auto" w:fill="CCEEFF"/>
          </w:tcPr>
          <w:p>
            <w:pPr>
              <w:spacing w:after="0"/>
              <w:rPr>
                <w:sz w:val="20"/>
                <w:szCs w:val="20"/>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CFO</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Company's Common Stock, par value $0.001</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Credit and Guaranty Agreement with Truist Bank dated as of April 27, 2021</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EAETR</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212529"/>
              </w:rPr>
              <w:t>Estimated annual effective tax rate</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ESPP</w:t>
            </w:r>
          </w:p>
        </w:tc>
        <w:tc>
          <w:tcPr>
            <w:tcW w:w="1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Act</w:t>
            </w:r>
          </w:p>
        </w:tc>
        <w:tc>
          <w:tcPr>
            <w:tcW w:w="100" w:type="dxa"/>
            <w:vAlign w:val="bottom"/>
            <w:shd w:val="clear" w:color="auto" w:fill="CCEEFF"/>
          </w:tcPr>
          <w:p>
            <w:pPr>
              <w:spacing w:after="0"/>
              <w:rPr>
                <w:sz w:val="20"/>
                <w:szCs w:val="20"/>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FASB</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FDIC</w:t>
            </w:r>
          </w:p>
        </w:tc>
        <w:tc>
          <w:tcPr>
            <w:tcW w:w="100" w:type="dxa"/>
            <w:vAlign w:val="bottom"/>
            <w:shd w:val="clear" w:color="auto" w:fill="CCEEFF"/>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Deposit Insurance Corporation</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FBO</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For the benefit of</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institution</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Finxera</w:t>
            </w:r>
          </w:p>
        </w:tc>
        <w:tc>
          <w:tcPr>
            <w:tcW w:w="1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Finxera Holdings, Inc.</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100" w:type="dxa"/>
            <w:vAlign w:val="bottom"/>
            <w:shd w:val="clear" w:color="auto" w:fill="CCEEFF"/>
          </w:tcPr>
          <w:p>
            <w:pPr>
              <w:spacing w:after="0"/>
              <w:rPr>
                <w:sz w:val="20"/>
                <w:szCs w:val="20"/>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Generally Accepted Accounting Principles</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IRA</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Inflation Reduction Act, enacted by the U.S. Federal Government on August 16, 2022</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ISO</w:t>
            </w:r>
          </w:p>
        </w:tc>
        <w:tc>
          <w:tcPr>
            <w:tcW w:w="100" w:type="dxa"/>
            <w:vAlign w:val="bottom"/>
            <w:shd w:val="clear" w:color="auto" w:fill="CCEEFF"/>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sales organization</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ISV</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Independent software vendor</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NCI</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Non-controlling interests in consolidated subsidiaries</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PIK</w:t>
            </w:r>
          </w:p>
        </w:tc>
        <w:tc>
          <w:tcPr>
            <w:tcW w:w="100" w:type="dxa"/>
            <w:vAlign w:val="bottom"/>
            <w:shd w:val="clear" w:color="auto" w:fill="CCEEFF"/>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Payment-in-kind</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PHOT</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Priority Hospitality Technology, LLC</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SMB</w:t>
            </w:r>
          </w:p>
        </w:tc>
        <w:tc>
          <w:tcPr>
            <w:tcW w:w="1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Small to medium-sized businesses</w:t>
            </w:r>
          </w:p>
        </w:tc>
        <w:tc>
          <w:tcPr>
            <w:tcW w:w="0" w:type="dxa"/>
            <w:vAlign w:val="bottom"/>
          </w:tcPr>
          <w:p>
            <w:pPr>
              <w:spacing w:after="0"/>
              <w:rPr>
                <w:sz w:val="1"/>
                <w:szCs w:val="1"/>
                <w:color w:val="auto"/>
              </w:rPr>
            </w:pPr>
          </w:p>
        </w:tc>
      </w:tr>
      <w:tr>
        <w:trPr>
          <w:trHeight w:val="182"/>
        </w:trPr>
        <w:tc>
          <w:tcPr>
            <w:tcW w:w="30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Term facility</w:t>
            </w:r>
          </w:p>
        </w:tc>
        <w:tc>
          <w:tcPr>
            <w:tcW w:w="100" w:type="dxa"/>
            <w:vAlign w:val="bottom"/>
            <w:shd w:val="clear" w:color="auto" w:fill="CCEEFF"/>
          </w:tcPr>
          <w:p>
            <w:pPr>
              <w:spacing w:after="0"/>
              <w:rPr>
                <w:sz w:val="15"/>
                <w:szCs w:val="15"/>
                <w:color w:val="auto"/>
              </w:rPr>
            </w:pPr>
          </w:p>
        </w:tc>
        <w:tc>
          <w:tcPr>
            <w:tcW w:w="81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4"/>
              </w:rPr>
              <w:t>$620.0 million senior secured term loan facility issued under the Credit Agreement (including $320.0 million</w:t>
            </w:r>
          </w:p>
        </w:tc>
        <w:tc>
          <w:tcPr>
            <w:tcW w:w="0" w:type="dxa"/>
            <w:vAlign w:val="bottom"/>
          </w:tcPr>
          <w:p>
            <w:pPr>
              <w:spacing w:after="0"/>
              <w:rPr>
                <w:sz w:val="1"/>
                <w:szCs w:val="1"/>
                <w:color w:val="auto"/>
              </w:rPr>
            </w:pPr>
          </w:p>
        </w:tc>
      </w:tr>
      <w:tr>
        <w:trPr>
          <w:trHeight w:val="135"/>
        </w:trPr>
        <w:tc>
          <w:tcPr>
            <w:tcW w:w="30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delayed draw facility)</w:t>
            </w:r>
          </w:p>
        </w:tc>
        <w:tc>
          <w:tcPr>
            <w:tcW w:w="0" w:type="dxa"/>
            <w:vAlign w:val="bottom"/>
          </w:tcPr>
          <w:p>
            <w:pPr>
              <w:spacing w:after="0"/>
              <w:rPr>
                <w:sz w:val="1"/>
                <w:szCs w:val="1"/>
                <w:color w:val="auto"/>
              </w:rPr>
            </w:pPr>
          </w:p>
        </w:tc>
      </w:tr>
      <w:tr>
        <w:trPr>
          <w:trHeight w:val="94"/>
        </w:trPr>
        <w:tc>
          <w:tcPr>
            <w:tcW w:w="3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Wholesale Payments</w:t>
            </w:r>
          </w:p>
        </w:tc>
        <w:tc>
          <w:tcPr>
            <w:tcW w:w="1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Wholesale Payments,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data)</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March 31, 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2022</w:t>
            </w:r>
          </w:p>
        </w:tc>
        <w:tc>
          <w:tcPr>
            <w:tcW w:w="0" w:type="dxa"/>
            <w:vAlign w:val="bottom"/>
          </w:tcPr>
          <w:p>
            <w:pPr>
              <w:spacing w:after="0"/>
              <w:rPr>
                <w:sz w:val="1"/>
                <w:szCs w:val="1"/>
                <w:color w:val="auto"/>
              </w:rPr>
            </w:pPr>
          </w:p>
        </w:tc>
      </w:tr>
      <w:tr>
        <w:trPr>
          <w:trHeight w:val="223"/>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w:t>
            </w:r>
          </w:p>
        </w:tc>
        <w:tc>
          <w:tcPr>
            <w:tcW w:w="0" w:type="dxa"/>
            <w:vAlign w:val="bottom"/>
          </w:tcPr>
          <w:p>
            <w:pPr>
              <w:spacing w:after="0"/>
              <w:rPr>
                <w:sz w:val="1"/>
                <w:szCs w:val="1"/>
                <w:color w:val="auto"/>
              </w:rPr>
            </w:pPr>
          </w:p>
        </w:tc>
      </w:tr>
      <w:tr>
        <w:trPr>
          <w:trHeight w:val="237"/>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10,582</w:t>
            </w:r>
          </w:p>
        </w:tc>
        <w:tc>
          <w:tcPr>
            <w:tcW w:w="0" w:type="dxa"/>
            <w:vAlign w:val="bottom"/>
          </w:tcPr>
          <w:p>
            <w:pPr>
              <w:spacing w:after="0"/>
              <w:rPr>
                <w:sz w:val="1"/>
                <w:szCs w:val="1"/>
                <w:color w:val="auto"/>
              </w:rPr>
            </w:pPr>
          </w:p>
        </w:tc>
      </w:tr>
      <w:tr>
        <w:trPr>
          <w:trHeight w:val="236"/>
        </w:trPr>
        <w:tc>
          <w:tcPr>
            <w:tcW w:w="7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allowances of $1,154 and $1,143, respectively</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78,113</w:t>
            </w:r>
          </w:p>
        </w:tc>
        <w:tc>
          <w:tcPr>
            <w:tcW w:w="0" w:type="dxa"/>
            <w:vAlign w:val="bottom"/>
          </w:tcPr>
          <w:p>
            <w:pPr>
              <w:spacing w:after="0"/>
              <w:rPr>
                <w:sz w:val="1"/>
                <w:szCs w:val="1"/>
                <w:color w:val="auto"/>
              </w:rPr>
            </w:pPr>
          </w:p>
        </w:tc>
      </w:tr>
      <w:tr>
        <w:trPr>
          <w:trHeight w:val="229"/>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43"/>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portion of notes receivable, net of allowance of $0 and $0, respectively</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29"/>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Settlement assets and customer/subscriber account balances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612,146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532,018</w:t>
            </w:r>
          </w:p>
        </w:tc>
        <w:tc>
          <w:tcPr>
            <w:tcW w:w="0" w:type="dxa"/>
            <w:vAlign w:val="bottom"/>
          </w:tcPr>
          <w:p>
            <w:pPr>
              <w:spacing w:after="0"/>
              <w:rPr>
                <w:sz w:val="1"/>
                <w:szCs w:val="1"/>
                <w:color w:val="auto"/>
              </w:rPr>
            </w:pPr>
          </w:p>
        </w:tc>
      </w:tr>
      <w:tr>
        <w:trPr>
          <w:trHeight w:val="223"/>
        </w:trPr>
        <w:tc>
          <w:tcPr>
            <w:tcW w:w="72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652,470</w:t>
            </w:r>
          </w:p>
        </w:tc>
        <w:tc>
          <w:tcPr>
            <w:tcW w:w="0" w:type="dxa"/>
            <w:vAlign w:val="bottom"/>
          </w:tcPr>
          <w:p>
            <w:pPr>
              <w:spacing w:after="0"/>
              <w:rPr>
                <w:sz w:val="1"/>
                <w:szCs w:val="1"/>
                <w:color w:val="auto"/>
              </w:rPr>
            </w:pPr>
          </w:p>
        </w:tc>
      </w:tr>
      <w:tr>
        <w:trPr>
          <w:trHeight w:val="237"/>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Notes receivable, less current portion</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36"/>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34,687</w:t>
            </w:r>
          </w:p>
        </w:tc>
        <w:tc>
          <w:tcPr>
            <w:tcW w:w="0" w:type="dxa"/>
            <w:vAlign w:val="bottom"/>
          </w:tcPr>
          <w:p>
            <w:pPr>
              <w:spacing w:after="0"/>
              <w:rPr>
                <w:sz w:val="1"/>
                <w:szCs w:val="1"/>
                <w:color w:val="auto"/>
              </w:rPr>
            </w:pPr>
          </w:p>
        </w:tc>
      </w:tr>
      <w:tr>
        <w:trPr>
          <w:trHeight w:val="22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368,740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369,337</w:t>
            </w:r>
          </w:p>
        </w:tc>
        <w:tc>
          <w:tcPr>
            <w:tcW w:w="0" w:type="dxa"/>
            <w:vAlign w:val="bottom"/>
          </w:tcPr>
          <w:p>
            <w:pPr>
              <w:spacing w:after="0"/>
              <w:rPr>
                <w:sz w:val="1"/>
                <w:szCs w:val="1"/>
                <w:color w:val="auto"/>
              </w:rPr>
            </w:pPr>
          </w:p>
        </w:tc>
      </w:tr>
      <w:tr>
        <w:trPr>
          <w:trHeight w:val="243"/>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288,794</w:t>
            </w:r>
          </w:p>
        </w:tc>
        <w:tc>
          <w:tcPr>
            <w:tcW w:w="0" w:type="dxa"/>
            <w:vAlign w:val="bottom"/>
          </w:tcPr>
          <w:p>
            <w:pPr>
              <w:spacing w:after="0"/>
              <w:rPr>
                <w:sz w:val="1"/>
                <w:szCs w:val="1"/>
                <w:color w:val="auto"/>
              </w:rPr>
            </w:pPr>
          </w:p>
        </w:tc>
      </w:tr>
      <w:tr>
        <w:trPr>
          <w:trHeight w:val="22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16,447</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0" w:type="dxa"/>
            <w:vAlign w:val="bottom"/>
          </w:tcPr>
          <w:p>
            <w:pPr>
              <w:spacing w:after="0"/>
              <w:rPr>
                <w:sz w:val="1"/>
                <w:szCs w:val="1"/>
                <w:color w:val="auto"/>
              </w:rPr>
            </w:pPr>
          </w:p>
        </w:tc>
      </w:tr>
      <w:tr>
        <w:trPr>
          <w:trHeight w:val="237"/>
        </w:trPr>
        <w:tc>
          <w:tcPr>
            <w:tcW w:w="7260" w:type="dxa"/>
            <w:vAlign w:val="bottom"/>
            <w:gridSpan w:val="3"/>
          </w:tcPr>
          <w:p>
            <w:pPr>
              <w:ind w:left="5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1,445,985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1,373,363</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Redeemable Senior Preferred Stock and Stockholders' Deficit</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51,864</w:t>
            </w:r>
          </w:p>
        </w:tc>
        <w:tc>
          <w:tcPr>
            <w:tcW w:w="0" w:type="dxa"/>
            <w:vAlign w:val="bottom"/>
          </w:tcPr>
          <w:p>
            <w:pPr>
              <w:spacing w:after="0"/>
              <w:rPr>
                <w:sz w:val="1"/>
                <w:szCs w:val="1"/>
                <w:color w:val="auto"/>
              </w:rPr>
            </w:pPr>
          </w:p>
        </w:tc>
      </w:tr>
      <w:tr>
        <w:trPr>
          <w:trHeight w:val="230"/>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Accrued residual commissions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35,979</w:t>
            </w:r>
          </w:p>
        </w:tc>
        <w:tc>
          <w:tcPr>
            <w:tcW w:w="0" w:type="dxa"/>
            <w:vAlign w:val="bottom"/>
          </w:tcPr>
          <w:p>
            <w:pPr>
              <w:spacing w:after="0"/>
              <w:rPr>
                <w:sz w:val="1"/>
                <w:szCs w:val="1"/>
                <w:color w:val="auto"/>
              </w:rPr>
            </w:pPr>
          </w:p>
        </w:tc>
      </w:tr>
      <w:tr>
        <w:trPr>
          <w:trHeight w:val="229"/>
        </w:trPr>
        <w:tc>
          <w:tcPr>
            <w:tcW w:w="7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Customer deposits and advance payments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37"/>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36"/>
        </w:trPr>
        <w:tc>
          <w:tcPr>
            <w:tcW w:w="72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Settlement and customer/subscriber account obligations</w:t>
            </w:r>
          </w:p>
        </w:tc>
        <w:tc>
          <w:tcPr>
            <w:tcW w:w="24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533,340</w:t>
            </w:r>
          </w:p>
        </w:tc>
        <w:tc>
          <w:tcPr>
            <w:tcW w:w="0" w:type="dxa"/>
            <w:vAlign w:val="bottom"/>
          </w:tcPr>
          <w:p>
            <w:pPr>
              <w:spacing w:after="0"/>
              <w:rPr>
                <w:sz w:val="1"/>
                <w:szCs w:val="1"/>
                <w:color w:val="auto"/>
              </w:rPr>
            </w:pPr>
          </w:p>
        </w:tc>
      </w:tr>
      <w:tr>
        <w:trPr>
          <w:trHeight w:val="223"/>
        </w:trPr>
        <w:tc>
          <w:tcPr>
            <w:tcW w:w="7260" w:type="dxa"/>
            <w:vAlign w:val="bottom"/>
            <w:gridSpan w:val="3"/>
          </w:tcPr>
          <w:p>
            <w:pPr>
              <w:ind w:left="4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720,180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630,001</w:t>
            </w:r>
          </w:p>
        </w:tc>
        <w:tc>
          <w:tcPr>
            <w:tcW w:w="0" w:type="dxa"/>
            <w:vAlign w:val="bottom"/>
          </w:tcPr>
          <w:p>
            <w:pPr>
              <w:spacing w:after="0"/>
              <w:rPr>
                <w:sz w:val="1"/>
                <w:szCs w:val="1"/>
                <w:color w:val="auto"/>
              </w:rPr>
            </w:pPr>
          </w:p>
        </w:tc>
      </w:tr>
      <w:tr>
        <w:trPr>
          <w:trHeight w:val="243"/>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598,926</w:t>
            </w:r>
          </w:p>
        </w:tc>
        <w:tc>
          <w:tcPr>
            <w:tcW w:w="0" w:type="dxa"/>
            <w:vAlign w:val="bottom"/>
          </w:tcPr>
          <w:p>
            <w:pPr>
              <w:spacing w:after="0"/>
              <w:rPr>
                <w:sz w:val="1"/>
                <w:szCs w:val="1"/>
                <w:color w:val="auto"/>
              </w:rPr>
            </w:pPr>
          </w:p>
        </w:tc>
      </w:tr>
      <w:tr>
        <w:trPr>
          <w:trHeight w:val="230"/>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610,569</w:t>
            </w:r>
          </w:p>
        </w:tc>
        <w:tc>
          <w:tcPr>
            <w:tcW w:w="0" w:type="dxa"/>
            <w:vAlign w:val="bottom"/>
          </w:tcPr>
          <w:p>
            <w:pPr>
              <w:spacing w:after="0"/>
              <w:rPr>
                <w:sz w:val="1"/>
                <w:szCs w:val="1"/>
                <w:color w:val="auto"/>
              </w:rPr>
            </w:pPr>
          </w:p>
        </w:tc>
      </w:tr>
      <w:tr>
        <w:trPr>
          <w:trHeight w:val="232"/>
        </w:trPr>
        <w:tc>
          <w:tcPr>
            <w:tcW w:w="7260" w:type="dxa"/>
            <w:vAlign w:val="bottom"/>
            <w:tcBorders>
              <w:bottom w:val="single" w:sz="8" w:color="CCEEFF"/>
            </w:tcBorders>
            <w:gridSpan w:val="3"/>
          </w:tcPr>
          <w:p>
            <w:pPr>
              <w:ind w:left="5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1,324,316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1,240,570</w:t>
            </w:r>
          </w:p>
        </w:tc>
        <w:tc>
          <w:tcPr>
            <w:tcW w:w="0" w:type="dxa"/>
            <w:vAlign w:val="bottom"/>
          </w:tcPr>
          <w:p>
            <w:pPr>
              <w:spacing w:after="0"/>
              <w:rPr>
                <w:sz w:val="1"/>
                <w:szCs w:val="1"/>
                <w:color w:val="auto"/>
              </w:rPr>
            </w:pPr>
          </w:p>
        </w:tc>
      </w:tr>
      <w:tr>
        <w:trPr>
          <w:trHeight w:val="173"/>
        </w:trPr>
        <w:tc>
          <w:tcPr>
            <w:tcW w:w="7260" w:type="dxa"/>
            <w:vAlign w:val="bottom"/>
            <w:gridSpan w:val="3"/>
            <w:shd w:val="clear" w:color="auto" w:fill="CCEEFF"/>
          </w:tcPr>
          <w:p>
            <w:pPr>
              <w:ind w:left="20"/>
              <w:spacing w:after="0" w:line="173" w:lineRule="exact"/>
              <w:rPr>
                <w:sz w:val="20"/>
                <w:szCs w:val="20"/>
                <w:color w:val="auto"/>
              </w:rPr>
            </w:pPr>
            <w:r>
              <w:rPr>
                <w:rFonts w:ascii="Arial" w:cs="Arial" w:eastAsia="Arial" w:hAnsi="Arial"/>
                <w:sz w:val="18"/>
                <w:szCs w:val="18"/>
                <w:color w:val="auto"/>
              </w:rPr>
              <w:t>Commitments and contingencies (</w:t>
            </w:r>
            <w:r>
              <w:rPr>
                <w:rFonts w:ascii="Arial" w:cs="Arial" w:eastAsia="Arial" w:hAnsi="Arial"/>
                <w:sz w:val="18"/>
                <w:szCs w:val="18"/>
                <w:color w:val="0000FF"/>
              </w:rPr>
              <w:t>Note 13</w:t>
            </w: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4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4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Redeemable senior preferred stock, net of discounts and issuance costs: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Redeemable senior preferred stock, $0.001 par value; 250,000 shares authorized; 225,000 issued</w:t>
            </w:r>
          </w:p>
        </w:tc>
        <w:tc>
          <w:tcPr>
            <w:tcW w:w="24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235,439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235,579</w:t>
            </w:r>
          </w:p>
        </w:tc>
        <w:tc>
          <w:tcPr>
            <w:tcW w:w="0" w:type="dxa"/>
            <w:vAlign w:val="bottom"/>
          </w:tcPr>
          <w:p>
            <w:pPr>
              <w:spacing w:after="0"/>
              <w:rPr>
                <w:sz w:val="1"/>
                <w:szCs w:val="1"/>
                <w:color w:val="auto"/>
              </w:rPr>
            </w:pPr>
          </w:p>
        </w:tc>
      </w:tr>
      <w:tr>
        <w:trPr>
          <w:trHeight w:val="230"/>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and outstanding at March 31, 2023 and December 31, 2022</w:t>
            </w:r>
          </w:p>
        </w:tc>
        <w:tc>
          <w:tcPr>
            <w:tcW w:w="24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260" w:type="dxa"/>
            <w:vAlign w:val="bottom"/>
            <w:gridSpan w:val="3"/>
            <w:shd w:val="clear" w:color="auto" w:fill="CCEEFF"/>
          </w:tcPr>
          <w:p>
            <w:pPr>
              <w:ind w:left="140"/>
              <w:spacing w:after="0" w:line="182" w:lineRule="exact"/>
              <w:rPr>
                <w:sz w:val="20"/>
                <w:szCs w:val="20"/>
                <w:color w:val="auto"/>
              </w:rPr>
            </w:pPr>
            <w:r>
              <w:rPr>
                <w:rFonts w:ascii="Arial" w:cs="Arial" w:eastAsia="Arial" w:hAnsi="Arial"/>
                <w:sz w:val="18"/>
                <w:szCs w:val="18"/>
                <w:color w:val="auto"/>
                <w:w w:val="91"/>
              </w:rPr>
              <w:t>Preferred stock, $0.001; 100,000,000 shares authorized; none issued or outstanding at March 31,</w:t>
            </w:r>
          </w:p>
        </w:tc>
        <w:tc>
          <w:tcPr>
            <w:tcW w:w="24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2023 and December 31, 2022</w:t>
            </w:r>
          </w:p>
        </w:tc>
        <w:tc>
          <w:tcPr>
            <w:tcW w:w="24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26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2"/>
              </w:rPr>
              <w:t>Common Stock, $0.001 par value; 1,000,000,000 shares authorized; 78,902,459 and 78,385,685</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gridSpan w:val="3"/>
          </w:tcPr>
          <w:p>
            <w:pPr>
              <w:ind w:left="120"/>
              <w:spacing w:after="0" w:line="176" w:lineRule="exact"/>
              <w:rPr>
                <w:sz w:val="20"/>
                <w:szCs w:val="20"/>
                <w:color w:val="auto"/>
              </w:rPr>
            </w:pPr>
            <w:r>
              <w:rPr>
                <w:rFonts w:ascii="Arial" w:cs="Arial" w:eastAsia="Arial" w:hAnsi="Arial"/>
                <w:sz w:val="18"/>
                <w:szCs w:val="18"/>
                <w:color w:val="auto"/>
                <w:w w:val="96"/>
              </w:rPr>
              <w:t>shares issued at March 31, 2023 and December 31, 2022, respectively; and 76,404,628 and</w:t>
            </w:r>
          </w:p>
        </w:tc>
        <w:tc>
          <w:tcPr>
            <w:tcW w:w="24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260" w:type="dxa"/>
            <w:vAlign w:val="bottom"/>
            <w:gridSpan w:val="3"/>
          </w:tcPr>
          <w:p>
            <w:pPr>
              <w:ind w:left="120"/>
              <w:spacing w:after="0"/>
              <w:rPr>
                <w:sz w:val="20"/>
                <w:szCs w:val="20"/>
                <w:color w:val="auto"/>
              </w:rPr>
            </w:pPr>
            <w:r>
              <w:rPr>
                <w:rFonts w:ascii="Arial" w:cs="Arial" w:eastAsia="Arial" w:hAnsi="Arial"/>
                <w:sz w:val="18"/>
                <w:szCs w:val="18"/>
                <w:color w:val="auto"/>
              </w:rPr>
              <w:t>76,044,629 shares outstanding at March 31, 2023 and December 31, 2022, respectively</w:t>
            </w:r>
          </w:p>
        </w:tc>
        <w:tc>
          <w:tcPr>
            <w:tcW w:w="2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260" w:type="dxa"/>
            <w:vAlign w:val="bottom"/>
            <w:gridSpan w:val="3"/>
            <w:shd w:val="clear" w:color="auto" w:fill="CCEEFF"/>
          </w:tcPr>
          <w:p>
            <w:pPr>
              <w:ind w:left="140"/>
              <w:spacing w:after="0" w:line="189" w:lineRule="exact"/>
              <w:rPr>
                <w:sz w:val="20"/>
                <w:szCs w:val="20"/>
                <w:color w:val="auto"/>
              </w:rPr>
            </w:pPr>
            <w:r>
              <w:rPr>
                <w:rFonts w:ascii="Arial" w:cs="Arial" w:eastAsia="Arial" w:hAnsi="Arial"/>
                <w:sz w:val="18"/>
                <w:szCs w:val="18"/>
                <w:color w:val="auto"/>
                <w:w w:val="94"/>
              </w:rPr>
              <w:t>Treasury stock at cost, 2,497,831 and 2,341,056 shares at March 31, 2023 and December 31,</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2022, respectively</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30"/>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43"/>
        </w:trPr>
        <w:tc>
          <w:tcPr>
            <w:tcW w:w="7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gridSpan w:val="3"/>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(102,208)</w:t>
            </w:r>
          </w:p>
        </w:tc>
        <w:tc>
          <w:tcPr>
            <w:tcW w:w="0" w:type="dxa"/>
            <w:vAlign w:val="bottom"/>
          </w:tcPr>
          <w:p>
            <w:pPr>
              <w:spacing w:after="0"/>
              <w:rPr>
                <w:sz w:val="1"/>
                <w:szCs w:val="1"/>
                <w:color w:val="auto"/>
              </w:rPr>
            </w:pPr>
          </w:p>
        </w:tc>
      </w:tr>
      <w:tr>
        <w:trPr>
          <w:trHeight w:val="223"/>
        </w:trPr>
        <w:tc>
          <w:tcPr>
            <w:tcW w:w="726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deficit attributable to stockholders of PRTH</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(104,041)</w:t>
            </w:r>
          </w:p>
        </w:tc>
        <w:tc>
          <w:tcPr>
            <w:tcW w:w="0" w:type="dxa"/>
            <w:vAlign w:val="bottom"/>
          </w:tcPr>
          <w:p>
            <w:pPr>
              <w:spacing w:after="0"/>
              <w:rPr>
                <w:sz w:val="1"/>
                <w:szCs w:val="1"/>
                <w:color w:val="auto"/>
              </w:rPr>
            </w:pPr>
          </w:p>
        </w:tc>
      </w:tr>
      <w:tr>
        <w:trPr>
          <w:trHeight w:val="243"/>
        </w:trPr>
        <w:tc>
          <w:tcPr>
            <w:tcW w:w="72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Non-controlling interests in consolidated subsidiaries</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(102,786)</w:t>
            </w:r>
          </w:p>
        </w:tc>
        <w:tc>
          <w:tcPr>
            <w:tcW w:w="0" w:type="dxa"/>
            <w:vAlign w:val="bottom"/>
          </w:tcPr>
          <w:p>
            <w:pPr>
              <w:spacing w:after="0"/>
              <w:rPr>
                <w:sz w:val="1"/>
                <w:szCs w:val="1"/>
                <w:color w:val="auto"/>
              </w:rPr>
            </w:pPr>
          </w:p>
        </w:tc>
      </w:tr>
      <w:tr>
        <w:trPr>
          <w:trHeight w:val="223"/>
        </w:trPr>
        <w:tc>
          <w:tcPr>
            <w:tcW w:w="726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 liabilities, redeemable senior preferred stock and stockholders' deficit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1,445,985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1,373,363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Notes to Unaudited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 Consolidated Statements of Operations and Comprehensive Loss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Three Months Ended</w:t>
      </w:r>
    </w:p>
    <w:p>
      <w:pPr>
        <w:jc w:val="center"/>
        <w:ind w:left="736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736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242424"/>
              </w:rPr>
              <w:t>2023</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153,239</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 (excludes depreciation and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101,480</w:t>
            </w:r>
          </w:p>
        </w:tc>
      </w:tr>
      <w:tr>
        <w:trPr>
          <w:trHeight w:val="237"/>
        </w:trPr>
        <w:tc>
          <w:tcPr>
            <w:tcW w:w="7360" w:type="dxa"/>
            <w:vAlign w:val="bottom"/>
          </w:tcPr>
          <w:p>
            <w:pPr>
              <w:ind w:left="140"/>
              <w:spacing w:after="0"/>
              <w:rPr>
                <w:sz w:val="20"/>
                <w:szCs w:val="20"/>
                <w:color w:val="auto"/>
              </w:rPr>
            </w:pPr>
            <w:r>
              <w:rPr>
                <w:rFonts w:ascii="Arial" w:cs="Arial" w:eastAsia="Arial" w:hAnsi="Arial"/>
                <w:sz w:val="18"/>
                <w:szCs w:val="18"/>
                <w:color w:val="auto"/>
              </w:rPr>
              <w:t>Salary and employee benefits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16,077</w:t>
            </w:r>
          </w:p>
        </w:tc>
      </w:tr>
      <w:tr>
        <w:trPr>
          <w:trHeight w:val="23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17,353</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w:t>
            </w:r>
          </w:p>
        </w:tc>
      </w:tr>
      <w:tr>
        <w:trPr>
          <w:trHeight w:val="237"/>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168,180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142,413</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(11,535)</w:t>
            </w:r>
          </w:p>
        </w:tc>
      </w:tr>
      <w:tr>
        <w:trPr>
          <w:trHeight w:val="243"/>
        </w:trPr>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(11,484)</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4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7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Dividends and accretion attributable to redeemable senior preferred stockholders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(8,733)</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Loss per common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56"/>
        </w:trPr>
        <w:tc>
          <w:tcPr>
            <w:tcW w:w="7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78,133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78,597</w:t>
            </w:r>
          </w:p>
        </w:tc>
      </w:tr>
    </w:tbl>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 Consolidated Statements of Changes in Stockholders' Deficit and Non-Controlling Interest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8216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821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3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1"/>
              </w:rPr>
              <w:t>Treasury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5"/>
              </w:rPr>
              <w:t>Attributable</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840" w:type="dxa"/>
            <w:vAlign w:val="bottom"/>
            <w:gridSpan w:val="2"/>
            <w:vMerge w:val="restart"/>
          </w:tcPr>
          <w:p>
            <w:pPr>
              <w:jc w:val="center"/>
              <w:ind w:left="259"/>
              <w:spacing w:after="0"/>
              <w:rPr>
                <w:sz w:val="20"/>
                <w:szCs w:val="20"/>
                <w:color w:val="auto"/>
              </w:rPr>
            </w:pPr>
            <w:r>
              <w:rPr>
                <w:rFonts w:ascii="Arial" w:cs="Arial" w:eastAsia="Arial" w:hAnsi="Arial"/>
                <w:sz w:val="16"/>
                <w:szCs w:val="16"/>
                <w:b w:val="1"/>
                <w:bCs w:val="1"/>
                <w:color w:val="auto"/>
                <w:w w:val="87"/>
              </w:rPr>
              <w:t>Stock</w:t>
            </w:r>
          </w:p>
        </w:tc>
        <w:tc>
          <w:tcPr>
            <w:tcW w:w="340" w:type="dxa"/>
            <w:vAlign w:val="bottom"/>
          </w:tcPr>
          <w:p>
            <w:pPr>
              <w:spacing w:after="0"/>
              <w:rPr>
                <w:sz w:val="5"/>
                <w:szCs w:val="5"/>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87"/>
              </w:rPr>
              <w:t>Stock</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2"/>
                <w:szCs w:val="12"/>
                <w:color w:val="auto"/>
              </w:rPr>
            </w:pPr>
          </w:p>
        </w:tc>
        <w:tc>
          <w:tcPr>
            <w:tcW w:w="820" w:type="dxa"/>
            <w:vAlign w:val="bottom"/>
          </w:tcPr>
          <w:p>
            <w:pPr>
              <w:jc w:val="center"/>
              <w:ind w:right="119"/>
              <w:spacing w:after="0" w:line="142" w:lineRule="exact"/>
              <w:rPr>
                <w:sz w:val="20"/>
                <w:szCs w:val="20"/>
                <w:color w:val="auto"/>
              </w:rPr>
            </w:pPr>
            <w:r>
              <w:rPr>
                <w:rFonts w:ascii="Arial" w:cs="Arial" w:eastAsia="Arial" w:hAnsi="Arial"/>
                <w:sz w:val="16"/>
                <w:szCs w:val="16"/>
                <w:b w:val="1"/>
                <w:bCs w:val="1"/>
                <w:color w:val="auto"/>
                <w:w w:val="92"/>
              </w:rPr>
              <w:t>to</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Shares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APIC</w:t>
            </w:r>
          </w:p>
        </w:tc>
        <w:tc>
          <w:tcPr>
            <w:tcW w:w="5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AOCI</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Deficit</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NCIs</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76,044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(11,559)</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(102,208)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(104,041)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(102,786)</w:t>
            </w:r>
          </w:p>
        </w:tc>
        <w:tc>
          <w:tcPr>
            <w:tcW w:w="0" w:type="dxa"/>
            <w:vAlign w:val="bottom"/>
          </w:tcPr>
          <w:p>
            <w:pPr>
              <w:spacing w:after="0"/>
              <w:rPr>
                <w:sz w:val="1"/>
                <w:szCs w:val="1"/>
                <w:color w:val="auto"/>
              </w:rPr>
            </w:pPr>
          </w:p>
        </w:tc>
      </w:tr>
      <w:tr>
        <w:trPr>
          <w:trHeight w:val="166"/>
        </w:trPr>
        <w:tc>
          <w:tcPr>
            <w:tcW w:w="1660" w:type="dxa"/>
            <w:vAlign w:val="bottom"/>
          </w:tcPr>
          <w:p>
            <w:pPr>
              <w:ind w:left="120"/>
              <w:spacing w:after="0" w:line="166" w:lineRule="exact"/>
              <w:rPr>
                <w:sz w:val="20"/>
                <w:szCs w:val="20"/>
                <w:color w:val="auto"/>
              </w:rPr>
            </w:pPr>
            <w:r>
              <w:rPr>
                <w:rFonts w:ascii="Arial" w:cs="Arial" w:eastAsia="Arial" w:hAnsi="Arial"/>
                <w:sz w:val="16"/>
                <w:szCs w:val="16"/>
                <w:color w:val="auto"/>
              </w:rPr>
              <w:t>Equity-classified</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1,936</w:t>
            </w:r>
          </w:p>
        </w:tc>
        <w:tc>
          <w:tcPr>
            <w:tcW w:w="240" w:type="dxa"/>
            <w:vAlign w:val="bottom"/>
          </w:tcPr>
          <w:p>
            <w:pPr>
              <w:spacing w:after="0"/>
              <w:rPr>
                <w:sz w:val="14"/>
                <w:szCs w:val="14"/>
                <w:color w:val="auto"/>
              </w:rPr>
            </w:pPr>
          </w:p>
        </w:tc>
        <w:tc>
          <w:tcPr>
            <w:tcW w:w="34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1,936</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162"/>
        </w:trPr>
        <w:tc>
          <w:tcPr>
            <w:tcW w:w="1660" w:type="dxa"/>
            <w:vAlign w:val="bottom"/>
          </w:tcPr>
          <w:p>
            <w:pPr>
              <w:ind w:left="120"/>
              <w:spacing w:after="0" w:line="162" w:lineRule="exact"/>
              <w:rPr>
                <w:sz w:val="20"/>
                <w:szCs w:val="20"/>
                <w:color w:val="auto"/>
              </w:rPr>
            </w:pPr>
            <w:r>
              <w:rPr>
                <w:rFonts w:ascii="Arial" w:cs="Arial" w:eastAsia="Arial" w:hAnsi="Arial"/>
                <w:sz w:val="16"/>
                <w:szCs w:val="16"/>
                <w:color w:val="auto"/>
              </w:rPr>
              <w:t>stock-based</w:t>
            </w: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6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ESPP compensation</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and vesting of stock-</w:t>
            </w: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based compensation</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60" w:type="dxa"/>
            <w:vAlign w:val="bottom"/>
          </w:tcPr>
          <w:p>
            <w:pPr>
              <w:ind w:left="120"/>
              <w:spacing w:after="0" w:line="166" w:lineRule="exact"/>
              <w:rPr>
                <w:sz w:val="20"/>
                <w:szCs w:val="20"/>
                <w:color w:val="auto"/>
              </w:rPr>
            </w:pPr>
            <w:r>
              <w:rPr>
                <w:rFonts w:ascii="Arial" w:cs="Arial" w:eastAsia="Arial" w:hAnsi="Arial"/>
                <w:sz w:val="16"/>
                <w:szCs w:val="16"/>
                <w:color w:val="auto"/>
              </w:rPr>
              <w:t>Shares withheld for</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157</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(777)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34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(777)</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125"/>
        </w:trPr>
        <w:tc>
          <w:tcPr>
            <w:tcW w:w="1660" w:type="dxa"/>
            <w:vAlign w:val="bottom"/>
            <w:vMerge w:val="restart"/>
          </w:tcPr>
          <w:p>
            <w:pPr>
              <w:ind w:left="120"/>
              <w:spacing w:after="0"/>
              <w:rPr>
                <w:sz w:val="20"/>
                <w:szCs w:val="20"/>
                <w:color w:val="auto"/>
              </w:rPr>
            </w:pPr>
            <w:r>
              <w:rPr>
                <w:rFonts w:ascii="Arial" w:cs="Arial" w:eastAsia="Arial" w:hAnsi="Arial"/>
                <w:sz w:val="16"/>
                <w:szCs w:val="16"/>
                <w:color w:val="auto"/>
              </w:rPr>
              <w:t>taxes</w:t>
            </w: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6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Dividends on</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(10,477)</w:t>
            </w:r>
          </w:p>
        </w:tc>
        <w:tc>
          <w:tcPr>
            <w:tcW w:w="2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(10,477)</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(10,477)</w:t>
            </w: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redeemable senior</w:t>
            </w: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stock</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60" w:type="dxa"/>
            <w:vAlign w:val="bottom"/>
          </w:tcPr>
          <w:p>
            <w:pPr>
              <w:ind w:left="120"/>
              <w:spacing w:after="0" w:line="166" w:lineRule="exact"/>
              <w:rPr>
                <w:sz w:val="20"/>
                <w:szCs w:val="20"/>
                <w:color w:val="auto"/>
              </w:rPr>
            </w:pPr>
            <w:r>
              <w:rPr>
                <w:rFonts w:ascii="Arial" w:cs="Arial" w:eastAsia="Arial" w:hAnsi="Arial"/>
                <w:sz w:val="16"/>
                <w:szCs w:val="16"/>
                <w:color w:val="auto"/>
              </w:rPr>
              <w:t>Accretion of</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(818)</w:t>
            </w:r>
          </w:p>
        </w:tc>
        <w:tc>
          <w:tcPr>
            <w:tcW w:w="240" w:type="dxa"/>
            <w:vAlign w:val="bottom"/>
          </w:tcPr>
          <w:p>
            <w:pPr>
              <w:spacing w:after="0"/>
              <w:rPr>
                <w:sz w:val="14"/>
                <w:szCs w:val="14"/>
                <w:color w:val="auto"/>
              </w:rPr>
            </w:pPr>
          </w:p>
        </w:tc>
        <w:tc>
          <w:tcPr>
            <w:tcW w:w="34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(818)</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162"/>
        </w:trPr>
        <w:tc>
          <w:tcPr>
            <w:tcW w:w="1660" w:type="dxa"/>
            <w:vAlign w:val="bottom"/>
          </w:tcPr>
          <w:p>
            <w:pPr>
              <w:ind w:left="120"/>
              <w:spacing w:after="0" w:line="162" w:lineRule="exact"/>
              <w:rPr>
                <w:sz w:val="20"/>
                <w:szCs w:val="20"/>
                <w:color w:val="auto"/>
              </w:rPr>
            </w:pPr>
            <w:r>
              <w:rPr>
                <w:rFonts w:ascii="Arial" w:cs="Arial" w:eastAsia="Arial" w:hAnsi="Arial"/>
                <w:sz w:val="16"/>
                <w:szCs w:val="16"/>
                <w:color w:val="auto"/>
              </w:rPr>
              <w:t>redeemable senior</w:t>
            </w: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60" w:type="dxa"/>
            <w:vAlign w:val="bottom"/>
          </w:tcPr>
          <w:p>
            <w:pPr>
              <w:ind w:left="120"/>
              <w:spacing w:after="0"/>
              <w:rPr>
                <w:sz w:val="20"/>
                <w:szCs w:val="20"/>
                <w:color w:val="auto"/>
              </w:rPr>
            </w:pPr>
            <w:r>
              <w:rPr>
                <w:rFonts w:ascii="Arial" w:cs="Arial" w:eastAsia="Arial" w:hAnsi="Arial"/>
                <w:sz w:val="16"/>
                <w:szCs w:val="16"/>
                <w:color w:val="auto"/>
              </w:rPr>
              <w:t>preferred stock</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 to NCI</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66"/>
        </w:trPr>
        <w:tc>
          <w:tcPr>
            <w:tcW w:w="1660" w:type="dxa"/>
            <w:vAlign w:val="bottom"/>
          </w:tcPr>
          <w:p>
            <w:pPr>
              <w:ind w:left="120"/>
              <w:spacing w:after="0" w:line="166" w:lineRule="exact"/>
              <w:rPr>
                <w:sz w:val="20"/>
                <w:szCs w:val="20"/>
                <w:color w:val="auto"/>
              </w:rPr>
            </w:pPr>
            <w:r>
              <w:rPr>
                <w:rFonts w:ascii="Arial" w:cs="Arial" w:eastAsia="Arial" w:hAnsi="Arial"/>
                <w:sz w:val="16"/>
                <w:szCs w:val="16"/>
                <w:color w:val="auto"/>
              </w:rPr>
              <w:t>Foreign currency</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340" w:type="dxa"/>
            <w:vAlign w:val="bottom"/>
            <w:vMerge w:val="restart"/>
          </w:tcPr>
          <w:p>
            <w:pPr>
              <w:ind w:left="140"/>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25"/>
        </w:trPr>
        <w:tc>
          <w:tcPr>
            <w:tcW w:w="1660" w:type="dxa"/>
            <w:vAlign w:val="bottom"/>
            <w:vMerge w:val="restart"/>
          </w:tcPr>
          <w:p>
            <w:pPr>
              <w:ind w:left="120"/>
              <w:spacing w:after="0"/>
              <w:rPr>
                <w:sz w:val="20"/>
                <w:szCs w:val="20"/>
                <w:color w:val="auto"/>
              </w:rPr>
            </w:pPr>
            <w:r>
              <w:rPr>
                <w:rFonts w:ascii="Arial" w:cs="Arial" w:eastAsia="Arial" w:hAnsi="Arial"/>
                <w:sz w:val="16"/>
                <w:szCs w:val="16"/>
                <w:color w:val="auto"/>
                <w:w w:val="97"/>
              </w:rPr>
              <w:t>translation adjustment</w:t>
            </w: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6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07"/>
        </w:trPr>
        <w:tc>
          <w:tcPr>
            <w:tcW w:w="1660" w:type="dxa"/>
            <w:vAlign w:val="bottom"/>
          </w:tcPr>
          <w:p>
            <w:pPr>
              <w:ind w:left="20"/>
              <w:spacing w:after="0"/>
              <w:rPr>
                <w:sz w:val="20"/>
                <w:szCs w:val="20"/>
                <w:color w:val="auto"/>
              </w:rPr>
            </w:pPr>
            <w:r>
              <w:rPr>
                <w:rFonts w:ascii="Arial" w:cs="Arial" w:eastAsia="Arial" w:hAnsi="Arial"/>
                <w:sz w:val="16"/>
                <w:szCs w:val="16"/>
                <w:b w:val="1"/>
                <w:bCs w:val="1"/>
                <w:color w:val="auto"/>
              </w:rPr>
              <w:t>March 31, 2023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(12,336)</w:t>
            </w: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(102,714)</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(113,770)</w:t>
            </w: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1660" w:type="dxa"/>
            <w:vAlign w:val="bottom"/>
          </w:tcPr>
          <w:p>
            <w:pPr>
              <w:spacing w:after="0"/>
              <w:rPr>
                <w:sz w:val="24"/>
                <w:szCs w:val="24"/>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3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1"/>
              </w:rPr>
              <w:t>Treasury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5"/>
              </w:rPr>
              <w:t>Attributable</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b w:val="1"/>
                <w:bCs w:val="1"/>
                <w:color w:val="auto"/>
                <w:w w:val="91"/>
              </w:rPr>
              <w:t>Stock</w:t>
            </w:r>
          </w:p>
        </w:tc>
        <w:tc>
          <w:tcPr>
            <w:tcW w:w="340" w:type="dxa"/>
            <w:vAlign w:val="bottom"/>
          </w:tcPr>
          <w:p>
            <w:pPr>
              <w:spacing w:after="0"/>
              <w:rPr>
                <w:sz w:val="5"/>
                <w:szCs w:val="5"/>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1"/>
              </w:rPr>
              <w:t>Stock</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2"/>
                <w:szCs w:val="12"/>
                <w:color w:val="auto"/>
              </w:rPr>
            </w:pPr>
          </w:p>
        </w:tc>
        <w:tc>
          <w:tcPr>
            <w:tcW w:w="82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to</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APIC</w:t>
            </w:r>
          </w:p>
        </w:tc>
        <w:tc>
          <w:tcPr>
            <w:tcW w:w="5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AOCI</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Deficit</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NCIs</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76,740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(100,058)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(64,237)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(64,237)</w:t>
            </w:r>
          </w:p>
        </w:tc>
        <w:tc>
          <w:tcPr>
            <w:tcW w:w="0" w:type="dxa"/>
            <w:vAlign w:val="bottom"/>
          </w:tcPr>
          <w:p>
            <w:pPr>
              <w:spacing w:after="0"/>
              <w:rPr>
                <w:sz w:val="1"/>
                <w:szCs w:val="1"/>
                <w:color w:val="auto"/>
              </w:rPr>
            </w:pPr>
          </w:p>
        </w:tc>
      </w:tr>
      <w:tr>
        <w:trPr>
          <w:trHeight w:val="166"/>
        </w:trPr>
        <w:tc>
          <w:tcPr>
            <w:tcW w:w="1660" w:type="dxa"/>
            <w:vAlign w:val="bottom"/>
          </w:tcPr>
          <w:p>
            <w:pPr>
              <w:ind w:left="140"/>
              <w:spacing w:after="0" w:line="166" w:lineRule="exact"/>
              <w:rPr>
                <w:sz w:val="20"/>
                <w:szCs w:val="20"/>
                <w:color w:val="auto"/>
              </w:rPr>
            </w:pPr>
            <w:r>
              <w:rPr>
                <w:rFonts w:ascii="Arial" w:cs="Arial" w:eastAsia="Arial" w:hAnsi="Arial"/>
                <w:sz w:val="16"/>
                <w:szCs w:val="16"/>
                <w:color w:val="auto"/>
              </w:rPr>
              <w:t>Equity-classified</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1,558</w:t>
            </w:r>
          </w:p>
        </w:tc>
        <w:tc>
          <w:tcPr>
            <w:tcW w:w="240" w:type="dxa"/>
            <w:vAlign w:val="bottom"/>
          </w:tcPr>
          <w:p>
            <w:pPr>
              <w:spacing w:after="0"/>
              <w:rPr>
                <w:sz w:val="14"/>
                <w:szCs w:val="14"/>
                <w:color w:val="auto"/>
              </w:rPr>
            </w:pPr>
          </w:p>
        </w:tc>
        <w:tc>
          <w:tcPr>
            <w:tcW w:w="34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1,558</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162"/>
        </w:trPr>
        <w:tc>
          <w:tcPr>
            <w:tcW w:w="1660" w:type="dxa"/>
            <w:vAlign w:val="bottom"/>
          </w:tcPr>
          <w:p>
            <w:pPr>
              <w:ind w:left="140"/>
              <w:spacing w:after="0" w:line="162" w:lineRule="exact"/>
              <w:rPr>
                <w:sz w:val="20"/>
                <w:szCs w:val="20"/>
                <w:color w:val="auto"/>
              </w:rPr>
            </w:pPr>
            <w:r>
              <w:rPr>
                <w:rFonts w:ascii="Arial" w:cs="Arial" w:eastAsia="Arial" w:hAnsi="Arial"/>
                <w:sz w:val="16"/>
                <w:szCs w:val="16"/>
                <w:color w:val="auto"/>
              </w:rPr>
              <w:t>stock-based</w:t>
            </w: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6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Vesting of stock-based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5"/>
        </w:trPr>
        <w:tc>
          <w:tcPr>
            <w:tcW w:w="16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66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660" w:type="dxa"/>
            <w:vAlign w:val="bottom"/>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660" w:type="dxa"/>
            <w:vAlign w:val="bottom"/>
          </w:tcPr>
          <w:p>
            <w:pPr>
              <w:ind w:left="140"/>
              <w:spacing w:after="0" w:line="166" w:lineRule="exact"/>
              <w:rPr>
                <w:sz w:val="20"/>
                <w:szCs w:val="20"/>
                <w:color w:val="auto"/>
              </w:rPr>
            </w:pPr>
            <w:r>
              <w:rPr>
                <w:rFonts w:ascii="Arial" w:cs="Arial" w:eastAsia="Arial" w:hAnsi="Arial"/>
                <w:sz w:val="16"/>
                <w:szCs w:val="16"/>
                <w:color w:val="auto"/>
                <w:w w:val="90"/>
              </w:rPr>
              <w:t>Share repurchases and</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4"/>
                <w:szCs w:val="14"/>
                <w:color w:val="auto"/>
              </w:rPr>
            </w:pPr>
          </w:p>
        </w:tc>
        <w:tc>
          <w:tcPr>
            <w:tcW w:w="34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(157)</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62"/>
        </w:trPr>
        <w:tc>
          <w:tcPr>
            <w:tcW w:w="1660" w:type="dxa"/>
            <w:vAlign w:val="bottom"/>
          </w:tcPr>
          <w:p>
            <w:pPr>
              <w:ind w:left="140"/>
              <w:spacing w:after="0" w:line="162" w:lineRule="exact"/>
              <w:rPr>
                <w:sz w:val="20"/>
                <w:szCs w:val="20"/>
                <w:color w:val="auto"/>
              </w:rPr>
            </w:pPr>
            <w:r>
              <w:rPr>
                <w:rFonts w:ascii="Arial" w:cs="Arial" w:eastAsia="Arial" w:hAnsi="Arial"/>
                <w:sz w:val="16"/>
                <w:szCs w:val="16"/>
                <w:color w:val="auto"/>
              </w:rPr>
              <w:t>shares withheld for</w:t>
            </w: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60" w:type="dxa"/>
            <w:vAlign w:val="bottom"/>
          </w:tcPr>
          <w:p>
            <w:pPr>
              <w:ind w:left="140"/>
              <w:spacing w:after="0"/>
              <w:rPr>
                <w:sz w:val="20"/>
                <w:szCs w:val="20"/>
                <w:color w:val="auto"/>
              </w:rPr>
            </w:pPr>
            <w:r>
              <w:rPr>
                <w:rFonts w:ascii="Arial" w:cs="Arial" w:eastAsia="Arial" w:hAnsi="Arial"/>
                <w:sz w:val="16"/>
                <w:szCs w:val="16"/>
                <w:color w:val="auto"/>
              </w:rPr>
              <w:t>taxes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Dividends on</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(7,595)</w:t>
            </w:r>
          </w:p>
        </w:tc>
        <w:tc>
          <w:tcPr>
            <w:tcW w:w="2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(7,595)</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(7,595)</w:t>
            </w: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redeemable senior</w:t>
            </w: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60" w:type="dxa"/>
            <w:vAlign w:val="bottom"/>
          </w:tcPr>
          <w:p>
            <w:pPr>
              <w:ind w:left="140"/>
              <w:spacing w:after="0" w:line="166" w:lineRule="exact"/>
              <w:rPr>
                <w:sz w:val="20"/>
                <w:szCs w:val="20"/>
                <w:color w:val="auto"/>
              </w:rPr>
            </w:pPr>
            <w:r>
              <w:rPr>
                <w:rFonts w:ascii="Arial" w:cs="Arial" w:eastAsia="Arial" w:hAnsi="Arial"/>
                <w:sz w:val="16"/>
                <w:szCs w:val="16"/>
                <w:color w:val="auto"/>
              </w:rPr>
              <w:t>Accretion of</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(805)</w:t>
            </w:r>
          </w:p>
        </w:tc>
        <w:tc>
          <w:tcPr>
            <w:tcW w:w="240" w:type="dxa"/>
            <w:vAlign w:val="bottom"/>
          </w:tcPr>
          <w:p>
            <w:pPr>
              <w:spacing w:after="0"/>
              <w:rPr>
                <w:sz w:val="14"/>
                <w:szCs w:val="14"/>
                <w:color w:val="auto"/>
              </w:rPr>
            </w:pPr>
          </w:p>
        </w:tc>
        <w:tc>
          <w:tcPr>
            <w:tcW w:w="34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(805)</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162"/>
        </w:trPr>
        <w:tc>
          <w:tcPr>
            <w:tcW w:w="1660" w:type="dxa"/>
            <w:vAlign w:val="bottom"/>
          </w:tcPr>
          <w:p>
            <w:pPr>
              <w:ind w:left="140"/>
              <w:spacing w:after="0" w:line="162" w:lineRule="exact"/>
              <w:rPr>
                <w:sz w:val="20"/>
                <w:szCs w:val="20"/>
                <w:color w:val="auto"/>
              </w:rPr>
            </w:pPr>
            <w:r>
              <w:rPr>
                <w:rFonts w:ascii="Arial" w:cs="Arial" w:eastAsia="Arial" w:hAnsi="Arial"/>
                <w:sz w:val="16"/>
                <w:szCs w:val="16"/>
                <w:color w:val="auto"/>
              </w:rPr>
              <w:t>redeemable senior</w:t>
            </w: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60" w:type="dxa"/>
            <w:vAlign w:val="bottom"/>
          </w:tcPr>
          <w:p>
            <w:pPr>
              <w:ind w:left="140"/>
              <w:spacing w:after="0"/>
              <w:rPr>
                <w:sz w:val="20"/>
                <w:szCs w:val="20"/>
                <w:color w:val="auto"/>
              </w:rPr>
            </w:pPr>
            <w:r>
              <w:rPr>
                <w:rFonts w:ascii="Arial" w:cs="Arial" w:eastAsia="Arial" w:hAnsi="Arial"/>
                <w:sz w:val="16"/>
                <w:szCs w:val="16"/>
                <w:color w:val="auto"/>
              </w:rPr>
              <w:t>preferred stock</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6"/>
        </w:trPr>
        <w:tc>
          <w:tcPr>
            <w:tcW w:w="1660" w:type="dxa"/>
            <w:vAlign w:val="bottom"/>
          </w:tcPr>
          <w:p>
            <w:pPr>
              <w:ind w:left="20"/>
              <w:spacing w:after="0"/>
              <w:rPr>
                <w:sz w:val="20"/>
                <w:szCs w:val="20"/>
                <w:color w:val="auto"/>
              </w:rPr>
            </w:pPr>
            <w:r>
              <w:rPr>
                <w:rFonts w:ascii="Arial" w:cs="Arial" w:eastAsia="Arial" w:hAnsi="Arial"/>
                <w:sz w:val="16"/>
                <w:szCs w:val="16"/>
                <w:b w:val="1"/>
                <w:bCs w:val="1"/>
                <w:color w:val="auto"/>
              </w:rPr>
              <w:t>March 31, 2022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(4,248)</w:t>
            </w: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32,992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(71,569)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(71,569)</w:t>
            </w:r>
          </w:p>
        </w:tc>
        <w:tc>
          <w:tcPr>
            <w:tcW w:w="0" w:type="dxa"/>
            <w:vAlign w:val="bottom"/>
          </w:tcPr>
          <w:p>
            <w:pPr>
              <w:spacing w:after="0"/>
              <w:rPr>
                <w:sz w:val="1"/>
                <w:szCs w:val="1"/>
                <w:color w:val="auto"/>
              </w:rPr>
            </w:pPr>
          </w:p>
        </w:tc>
      </w:tr>
      <w:tr>
        <w:trPr>
          <w:trHeight w:val="24"/>
        </w:trPr>
        <w:tc>
          <w:tcPr>
            <w:tcW w:w="1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Notes to Unaudited Consolidated Financial Statements</w:t>
      </w:r>
    </w:p>
    <w:p>
      <w:pPr>
        <w:sectPr>
          <w:pgSz w:w="11900" w:h="16838" w:orient="portrait"/>
          <w:cols w:equalWidth="0" w:num="1">
            <w:col w:w="10139"/>
          </w:cols>
          <w:pgMar w:left="320" w:top="125" w:right="1440"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014"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10"/>
        </w:trPr>
        <w:tc>
          <w:tcPr>
            <w:tcW w:w="78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18"/>
                <w:szCs w:val="18"/>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(506)</w:t>
            </w:r>
          </w:p>
        </w:tc>
        <w:tc>
          <w:tcPr>
            <w:tcW w:w="116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Depreciation and amortization of assets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18,048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17,353</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Amortization of debt issuance costs and discounts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Change in contingent consideration</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non-cash items, net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(14,440)</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taxes (receivable) payable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Notes receivable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and other accrued liabilities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5,316</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Customer deposits and advance payments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assets and liabilities, net</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r>
      <w:tr>
        <w:trPr>
          <w:trHeight w:val="207"/>
        </w:trPr>
        <w:tc>
          <w:tcPr>
            <w:tcW w:w="7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27,677</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9,613</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Additions to property, equipment and software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(5,046)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(2,370)</w:t>
            </w: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Notes receivable, net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213"/>
        </w:trPr>
        <w:tc>
          <w:tcPr>
            <w:tcW w:w="7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Acquisitions of assets and other investing activities</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r>
      <w:tr>
        <w:trPr>
          <w:trHeight w:val="213"/>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(7,583)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(5,711)</w:t>
            </w:r>
          </w:p>
        </w:tc>
      </w:tr>
      <w:tr>
        <w:trPr>
          <w:trHeight w:val="193"/>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long-term debt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Repayments of borrowings under revolving credit facility</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withheld for taxes on vested stock-based compensation</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Dividends paid to redeemable senior preferred stockholders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(11,435)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(3,505)</w:t>
            </w: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Settlement and customer/subscriber accounts obligations, net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12,749</w:t>
            </w:r>
          </w:p>
        </w:tc>
      </w:tr>
      <w:tr>
        <w:trPr>
          <w:trHeight w:val="213"/>
        </w:trPr>
        <w:tc>
          <w:tcPr>
            <w:tcW w:w="7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Payment of contingent consideration related to business combination</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57,537</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2,538</w:t>
            </w:r>
          </w:p>
        </w:tc>
      </w:tr>
      <w:tr>
        <w:trPr>
          <w:trHeight w:val="193"/>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 and restricted cash:</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increase in cash and cash equivalents, and restricted cash</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6,440</w:t>
            </w:r>
          </w:p>
        </w:tc>
      </w:tr>
      <w:tr>
        <w:trPr>
          <w:trHeight w:val="216"/>
        </w:trPr>
        <w:tc>
          <w:tcPr>
            <w:tcW w:w="7800" w:type="dxa"/>
            <w:vAlign w:val="bottom"/>
          </w:tcPr>
          <w:p>
            <w:pPr>
              <w:ind w:left="1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560,610</w:t>
            </w: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518,093</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equivalents at end of period</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638,241</w:t>
            </w:r>
          </w:p>
        </w:tc>
        <w:tc>
          <w:tcPr>
            <w:tcW w:w="1160" w:type="dxa"/>
            <w:vAlign w:val="bottom"/>
            <w:gridSpan w:val="2"/>
            <w:shd w:val="clear" w:color="auto" w:fill="CCEEFF"/>
          </w:tcPr>
          <w:p>
            <w:pPr>
              <w:jc w:val="right"/>
              <w:ind w:right="96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524,533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2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w w:val="93"/>
              </w:rPr>
              <w:t>Three Months Ended March 31,</w:t>
            </w:r>
          </w:p>
        </w:tc>
        <w:tc>
          <w:tcPr>
            <w:tcW w:w="580" w:type="dxa"/>
            <w:vAlign w:val="bottom"/>
            <w:tcBorders>
              <w:bottom w:val="single" w:sz="8" w:color="auto"/>
            </w:tcBorders>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ind w:left="660"/>
              <w:spacing w:after="0"/>
              <w:rPr>
                <w:sz w:val="20"/>
                <w:szCs w:val="20"/>
                <w:color w:val="auto"/>
              </w:rPr>
            </w:pPr>
            <w:r>
              <w:rPr>
                <w:rFonts w:ascii="Arial" w:cs="Arial" w:eastAsia="Arial" w:hAnsi="Arial"/>
                <w:sz w:val="16"/>
                <w:szCs w:val="16"/>
                <w:b w:val="1"/>
                <w:bCs w:val="1"/>
                <w:color w:val="auto"/>
                <w:w w:val="95"/>
              </w:rPr>
              <w:t>2023</w:t>
            </w:r>
          </w:p>
        </w:tc>
        <w:tc>
          <w:tcPr>
            <w:tcW w:w="6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18"/>
                <w:szCs w:val="18"/>
                <w:color w:val="auto"/>
              </w:rPr>
            </w:pPr>
          </w:p>
        </w:tc>
      </w:tr>
      <w:tr>
        <w:trPr>
          <w:trHeight w:val="212"/>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3"/>
        </w:trPr>
        <w:tc>
          <w:tcPr>
            <w:tcW w:w="7800" w:type="dxa"/>
            <w:vAlign w:val="bottom"/>
            <w:gridSpan w:val="3"/>
          </w:tcPr>
          <w:p>
            <w:pPr>
              <w:ind w:left="12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15,882</w:t>
            </w:r>
          </w:p>
        </w:tc>
        <w:tc>
          <w:tcPr>
            <w:tcW w:w="11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13,557</w:t>
            </w:r>
          </w:p>
        </w:tc>
      </w:tr>
      <w:tr>
        <w:trPr>
          <w:trHeight w:val="219"/>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13,588</w:t>
            </w:r>
          </w:p>
        </w:tc>
      </w:tr>
      <w:tr>
        <w:trPr>
          <w:trHeight w:val="176"/>
        </w:trPr>
        <w:tc>
          <w:tcPr>
            <w:tcW w:w="7800" w:type="dxa"/>
            <w:vAlign w:val="bottom"/>
            <w:gridSpan w:val="3"/>
          </w:tcPr>
          <w:p>
            <w:pPr>
              <w:ind w:left="120"/>
              <w:spacing w:after="0" w:line="175" w:lineRule="exact"/>
              <w:rPr>
                <w:sz w:val="20"/>
                <w:szCs w:val="20"/>
                <w:color w:val="auto"/>
              </w:rPr>
            </w:pPr>
            <w:r>
              <w:rPr>
                <w:rFonts w:ascii="Arial" w:cs="Arial" w:eastAsia="Arial" w:hAnsi="Arial"/>
                <w:sz w:val="16"/>
                <w:szCs w:val="16"/>
                <w:color w:val="auto"/>
                <w:w w:val="95"/>
              </w:rPr>
              <w:t xml:space="preserve">Cash and cash equivalents included in settlement assets and customer/subscriber account balances (see </w:t>
            </w:r>
            <w:r>
              <w:rPr>
                <w:rFonts w:ascii="Arial" w:cs="Arial" w:eastAsia="Arial" w:hAnsi="Arial"/>
                <w:sz w:val="16"/>
                <w:szCs w:val="16"/>
                <w:color w:val="0000FF"/>
                <w:w w:val="95"/>
              </w:rPr>
              <w:t>Note 4</w:t>
            </w:r>
            <w:r>
              <w:rPr>
                <w:rFonts w:ascii="Arial" w:cs="Arial" w:eastAsia="Arial" w:hAnsi="Arial"/>
                <w:sz w:val="16"/>
                <w:szCs w:val="16"/>
                <w:color w:val="auto"/>
                <w:w w:val="95"/>
              </w:rPr>
              <w:t>)</w:t>
            </w:r>
          </w:p>
        </w:tc>
        <w:tc>
          <w:tcPr>
            <w:tcW w:w="10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w w:val="93"/>
              </w:rPr>
              <w:t>611,347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w w:val="86"/>
              </w:rPr>
              <w:t>497,388</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0000FF"/>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35"/>
        </w:trPr>
        <w:tc>
          <w:tcPr>
            <w:tcW w:w="78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b w:val="1"/>
                <w:bCs w:val="1"/>
                <w:color w:val="auto"/>
              </w:rPr>
              <w:t>Total cash and cash equivalents, and restricted cash</w:t>
            </w: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638,241</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524,533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6"/>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3"/>
        </w:trPr>
        <w:tc>
          <w:tcPr>
            <w:tcW w:w="7800" w:type="dxa"/>
            <w:vAlign w:val="bottom"/>
            <w:gridSpan w:val="3"/>
          </w:tcPr>
          <w:p>
            <w:pPr>
              <w:ind w:left="120"/>
              <w:spacing w:after="0"/>
              <w:rPr>
                <w:sz w:val="20"/>
                <w:szCs w:val="20"/>
                <w:color w:val="auto"/>
              </w:rPr>
            </w:pPr>
            <w:r>
              <w:rPr>
                <w:rFonts w:ascii="Arial" w:cs="Arial" w:eastAsia="Arial" w:hAnsi="Arial"/>
                <w:sz w:val="16"/>
                <w:szCs w:val="16"/>
                <w:color w:val="auto"/>
              </w:rPr>
              <w:t>Cash paid for interest</w:t>
            </w:r>
          </w:p>
        </w:tc>
        <w:tc>
          <w:tcPr>
            <w:tcW w:w="102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16,330</w:t>
            </w:r>
          </w:p>
        </w:tc>
        <w:tc>
          <w:tcPr>
            <w:tcW w:w="11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10,613</w:t>
            </w:r>
          </w:p>
        </w:tc>
      </w:tr>
      <w:tr>
        <w:trPr>
          <w:trHeight w:val="219"/>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800" w:type="dxa"/>
            <w:vAlign w:val="bottom"/>
            <w:gridSpan w:val="3"/>
          </w:tcPr>
          <w:p>
            <w:pPr>
              <w:ind w:left="120"/>
              <w:spacing w:after="0"/>
              <w:rPr>
                <w:sz w:val="20"/>
                <w:szCs w:val="20"/>
                <w:color w:val="auto"/>
              </w:rPr>
            </w:pPr>
            <w:r>
              <w:rPr>
                <w:rFonts w:ascii="Arial" w:cs="Arial" w:eastAsia="Arial" w:hAnsi="Arial"/>
                <w:sz w:val="16"/>
                <w:szCs w:val="16"/>
                <w:color w:val="auto"/>
              </w:rPr>
              <w:t>Adjustment to value of profit interest units</w:t>
            </w: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596</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Acquisition of intangible asset</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Consolidation and Presentation</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Priority Technology Holdings, Inc. and its consolidated subsidiaries are referred to herein collectively as "Priority," "PRTH," the "Company," "we," "our" or "us," unless the context requires otherwise. Priority is a provider of merchant acquiring, integrated payment software, money transmission services and commercial payments solutions.</w:t>
      </w:r>
    </w:p>
    <w:p>
      <w:pPr>
        <w:spacing w:after="0" w:line="184"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2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w:t>
      </w:r>
    </w:p>
    <w:p>
      <w:pPr>
        <w:spacing w:after="0" w:line="2" w:lineRule="exact"/>
        <w:rPr>
          <w:sz w:val="20"/>
          <w:szCs w:val="20"/>
          <w:color w:val="auto"/>
        </w:rPr>
      </w:pPr>
    </w:p>
    <w:p>
      <w:pPr>
        <w:ind w:right="1000"/>
        <w:spacing w:after="0" w:line="260" w:lineRule="auto"/>
        <w:rPr>
          <w:sz w:val="20"/>
          <w:szCs w:val="20"/>
          <w:color w:val="auto"/>
        </w:rPr>
      </w:pPr>
      <w:r>
        <w:rPr>
          <w:rFonts w:ascii="Arial" w:cs="Arial" w:eastAsia="Arial" w:hAnsi="Arial"/>
          <w:sz w:val="18"/>
          <w:szCs w:val="18"/>
          <w:color w:val="auto"/>
        </w:rPr>
        <w:t>of December 31, 2022 was derived from the audited financial statements included in the Company's Annual Report on Form 10-K for the year ended December 31, 2022 but does not include all disclosures required by GAAP for annual financial statements.</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NCI represents the equity interest in certain consolidated entities in which the Company owns less than 100% of the profit interests. Changes in the Company's ownership interest while the Company retains its controlling interest are accounted for as equity transactions. As of March 31, 2023, there was no income or loss attributable to NCI in accordance with the applicable operating agreements.</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1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Accounts receivables include dues from the Company's sponsor banks (for revenues earned, net of related interchange and processing fees, and do not bear interest), agents, merchants and other customers, stated net of allowance for current expected credit losses for any uncollectible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1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Company's reporting currency is the U.S. dollar. The functional currency of the Indian subsidiary of the Company is Indian Rupee (i.e. local currency of Republic of India). Accordingly, assets and liabilities denominated in a foreign currency are translated into U.S. dollars at the 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("ASU 2016-13"). This new guidance changes how entities account for credit impairment for trade and other receivables, as well as for certain financial assets and other instruments. ASU 2016-13 replaces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Company adopted ASU 2016-13 effective January 1, 2023 using the modified-retrospective approach. The implementation of ASU 2016-13 did not have a material impact on the Company's unaudited consolidated financial condition and results of operations. Additionally, the Company modified its accounting policy to conform with the requirements of the adoption of this standard.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Pending Adoption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Facilitation of the Effects of Reference Rate Reform on Financial Reporting</w:t>
      </w:r>
      <w:r>
        <w:rPr>
          <w:rFonts w:ascii="Arial" w:cs="Arial" w:eastAsia="Arial" w:hAnsi="Arial"/>
          <w:sz w:val="16"/>
          <w:szCs w:val="16"/>
          <w:color w:val="auto"/>
        </w:rPr>
        <w:t xml:space="preserve">, which provides temporary optional expedients and exceptions to the GAAP guidance on contract modifications and hedge accounting to ease the financial reporting burdens of the expected market transition from the LIBOR and other interbank offered rates to alternative reference rates, such as the SOFR. If certain criteria are met, entities can elect not to apply certain modification accounting requirements to contracts affected by what the guidance calls reference rate reform. An entity that makes this election would not have to remeasure the contract at the modification date or reassess a previous accounting determination. In January 2021, the FASB issued </w:t>
      </w:r>
      <w:r>
        <w:rPr>
          <w:rFonts w:ascii="Arial" w:cs="Arial" w:eastAsia="Arial" w:hAnsi="Arial"/>
          <w:sz w:val="16"/>
          <w:szCs w:val="16"/>
          <w:i w:val="1"/>
          <w:iCs w:val="1"/>
          <w:color w:val="auto"/>
        </w:rPr>
        <w:t>ASU 2021-01, Reference Rate Reform (Topic 848), Scope</w:t>
      </w:r>
      <w:r>
        <w:rPr>
          <w:rFonts w:ascii="Arial" w:cs="Arial" w:eastAsia="Arial" w:hAnsi="Arial"/>
          <w:sz w:val="16"/>
          <w:szCs w:val="16"/>
          <w:color w:val="auto"/>
        </w:rPr>
        <w:t xml:space="preserve"> ASU 2021-01, which clarifies that certain optional expedients and exceptions in Topic 848 for contract modifications and hedge accounting apply to derivatives that are affected by the discounting transition. ASU 2022-06, </w:t>
      </w:r>
      <w:r>
        <w:rPr>
          <w:rFonts w:ascii="Arial" w:cs="Arial" w:eastAsia="Arial" w:hAnsi="Arial"/>
          <w:sz w:val="16"/>
          <w:szCs w:val="16"/>
          <w:i w:val="1"/>
          <w:iCs w:val="1"/>
          <w:color w:val="auto"/>
        </w:rPr>
        <w:t xml:space="preserve">Reference Rate Reform (Topic 848): Deferral of the Sunset Date of Topic 848, </w:t>
      </w:r>
      <w:r>
        <w:rPr>
          <w:rFonts w:ascii="Arial" w:cs="Arial" w:eastAsia="Arial" w:hAnsi="Arial"/>
          <w:sz w:val="16"/>
          <w:szCs w:val="16"/>
          <w:color w:val="auto"/>
        </w:rPr>
        <w:t>amended ASU 2020-04, deferring the sunset date of Topic 848 to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2024. The Company will adopt Topic 848 when relevant contracts are modified upon transition to alternative reference rates. The Company does not expect the adoption of Topic 848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9900" w:firstLine="8"/>
        <w:spacing w:after="0" w:line="566" w:lineRule="auto"/>
        <w:tabs>
          <w:tab w:leader="none" w:pos="31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Ovvi Acquisition</w:t>
      </w:r>
    </w:p>
    <w:p>
      <w:pPr>
        <w:ind w:right="20"/>
        <w:spacing w:after="0" w:line="270" w:lineRule="auto"/>
        <w:rPr>
          <w:sz w:val="20"/>
          <w:szCs w:val="20"/>
          <w:color w:val="auto"/>
        </w:rPr>
      </w:pPr>
      <w:r>
        <w:rPr>
          <w:rFonts w:ascii="Arial" w:cs="Arial" w:eastAsia="Arial" w:hAnsi="Arial"/>
          <w:sz w:val="17"/>
          <w:szCs w:val="17"/>
          <w:color w:val="auto"/>
        </w:rPr>
        <w:t>On November 18, 2022, the Company completed its acquisition of certain assets and assumption of a certain liability of Ovvi, LLC, under an asset purchase agreement through its wholly-owned subsidiary, Priority Ovvi, LLC ("Ovvi"). The acquisition was accounted for as a business combination using the acquisition method of accounting. Prior to this acquisition, the business operated as a SaaS proprietary platform for the restaurant, hospitality and retail industries by providing complete all-in-one point of sale software and hardware systems, comprehensive ancillary services including fraud detection and mitigation, and processing services for various types of cards including credit cards, debit cards, private label cards and prepaid cards. This business is reported within the Company's SMB Payments reportable segment. Transaction costs were not material and were expensed. The non-voting incentive shares issued to the seller will be evaluated at each reporting period to determine whether or not profit or loss should be allocated based on the subsidiary's operating agreement. The preliminary purchase price allocation is set forth in the table below and is expected to be finalized as soon as practicable,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Consideration:</w:t>
      </w:r>
    </w:p>
    <w:tbl>
      <w:tblPr>
        <w:tblLayout w:type="fixed"/>
        <w:tblInd w:w="0" w:type="dxa"/>
        <w:tblCellMar>
          <w:top w:w="0" w:type="dxa"/>
          <w:left w:w="0" w:type="dxa"/>
          <w:bottom w:w="0" w:type="dxa"/>
          <w:right w:w="0" w:type="dxa"/>
        </w:tblCellMar>
      </w:tblPr>
      <w:tr>
        <w:trPr>
          <w:trHeight w:val="252"/>
        </w:trPr>
        <w:tc>
          <w:tcPr>
            <w:tcW w:w="9000" w:type="dxa"/>
            <w:vAlign w:val="bottom"/>
          </w:tcPr>
          <w:p>
            <w:pPr>
              <w:ind w:left="20"/>
              <w:spacing w:after="0" w:line="252" w:lineRule="exact"/>
              <w:rPr>
                <w:sz w:val="20"/>
                <w:szCs w:val="20"/>
                <w:color w:val="auto"/>
              </w:rPr>
            </w:pPr>
            <w:r>
              <w:rPr>
                <w:rFonts w:ascii="Arial" w:cs="Arial" w:eastAsia="Arial" w:hAnsi="Arial"/>
                <w:sz w:val="18"/>
                <w:szCs w:val="18"/>
                <w:color w:val="auto"/>
              </w:rPr>
              <w:t>Cash</w:t>
            </w:r>
            <w:r>
              <w:rPr>
                <w:rFonts w:ascii="Arial" w:cs="Arial" w:eastAsia="Arial" w:hAnsi="Arial"/>
                <w:sz w:val="23"/>
                <w:szCs w:val="23"/>
                <w:color w:val="auto"/>
                <w:vertAlign w:val="superscript"/>
              </w:rPr>
              <w:t>(1)</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r>
      <w:tr>
        <w:trPr>
          <w:trHeight w:val="23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purchase consideration</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5,026</w:t>
            </w:r>
          </w:p>
        </w:tc>
      </w:tr>
      <w:tr>
        <w:trPr>
          <w:trHeight w:val="230"/>
        </w:trPr>
        <w:tc>
          <w:tcPr>
            <w:tcW w:w="9000" w:type="dxa"/>
            <w:vAlign w:val="bottom"/>
          </w:tcPr>
          <w:p>
            <w:pPr>
              <w:ind w:left="20"/>
              <w:spacing w:after="0" w:line="230" w:lineRule="exact"/>
              <w:rPr>
                <w:sz w:val="20"/>
                <w:szCs w:val="20"/>
                <w:color w:val="auto"/>
              </w:rPr>
            </w:pPr>
            <w:r>
              <w:rPr>
                <w:rFonts w:ascii="Arial" w:cs="Arial" w:eastAsia="Arial" w:hAnsi="Arial"/>
                <w:sz w:val="18"/>
                <w:szCs w:val="18"/>
                <w:color w:val="auto"/>
              </w:rPr>
              <w:t>Fair value of class B shares issued in Ovvi</w:t>
            </w:r>
            <w:r>
              <w:rPr>
                <w:rFonts w:ascii="Arial" w:cs="Arial" w:eastAsia="Arial" w:hAnsi="Arial"/>
                <w:sz w:val="23"/>
                <w:szCs w:val="23"/>
                <w:color w:val="auto"/>
                <w:vertAlign w:val="superscript"/>
              </w:rPr>
              <w:t>(3)</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r>
      <w:tr>
        <w:trPr>
          <w:trHeight w:val="248"/>
        </w:trPr>
        <w:tc>
          <w:tcPr>
            <w:tcW w:w="90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Total enterprise value of business acquired</w:t>
            </w:r>
            <w:r>
              <w:rPr>
                <w:rFonts w:ascii="Arial" w:cs="Arial" w:eastAsia="Arial" w:hAnsi="Arial"/>
                <w:sz w:val="23"/>
                <w:szCs w:val="23"/>
                <w:b w:val="1"/>
                <w:bCs w:val="1"/>
                <w:color w:val="auto"/>
                <w:vertAlign w:val="superscript"/>
              </w:rPr>
              <w:t>(3)</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Recognized amounts of assets acquired and liabilities assumed:</w:t>
            </w: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7"/>
        </w:trPr>
        <w:tc>
          <w:tcPr>
            <w:tcW w:w="900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6"/>
        </w:trPr>
        <w:tc>
          <w:tcPr>
            <w:tcW w:w="900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(3)</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r>
      <w:tr>
        <w:trPr>
          <w:trHeight w:val="230"/>
        </w:trPr>
        <w:tc>
          <w:tcPr>
            <w:tcW w:w="9000" w:type="dxa"/>
            <w:vAlign w:val="bottom"/>
          </w:tcPr>
          <w:p>
            <w:pPr>
              <w:ind w:left="20"/>
              <w:spacing w:after="0" w:line="230" w:lineRule="exact"/>
              <w:rPr>
                <w:sz w:val="20"/>
                <w:szCs w:val="20"/>
                <w:color w:val="auto"/>
              </w:rPr>
            </w:pPr>
            <w:r>
              <w:rPr>
                <w:rFonts w:ascii="Arial" w:cs="Arial" w:eastAsia="Arial" w:hAnsi="Arial"/>
                <w:sz w:val="18"/>
                <w:szCs w:val="18"/>
                <w:color w:val="auto"/>
              </w:rPr>
              <w:t>Intangible assets</w:t>
            </w:r>
            <w:r>
              <w:rPr>
                <w:rFonts w:ascii="Arial" w:cs="Arial" w:eastAsia="Arial" w:hAnsi="Arial"/>
                <w:sz w:val="23"/>
                <w:szCs w:val="23"/>
                <w:color w:val="auto"/>
                <w:vertAlign w:val="superscript"/>
              </w:rPr>
              <w:t>(2)</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4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w:t>
            </w: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Other non-current liability</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48"/>
        </w:trPr>
        <w:tc>
          <w:tcPr>
            <w:tcW w:w="90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Total enterprise value of business acquired</w:t>
            </w:r>
            <w:r>
              <w:rPr>
                <w:rFonts w:ascii="Arial" w:cs="Arial" w:eastAsia="Arial" w:hAnsi="Arial"/>
                <w:sz w:val="23"/>
                <w:szCs w:val="23"/>
                <w:b w:val="1"/>
                <w:bCs w:val="1"/>
                <w:color w:val="auto"/>
                <w:vertAlign w:val="superscript"/>
              </w:rPr>
              <w:t>(3)</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9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Includes $50,000 withheld for inventory acquired which was subsequently released in March 2023.</w:t>
      </w:r>
    </w:p>
    <w:p>
      <w:pPr>
        <w:spacing w:after="0" w:line="1" w:lineRule="exact"/>
        <w:rPr>
          <w:rFonts w:ascii="Arial" w:cs="Arial" w:eastAsia="Arial" w:hAnsi="Arial"/>
          <w:sz w:val="23"/>
          <w:szCs w:val="23"/>
          <w:color w:val="auto"/>
          <w:vertAlign w:val="superscript"/>
        </w:rPr>
      </w:pPr>
    </w:p>
    <w:p>
      <w:pPr>
        <w:ind w:left="660" w:hanging="328"/>
        <w:spacing w:after="0" w:line="183" w:lineRule="auto"/>
        <w:tabs>
          <w:tab w:leader="none" w:pos="6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The intangible assets consist of $1.3 million for technology, $0.4 million for customer relationships and $0.3 million for trade names.</w:t>
      </w:r>
    </w:p>
    <w:p>
      <w:pPr>
        <w:ind w:left="660" w:right="220" w:hanging="328"/>
        <w:spacing w:after="0" w:line="235" w:lineRule="auto"/>
        <w:tabs>
          <w:tab w:leader="none" w:pos="66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During the three months ended March 31, 2023, the Company recorded measurement period adjustments due to additional information received related to the valuation of the Class B shares. This measurement period adjustment resulted in a decrease of $0.6 million in goodwill and NCI.</w:t>
      </w:r>
    </w:p>
    <w:p>
      <w:pPr>
        <w:spacing w:after="0"/>
        <w:rPr>
          <w:sz w:val="20"/>
          <w:szCs w:val="20"/>
          <w:color w:val="auto"/>
        </w:rPr>
      </w:pPr>
      <w:r>
        <w:rPr>
          <w:rFonts w:ascii="Arial" w:cs="Arial" w:eastAsia="Arial" w:hAnsi="Arial"/>
          <w:sz w:val="18"/>
          <w:szCs w:val="18"/>
          <w:u w:val="single" w:color="auto"/>
          <w:color w:val="auto"/>
        </w:rPr>
        <w:t>Other Acquisition</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also completed another acquisition during 2022 for approximately $1.2 million, which was not material. The acquisition did not meet the definition of a business, therefore it was accounted for as an asset acquisition under which the cost of acquisition was allocated to the technology asset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disaggregation of our consolidated revenues by type for the three months ended March 31, 2023 and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Type:</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7640" w:type="dxa"/>
            <w:vAlign w:val="bottom"/>
          </w:tcPr>
          <w:p>
            <w:pPr>
              <w:ind w:left="220"/>
              <w:spacing w:after="0"/>
              <w:rPr>
                <w:sz w:val="20"/>
                <w:szCs w:val="20"/>
                <w:color w:val="auto"/>
              </w:rPr>
            </w:pPr>
            <w:r>
              <w:rPr>
                <w:rFonts w:ascii="Arial" w:cs="Arial" w:eastAsia="Arial" w:hAnsi="Arial"/>
                <w:sz w:val="18"/>
                <w:szCs w:val="18"/>
                <w:color w:val="auto"/>
              </w:rPr>
              <w:t>Merchant card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149,644</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127,952</w:t>
            </w:r>
          </w:p>
        </w:tc>
      </w:tr>
      <w:tr>
        <w:trPr>
          <w:trHeight w:val="23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transmission services</w:t>
            </w: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16,283</w:t>
            </w: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Outsourced services and other services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7,097</w:t>
            </w:r>
          </w:p>
        </w:tc>
      </w:tr>
      <w:tr>
        <w:trPr>
          <w:trHeight w:val="243"/>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23"/>
        </w:trPr>
        <w:tc>
          <w:tcPr>
            <w:tcW w:w="76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Total revenues</w:t>
            </w:r>
            <w:r>
              <w:rPr>
                <w:rFonts w:ascii="Arial" w:cs="Arial" w:eastAsia="Arial" w:hAnsi="Arial"/>
                <w:sz w:val="23"/>
                <w:szCs w:val="23"/>
                <w:color w:val="auto"/>
                <w:vertAlign w:val="superscript"/>
              </w:rPr>
              <w:t>(1),(2)</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153,239</w:t>
            </w:r>
          </w:p>
        </w:tc>
      </w:tr>
      <w:tr>
        <w:trPr>
          <w:trHeight w:val="20"/>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right="280" w:hanging="328"/>
        <w:spacing w:after="0" w:line="251" w:lineRule="auto"/>
        <w:tabs>
          <w:tab w:leader="none" w:pos="66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1" w:lineRule="exact"/>
        <w:rPr>
          <w:rFonts w:ascii="Arial" w:cs="Arial" w:eastAsia="Arial" w:hAnsi="Arial"/>
          <w:sz w:val="21"/>
          <w:szCs w:val="21"/>
          <w:color w:val="auto"/>
          <w:vertAlign w:val="superscript"/>
        </w:rPr>
      </w:pPr>
    </w:p>
    <w:p>
      <w:pPr>
        <w:ind w:left="660" w:right="120" w:hanging="328"/>
        <w:spacing w:after="0" w:line="234" w:lineRule="auto"/>
        <w:tabs>
          <w:tab w:leader="none" w:pos="6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Approximately $5.0 million and $0.6 million of interest income for the three months ended March 31, 2023 and 2022, respectively, is included in outsourced services and other services revenue in the table above. Approximately $0.2 million and $0.1 million of interest income for the three months ended March 31, 2023, and 2022, respectively, is included in other income, net on the Company's Unaudited Consolidated Statements of Operations and Comprehensive Loss and not reflected in the table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disaggregation of our consolidated revenues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gridSpan w:val="11"/>
          </w:tcPr>
          <w:p>
            <w:pPr>
              <w:jc w:val="center"/>
              <w:ind w:right="420"/>
              <w:spacing w:after="0"/>
              <w:rPr>
                <w:sz w:val="20"/>
                <w:szCs w:val="20"/>
                <w:color w:val="auto"/>
              </w:rPr>
            </w:pPr>
            <w:r>
              <w:rPr>
                <w:rFonts w:ascii="Arial" w:cs="Arial" w:eastAsia="Arial" w:hAnsi="Arial"/>
                <w:sz w:val="18"/>
                <w:szCs w:val="18"/>
                <w:b w:val="1"/>
                <w:bCs w:val="1"/>
                <w:color w:val="auto"/>
                <w:w w:val="90"/>
              </w:rPr>
              <w:t>Three months ended March 31, 2023</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69"/>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right"/>
              <w:ind w:right="80"/>
              <w:spacing w:after="0" w:line="169" w:lineRule="exact"/>
              <w:rPr>
                <w:sz w:val="20"/>
                <w:szCs w:val="20"/>
                <w:color w:val="auto"/>
              </w:rPr>
            </w:pPr>
            <w:r>
              <w:rPr>
                <w:rFonts w:ascii="Arial" w:cs="Arial" w:eastAsia="Arial" w:hAnsi="Arial"/>
                <w:sz w:val="18"/>
                <w:szCs w:val="18"/>
                <w:b w:val="1"/>
                <w:bCs w:val="1"/>
                <w:color w:val="auto"/>
                <w:w w:val="92"/>
              </w:rPr>
              <w:t>Money Transmission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60"/>
              <w:spacing w:after="0" w:line="169" w:lineRule="exact"/>
              <w:rPr>
                <w:sz w:val="20"/>
                <w:szCs w:val="20"/>
                <w:color w:val="auto"/>
              </w:rPr>
            </w:pPr>
            <w:r>
              <w:rPr>
                <w:rFonts w:ascii="Arial" w:cs="Arial" w:eastAsia="Arial" w:hAnsi="Arial"/>
                <w:sz w:val="18"/>
                <w:szCs w:val="18"/>
                <w:b w:val="1"/>
                <w:bCs w:val="1"/>
                <w:color w:val="auto"/>
                <w:w w:val="95"/>
              </w:rPr>
              <w:t>Outsourced and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3"/>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5"/>
              </w:rPr>
              <w:t>Merchant Card Fees</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Services</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Other Services</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Equipment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2160" w:type="dxa"/>
            <w:vAlign w:val="bottom"/>
          </w:tcPr>
          <w:p>
            <w:pPr>
              <w:ind w:left="220"/>
              <w:spacing w:after="0"/>
              <w:rPr>
                <w:sz w:val="20"/>
                <w:szCs w:val="20"/>
                <w:color w:val="auto"/>
              </w:rPr>
            </w:pPr>
            <w:r>
              <w:rPr>
                <w:rFonts w:ascii="Arial" w:cs="Arial" w:eastAsia="Arial" w:hAnsi="Arial"/>
                <w:sz w:val="18"/>
                <w:szCs w:val="18"/>
                <w:color w:val="auto"/>
              </w:rPr>
              <w:t>SMB Payments</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148,688</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3,272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2,973</w:t>
            </w:r>
          </w:p>
        </w:tc>
        <w:tc>
          <w:tcPr>
            <w:tcW w:w="4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154,933</w:t>
            </w:r>
          </w:p>
        </w:tc>
      </w:tr>
      <w:tr>
        <w:trPr>
          <w:trHeight w:val="230"/>
        </w:trPr>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B2B Payments</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r>
      <w:tr>
        <w:trPr>
          <w:trHeight w:val="243"/>
        </w:trPr>
        <w:tc>
          <w:tcPr>
            <w:tcW w:w="2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Enterprise Payments</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21,406</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5,874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27,309</w:t>
            </w:r>
          </w:p>
        </w:tc>
      </w:tr>
      <w:tr>
        <w:trPr>
          <w:trHeight w:val="248"/>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149,644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21,406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2,973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185,028</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2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Three Months Ended March 31, 2022</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69"/>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4"/>
          </w:tcPr>
          <w:p>
            <w:pPr>
              <w:jc w:val="right"/>
              <w:ind w:right="180"/>
              <w:spacing w:after="0" w:line="169" w:lineRule="exact"/>
              <w:rPr>
                <w:sz w:val="20"/>
                <w:szCs w:val="20"/>
                <w:color w:val="auto"/>
              </w:rPr>
            </w:pPr>
            <w:r>
              <w:rPr>
                <w:rFonts w:ascii="Arial" w:cs="Arial" w:eastAsia="Arial" w:hAnsi="Arial"/>
                <w:sz w:val="18"/>
                <w:szCs w:val="18"/>
                <w:b w:val="1"/>
                <w:bCs w:val="1"/>
                <w:color w:val="auto"/>
                <w:w w:val="91"/>
              </w:rPr>
              <w:t>Money Transmission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88"/>
              </w:rPr>
              <w:t>Outsourced and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4"/>
              </w:rPr>
              <w:t>Merchant Card Fees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Services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Other Services</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Equipment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10"/>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7"/>
        </w:trPr>
        <w:tc>
          <w:tcPr>
            <w:tcW w:w="2160" w:type="dxa"/>
            <w:vAlign w:val="bottom"/>
          </w:tcPr>
          <w:p>
            <w:pPr>
              <w:ind w:left="220"/>
              <w:spacing w:after="0"/>
              <w:rPr>
                <w:sz w:val="20"/>
                <w:szCs w:val="20"/>
                <w:color w:val="auto"/>
              </w:rPr>
            </w:pPr>
            <w:r>
              <w:rPr>
                <w:rFonts w:ascii="Arial" w:cs="Arial" w:eastAsia="Arial" w:hAnsi="Arial"/>
                <w:sz w:val="18"/>
                <w:szCs w:val="18"/>
                <w:color w:val="auto"/>
              </w:rPr>
              <w:t>SMB Payments</w:t>
            </w:r>
          </w:p>
        </w:tc>
        <w:tc>
          <w:tcPr>
            <w:tcW w:w="620" w:type="dxa"/>
            <w:vAlign w:val="bottom"/>
            <w:gridSpan w:val="2"/>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127,387</w:t>
            </w:r>
          </w:p>
        </w:tc>
        <w:tc>
          <w:tcPr>
            <w:tcW w:w="120" w:type="dxa"/>
            <w:vAlign w:val="bottom"/>
          </w:tcPr>
          <w:p>
            <w:pPr>
              <w:spacing w:after="0"/>
              <w:rPr>
                <w:sz w:val="20"/>
                <w:szCs w:val="20"/>
                <w:color w:val="auto"/>
              </w:rPr>
            </w:pPr>
          </w:p>
        </w:tc>
        <w:tc>
          <w:tcPr>
            <w:tcW w:w="400" w:type="dxa"/>
            <w:vAlign w:val="bottom"/>
            <w:gridSpan w:val="3"/>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129,959</w:t>
            </w:r>
          </w:p>
        </w:tc>
      </w:tr>
      <w:tr>
        <w:trPr>
          <w:trHeight w:val="236"/>
        </w:trPr>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B2B Payments</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r>
      <w:tr>
        <w:trPr>
          <w:trHeight w:val="230"/>
        </w:trPr>
        <w:tc>
          <w:tcPr>
            <w:tcW w:w="2160" w:type="dxa"/>
            <w:vAlign w:val="bottom"/>
          </w:tcPr>
          <w:p>
            <w:pPr>
              <w:ind w:left="220"/>
              <w:spacing w:after="0"/>
              <w:rPr>
                <w:sz w:val="20"/>
                <w:szCs w:val="20"/>
                <w:color w:val="auto"/>
              </w:rPr>
            </w:pPr>
            <w:r>
              <w:rPr>
                <w:rFonts w:ascii="Arial" w:cs="Arial" w:eastAsia="Arial" w:hAnsi="Arial"/>
                <w:sz w:val="18"/>
                <w:szCs w:val="18"/>
                <w:color w:val="auto"/>
              </w:rPr>
              <w:t>Enterprise Payments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17,355</w:t>
            </w:r>
          </w:p>
        </w:tc>
      </w:tr>
      <w:tr>
        <w:trPr>
          <w:trHeight w:val="25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6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127,952</w:t>
            </w:r>
          </w:p>
        </w:tc>
        <w:tc>
          <w:tcPr>
            <w:tcW w:w="12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16,283</w:t>
            </w:r>
          </w:p>
        </w:tc>
        <w:tc>
          <w:tcPr>
            <w:tcW w:w="10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7,097</w:t>
            </w: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1,907</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153,239</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revenues were not material for the three months ended March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Contract liabilities were $0.6 million and $0.2 million as of March 31, 2023 and December 31, 2022, respectively. Substantially all of these balances are recognized as revenue within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contract assets and net contract liabilities were not material for any period presented.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Impairment losses recognized on receivables or contract assets arising from the Company's contracts with customers were not material for the three months ended March 31, 2023 and March 31, 2022.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Settlement Assets and Customer/Subscriber Account Balances and Related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SMB Payments Segment</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are not liabilities of the Company. Therefore, neither is recognized in the Company's Unaudited Consolidated Balance Sheets. Member banks held merchant funds of $107.0 million and $110.3 million at March 31, 2023 and December 31, 2022, respectively.</w:t>
      </w:r>
    </w:p>
    <w:p>
      <w:pPr>
        <w:spacing w:after="0" w:line="16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Exception items that become the liability of the Company are recorded as merchant losses, a component of cost of revenue in the Company's Unaudited Consolidated Statements of Operations and Comprehensive Loss. Exception items that the Company is still attempting to collect from the merchants through the funds settlement process or merchant reserves are recognized as settlement assets and customer/subscriber account balances in the Company's Unaudited Consolidated Balance Sheets, with an offsetting reserve for those amounts the Company estimates it will not be able to recover. Expenses for merchant losses for the three months ended March 31, 2023 and 2022 were $1.0 million and $1.1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B2B Payments Segment</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the Company's B2B Payments segment, the Company earns revenues by processing transactions for FIs and other business customers. Customers transfer funds to the Company, which are held in either company-owned bank accounts controlled by the Company or bank-owned FBO accounts controlled by the banks, until such time that the transactions are settled with the customer payees. Amounts due to customer payees that are held by the Company in company-owned bank accounts are included in restricted cash. Amounts due to customer payees that are held in bank-owned FBO accounts are not assets of the Company, and the associated obligations are not liabilities of the Company. Therefore, neither is recognized in the Company's Unaudited Consolidated Balance Sheets. Bank-owned FBO accounts held funds of $66.6 million and $42.7 million at March 31, 2023 and December 31, 2022, respectively. Company-owned bank accounts held $1.6 million and $1.8 million at March 31, 2023 and December 31, 2022, respectively, which are included in restricted cash and settlement and customer/subscriber account obligations in the Company's Unaudited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Payments Segment</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the Company's Enterprise Payments segment revenue is derived primarily from enrollment fees, monthly subscription fees and transaction-based fees from licensed money transmission services.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account balances and the related obligations as settlement and customer/subscriber account obligations in the Company's Unaudited Consolidated Balance Sheets.</w:t>
      </w:r>
    </w:p>
    <w:p>
      <w:pPr>
        <w:spacing w:after="0" w:line="198"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In certain states, the Company accepts deposits under agency arrangement with member banks wherein accepted deposits remain under the control of the member banks. Therefore, the Company does not record assets for the deposits accepted and liabilities for the associated obligation. Agency owned accounts held $7.1 million and $6.1 million at March 31, 2023 and December 31, 2022, respectively.</w:t>
      </w:r>
    </w:p>
    <w:p>
      <w:pPr>
        <w:spacing w:after="0" w:line="22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consolidated settlement assets and customer/subscriber account balances and settlement and customer/subscriber account obligations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Settlement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Card settlements due from merchants, net of estimated losses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Customer/Subscriber Account Balances: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611,347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531,574</w:t>
            </w:r>
          </w:p>
        </w:tc>
      </w:tr>
      <w:tr>
        <w:trPr>
          <w:trHeight w:val="257"/>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settlement assets and customer/subscriber account balances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612,146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532,018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Settlement and Customer/Subscriber Account Obligations: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Customer account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600,516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516,086</w:t>
            </w:r>
          </w:p>
        </w:tc>
      </w:tr>
      <w:tr>
        <w:trPr>
          <w:trHeight w:val="243"/>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Subscriber account obligations</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w:t>
            </w:r>
          </w:p>
        </w:tc>
      </w:tr>
      <w:tr>
        <w:trPr>
          <w:trHeight w:val="229"/>
        </w:trPr>
        <w:tc>
          <w:tcPr>
            <w:tcW w:w="71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Due to customers' payees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settlement and customer/subscriber account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533,340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60" w:hanging="328"/>
        <w:spacing w:after="0"/>
        <w:tabs>
          <w:tab w:leader="none" w:pos="660" w:val="left"/>
        </w:tabs>
        <w:numPr>
          <w:ilvl w:val="1"/>
          <w:numId w:val="6"/>
        </w:numPr>
        <w:rPr>
          <w:rFonts w:ascii="Arial" w:cs="Arial" w:eastAsia="Arial" w:hAnsi="Arial"/>
          <w:sz w:val="23"/>
          <w:szCs w:val="23"/>
          <w:color w:val="auto"/>
          <w:vertAlign w:val="superscript"/>
        </w:rPr>
      </w:pPr>
      <w:r>
        <w:rPr>
          <w:rFonts w:ascii="Arial" w:cs="Arial" w:eastAsia="Arial" w:hAnsi="Arial"/>
          <w:sz w:val="18"/>
          <w:szCs w:val="18"/>
          <w:color w:val="auto"/>
        </w:rPr>
        <w:t>The related assets are included in restricted cash on our Unaudited Consolidated Balance Sheets.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56" w:lineRule="exact"/>
        <w:rPr>
          <w:rFonts w:ascii="Arial" w:cs="Arial" w:eastAsia="Arial" w:hAnsi="Arial"/>
          <w:sz w:val="23"/>
          <w:szCs w:val="23"/>
          <w:color w:val="auto"/>
          <w:vertAlign w:val="superscript"/>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had notes receivable of $4.6 million and $4.7 million as of March 31, 2023 and December 31, 2022, respectively, which are reported as current portion of notes receivable and notes receivable less current portion on the Company's Unaudited Consolidated Balance Sheets. The notes receivable carried weighted-average interest rates of 15.4% as of March 31, 2023 and December 31, 2022. The notes receivable are comprised of notes receivable from ISOs, and under the terms of the agreements the Company preserves the right to hold back residual payments due to the ISOs and to apply such residuals against future payments due to the Company. As of March 31, 2023 and December 31, 2022, the Company had no allowance for doubtful notes receivable.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 principal payments for the Company's notes receivable are due as follows: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Twelve months ending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4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2026</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2027</w:t>
            </w:r>
          </w:p>
        </w:tc>
        <w:tc>
          <w:tcPr>
            <w:tcW w:w="9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6.  Property, Equipment and Software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A summary of property, equipment and software, net was as follows: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73"/>
        </w:trPr>
        <w:tc>
          <w:tcPr>
            <w:tcW w:w="68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March 31, 2023</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r>
      <w:tr>
        <w:trPr>
          <w:trHeight w:val="23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67,371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64,197</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Equipment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13,611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13,302</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r>
      <w:tr>
        <w:trPr>
          <w:trHeight w:val="24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2,891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91,064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87,398</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(61,171)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(58,409)</w:t>
            </w:r>
          </w:p>
        </w:tc>
      </w:tr>
      <w:tr>
        <w:trPr>
          <w:trHeight w:val="24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work in-progress</w:t>
            </w:r>
          </w:p>
        </w:tc>
        <w:tc>
          <w:tcPr>
            <w:tcW w:w="3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5,698</w:t>
            </w:r>
          </w:p>
        </w:tc>
      </w:tr>
      <w:tr>
        <w:trPr>
          <w:trHeight w:val="223"/>
        </w:trPr>
        <w:tc>
          <w:tcPr>
            <w:tcW w:w="6860" w:type="dxa"/>
            <w:vAlign w:val="bottom"/>
          </w:tcPr>
          <w:p>
            <w:pPr>
              <w:ind w:left="140"/>
              <w:spacing w:after="0"/>
              <w:rPr>
                <w:sz w:val="20"/>
                <w:szCs w:val="20"/>
                <w:color w:val="auto"/>
              </w:rPr>
            </w:pPr>
            <w:r>
              <w:rPr>
                <w:rFonts w:ascii="Arial" w:cs="Arial" w:eastAsia="Arial" w:hAnsi="Arial"/>
                <w:sz w:val="18"/>
                <w:szCs w:val="18"/>
                <w:b w:val="1"/>
                <w:bCs w:val="1"/>
                <w:color w:val="auto"/>
              </w:rPr>
              <w:t>Property, equipment and software, net</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36,976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34,687</w:t>
            </w:r>
          </w:p>
        </w:tc>
      </w:tr>
      <w:tr>
        <w:trPr>
          <w:trHeight w:val="21"/>
        </w:trPr>
        <w:tc>
          <w:tcPr>
            <w:tcW w:w="6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r>
      <w:tr>
        <w:trPr>
          <w:trHeight w:val="560"/>
        </w:trPr>
        <w:tc>
          <w:tcPr>
            <w:tcW w:w="6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r>
      <w:tr>
        <w:trPr>
          <w:trHeight w:val="223"/>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r>
    </w:tbl>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Computer software represents purchased software and internally developed back office and merchant interfacing systems used to assist in the reporting of merchant processing transactions and other related information.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7.  Goodwill and Other Intangible Assets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718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32"/>
        </w:trPr>
        <w:tc>
          <w:tcPr>
            <w:tcW w:w="7180" w:type="dxa"/>
            <w:vAlign w:val="bottom"/>
          </w:tcPr>
          <w:p>
            <w:pPr>
              <w:spacing w:after="0"/>
              <w:rPr>
                <w:sz w:val="20"/>
                <w:szCs w:val="20"/>
                <w:color w:val="auto"/>
              </w:rPr>
            </w:pPr>
            <w:r>
              <w:rPr>
                <w:rFonts w:ascii="Arial" w:cs="Arial" w:eastAsia="Arial" w:hAnsi="Arial"/>
                <w:sz w:val="18"/>
                <w:szCs w:val="18"/>
                <w:color w:val="auto"/>
              </w:rPr>
              <w:t>The Company's goodwill relates to the following reporting units was as follows: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72"/>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SMB Payments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124,625</w:t>
            </w:r>
          </w:p>
        </w:tc>
      </w:tr>
      <w:tr>
        <w:trPr>
          <w:trHeight w:val="24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Enterprise Payments</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244,712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244,712</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369,337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value of goodwill for the periods ended March 31, 2023 and December 31,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369,337</w:t>
            </w:r>
          </w:p>
        </w:tc>
      </w:tr>
      <w:tr>
        <w:trPr>
          <w:trHeight w:val="230"/>
        </w:trPr>
        <w:tc>
          <w:tcPr>
            <w:tcW w:w="9660" w:type="dxa"/>
            <w:vAlign w:val="bottom"/>
          </w:tcPr>
          <w:p>
            <w:pPr>
              <w:ind w:left="140"/>
              <w:spacing w:after="0"/>
              <w:rPr>
                <w:sz w:val="20"/>
                <w:szCs w:val="20"/>
                <w:color w:val="auto"/>
              </w:rPr>
            </w:pPr>
            <w:r>
              <w:rPr>
                <w:rFonts w:ascii="Arial" w:cs="Arial" w:eastAsia="Arial" w:hAnsi="Arial"/>
                <w:sz w:val="18"/>
                <w:szCs w:val="18"/>
                <w:color w:val="auto"/>
              </w:rPr>
              <w:t>Purchase price adjustment for Ovvi</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62"/>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368,740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2023, the Company is not aware of any triggering events for impairment that have occurred since the last annual impairment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Other Intangible Assets</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Other intangible assets consisted of the following:</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weighted-average data)</w:t>
            </w: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March 31, 2023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1"/>
              </w:rPr>
              <w:t>Gross Carrying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1"/>
              </w:rPr>
              <w:t>Net Carrying Value</w:t>
            </w:r>
          </w:p>
        </w:tc>
        <w:tc>
          <w:tcPr>
            <w:tcW w:w="120" w:type="dxa"/>
            <w:vAlign w:val="bottom"/>
          </w:tcPr>
          <w:p>
            <w:pPr>
              <w:spacing w:after="0"/>
              <w:rPr>
                <w:sz w:val="14"/>
                <w:szCs w:val="14"/>
                <w:color w:val="auto"/>
              </w:rPr>
            </w:pPr>
          </w:p>
        </w:tc>
        <w:tc>
          <w:tcPr>
            <w:tcW w:w="15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ISO and referral partner relationships</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175,300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(27,096)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148,204</w:t>
            </w:r>
          </w:p>
        </w:tc>
        <w:tc>
          <w:tcPr>
            <w:tcW w:w="16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14.8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54,729</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37"/>
        </w:trPr>
        <w:tc>
          <w:tcPr>
            <w:tcW w:w="4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(86,319)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9,681</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8.2</w:t>
            </w:r>
          </w:p>
        </w:tc>
        <w:tc>
          <w:tcPr>
            <w:tcW w:w="0" w:type="dxa"/>
            <w:vAlign w:val="bottom"/>
          </w:tcPr>
          <w:p>
            <w:pPr>
              <w:spacing w:after="0"/>
              <w:rPr>
                <w:sz w:val="1"/>
                <w:szCs w:val="1"/>
                <w:color w:val="auto"/>
              </w:rPr>
            </w:pPr>
          </w:p>
        </w:tc>
      </w:tr>
      <w:tr>
        <w:trPr>
          <w:trHeight w:val="23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portfolios</w:t>
            </w:r>
          </w:p>
        </w:tc>
        <w:tc>
          <w:tcPr>
            <w:tcW w:w="6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30,148</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6.7</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(19,524)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31,632</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8.9</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11.4</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Money transmission licenses</w:t>
            </w:r>
            <w:r>
              <w:rPr>
                <w:rFonts w:ascii="Arial" w:cs="Arial" w:eastAsia="Arial" w:hAnsi="Arial"/>
                <w:sz w:val="23"/>
                <w:szCs w:val="23"/>
                <w:color w:val="auto"/>
                <w:vertAlign w:val="superscript"/>
              </w:rPr>
              <w:t>(1)</w:t>
            </w: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543,543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(266,065)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277,478</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9.7</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These assets have an indefinite useful life.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weighted-average data)</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December 31, 2022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Gross Carrying Value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Net Carrying Value</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ISO and referral partner relationships</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(24,021)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151,279</w:t>
            </w:r>
          </w:p>
        </w:tc>
        <w:tc>
          <w:tcPr>
            <w:tcW w:w="16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14.8</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Residual buyouts</w:t>
            </w: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56,009</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6.6</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12,702</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8.2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33,253</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6.7</w:t>
            </w:r>
          </w:p>
        </w:tc>
        <w:tc>
          <w:tcPr>
            <w:tcW w:w="0" w:type="dxa"/>
            <w:vAlign w:val="bottom"/>
          </w:tcPr>
          <w:p>
            <w:pPr>
              <w:spacing w:after="0"/>
              <w:rPr>
                <w:sz w:val="1"/>
                <w:szCs w:val="1"/>
                <w:color w:val="auto"/>
              </w:rPr>
            </w:pPr>
          </w:p>
        </w:tc>
      </w:tr>
      <w:tr>
        <w:trPr>
          <w:trHeight w:val="237"/>
        </w:trPr>
        <w:tc>
          <w:tcPr>
            <w:tcW w:w="412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6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50,963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(18,566)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32,397</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8.4</w:t>
            </w:r>
          </w:p>
        </w:tc>
        <w:tc>
          <w:tcPr>
            <w:tcW w:w="0" w:type="dxa"/>
            <w:vAlign w:val="bottom"/>
          </w:tcPr>
          <w:p>
            <w:pPr>
              <w:spacing w:after="0"/>
              <w:rPr>
                <w:sz w:val="1"/>
                <w:szCs w:val="1"/>
                <w:color w:val="auto"/>
              </w:rPr>
            </w:pPr>
          </w:p>
        </w:tc>
      </w:tr>
      <w:tr>
        <w:trPr>
          <w:trHeight w:val="23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6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11.6</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Money transmission licenses</w:t>
            </w:r>
            <w:r>
              <w:rPr>
                <w:rFonts w:ascii="Arial" w:cs="Arial" w:eastAsia="Arial" w:hAnsi="Arial"/>
                <w:sz w:val="23"/>
                <w:szCs w:val="23"/>
                <w:color w:val="auto"/>
                <w:vertAlign w:val="superscript"/>
              </w:rPr>
              <w:t>(1)</w:t>
            </w:r>
          </w:p>
        </w:tc>
        <w:tc>
          <w:tcPr>
            <w:tcW w:w="6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539,684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(250,890)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288,794</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9.7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These assets have an indefinite useful life.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6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740" w:type="dxa"/>
            <w:vAlign w:val="bottom"/>
          </w:tcPr>
          <w:p>
            <w:pPr>
              <w:spacing w:after="0"/>
              <w:rPr>
                <w:sz w:val="19"/>
                <w:szCs w:val="19"/>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720" w:type="dxa"/>
            <w:vAlign w:val="bottom"/>
          </w:tcPr>
          <w:p>
            <w:pPr>
              <w:spacing w:after="0"/>
              <w:rPr>
                <w:sz w:val="19"/>
                <w:szCs w:val="19"/>
                <w:color w:val="auto"/>
              </w:rPr>
            </w:pPr>
          </w:p>
        </w:tc>
      </w:tr>
      <w:tr>
        <w:trPr>
          <w:trHeight w:val="223"/>
        </w:trPr>
        <w:tc>
          <w:tcPr>
            <w:tcW w:w="6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expense</w:t>
            </w:r>
          </w:p>
        </w:tc>
        <w:tc>
          <w:tcPr>
            <w:tcW w:w="144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15,126</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there were no impairment indicators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8.  Debt Obligations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80" w:type="dxa"/>
            <w:vAlign w:val="bottom"/>
          </w:tcPr>
          <w:p>
            <w:pPr>
              <w:spacing w:after="0"/>
              <w:rPr>
                <w:sz w:val="20"/>
                <w:szCs w:val="20"/>
                <w:color w:val="auto"/>
              </w:rPr>
            </w:pPr>
            <w:r>
              <w:rPr>
                <w:rFonts w:ascii="Arial" w:cs="Arial" w:eastAsia="Arial" w:hAnsi="Arial"/>
                <w:sz w:val="18"/>
                <w:szCs w:val="18"/>
                <w:color w:val="auto"/>
              </w:rPr>
              <w:t>Outstanding debt obligations consisted of the following:</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169"/>
        </w:trPr>
        <w:tc>
          <w:tcPr>
            <w:tcW w:w="71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2"/>
              </w:rPr>
              <w:t>Term facility - matures April 27, 2027, interest rates of 10.70% and 9.82% at March 31, 2023 and</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609,150</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610,700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 respectively</w:t>
            </w:r>
          </w:p>
        </w:tc>
        <w:tc>
          <w:tcPr>
            <w:tcW w:w="240" w:type="dxa"/>
            <w:vAlign w:val="bottom"/>
            <w:vMerge w:val="continue"/>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20"/>
              <w:spacing w:after="0" w:line="189" w:lineRule="exact"/>
              <w:rPr>
                <w:sz w:val="20"/>
                <w:szCs w:val="20"/>
                <w:color w:val="auto"/>
              </w:rPr>
            </w:pPr>
            <w:r>
              <w:rPr>
                <w:rFonts w:ascii="Arial" w:cs="Arial" w:eastAsia="Arial" w:hAnsi="Arial"/>
                <w:sz w:val="18"/>
                <w:szCs w:val="18"/>
                <w:color w:val="auto"/>
                <w:w w:val="95"/>
              </w:rPr>
              <w:t>Revolving credit facility - $40.0 million line, matures April 27, 2026, interest rates of 9.59% and</w:t>
            </w:r>
          </w:p>
        </w:tc>
        <w:tc>
          <w:tcPr>
            <w:tcW w:w="240" w:type="dxa"/>
            <w:vAlign w:val="bottom"/>
          </w:tcPr>
          <w:p>
            <w:pPr>
              <w:spacing w:after="0"/>
              <w:rPr>
                <w:sz w:val="16"/>
                <w:szCs w:val="16"/>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8.82% at March 31, 2023 and December 31, 2022, respectively</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debt obligations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623,200</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discounts and deferred financing costs</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0" w:type="dxa"/>
            <w:vAlign w:val="bottom"/>
          </w:tcPr>
          <w:p>
            <w:pPr>
              <w:spacing w:after="0"/>
              <w:rPr>
                <w:sz w:val="1"/>
                <w:szCs w:val="1"/>
                <w:color w:val="auto"/>
              </w:rPr>
            </w:pPr>
          </w:p>
        </w:tc>
      </w:tr>
      <w:tr>
        <w:trPr>
          <w:trHeight w:val="223"/>
        </w:trPr>
        <w:tc>
          <w:tcPr>
            <w:tcW w:w="7180" w:type="dxa"/>
            <w:vAlign w:val="bottom"/>
          </w:tcPr>
          <w:p>
            <w:pPr>
              <w:ind w:left="140"/>
              <w:spacing w:after="0"/>
              <w:rPr>
                <w:sz w:val="20"/>
                <w:szCs w:val="20"/>
                <w:color w:val="auto"/>
              </w:rPr>
            </w:pPr>
            <w:r>
              <w:rPr>
                <w:rFonts w:ascii="Arial" w:cs="Arial" w:eastAsia="Arial" w:hAnsi="Arial"/>
                <w:sz w:val="18"/>
                <w:szCs w:val="18"/>
                <w:b w:val="1"/>
                <w:bCs w:val="1"/>
                <w:color w:val="auto"/>
              </w:rPr>
              <w:t>Long-term debt,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592,279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598,926</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Loan Costs and Discounts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Outstanding borrowings under the Credit Agreement accrue interest using either a base rate or a LIBOR rate plus an applicable margin per year, subject to a LIBOR rate floor of 1.00% per year. The revolving credit facility incurs an unused commitment fee on any undrawn amount in an amount equal to 0.50% per year of the unused portion. The future applicable interest rate margins on the revolving credit facility may vary based on the Company's Total Net Leverage Ratio in addition to future changes in the underlying market rates for LIBOR and the rate used for base-rate borrowings.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outstanding debt, including fees for undrawn amounts and amortization of deferred financing costs and debt discounts was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3720" w:type="dxa"/>
            <w:vAlign w:val="bottom"/>
            <w:tcBorders>
              <w:bottom w:val="single" w:sz="8" w:color="auto"/>
            </w:tcBorders>
            <w:gridSpan w:val="4"/>
          </w:tcPr>
          <w:p>
            <w:pPr>
              <w:ind w:left="980"/>
              <w:spacing w:after="0"/>
              <w:rPr>
                <w:sz w:val="20"/>
                <w:szCs w:val="20"/>
                <w:color w:val="auto"/>
              </w:rPr>
            </w:pPr>
            <w:r>
              <w:rPr>
                <w:rFonts w:ascii="Arial" w:cs="Arial" w:eastAsia="Arial" w:hAnsi="Arial"/>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r>
      <w:tr>
        <w:trPr>
          <w:trHeight w:val="236"/>
        </w:trPr>
        <w:tc>
          <w:tcPr>
            <w:tcW w:w="6820" w:type="dxa"/>
            <w:vAlign w:val="bottom"/>
            <w:shd w:val="clear" w:color="auto" w:fill="CCEEFF"/>
          </w:tcPr>
          <w:p>
            <w:pPr>
              <w:ind w:left="140"/>
              <w:spacing w:after="0" w:line="236"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(1)</w:t>
            </w:r>
          </w:p>
        </w:tc>
        <w:tc>
          <w:tcPr>
            <w:tcW w:w="15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w:t>
            </w:r>
          </w:p>
        </w:tc>
        <w:tc>
          <w:tcPr>
            <w:tcW w:w="144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11,536</w:t>
            </w:r>
          </w:p>
        </w:tc>
      </w:tr>
    </w:tbl>
    <w:p>
      <w:pPr>
        <w:spacing w:after="0" w:line="283" w:lineRule="exact"/>
        <w:rPr>
          <w:sz w:val="20"/>
          <w:szCs w:val="20"/>
          <w:color w:val="auto"/>
        </w:rPr>
      </w:pPr>
    </w:p>
    <w:p>
      <w:pPr>
        <w:ind w:left="660" w:right="260" w:hanging="328"/>
        <w:spacing w:after="0" w:line="227" w:lineRule="auto"/>
        <w:tabs>
          <w:tab w:leader="none" w:pos="6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Included in interest expense is $0.1 million and $0.0 million related to the accretion of contingent considerations from acquisitions for the three months ended March 31, 2023 and 2022, respectively.</w:t>
      </w:r>
    </w:p>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expense included amortization of deferred financing costs and debt discounts of $0.9 million and $0.8 million for the three months ended March 31,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If the aggregate principal amount of outstanding revolving loans and letters of credit under the Credit Agreement exceeds 35% of the total revolving credit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2023; and 3) 5.50:1.00 at each fiscal quarter ended September 30, 2023 each fiscal quarter thereafter. As of March 31, 2023, the Total Net Leverage Ratio was not applicable and the Company was in compliance with the covenants in the Credit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Redeemable Senior Preferred Stock and Warrants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carrying amounts of the redeemable senior preferred stock for the three months ended March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37"/>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235,579</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Payment of cash portion of dividend and ticking fee outstanding at December 31, 2022</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(5,341)</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dividend on redeemable senior preferred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Accretion of discounts and issuance cost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r>
      <w:tr>
        <w:trPr>
          <w:trHeight w:val="24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235,439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The dividend rate for the redeemable senior preferred stock is equal to the three-month LIBOR rate (minimum of 1.00%) plus an applicable margin of</w:t>
      </w:r>
    </w:p>
    <w:p>
      <w:pPr>
        <w:spacing w:after="0" w:line="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12.00% (capped at 22.50%) per year, with a minimum quarterly cash dividend payment of 5.00% plus the three-month LIBOR rate per year. The dividend rate is subject to future increases if the Company doesn't comply with the minimum cash payment requirements outlined in the agreement, which includes required payments of dividends, required payments related to redemption or required prepayments. The dividend rate may also increase if the Company fails to obtain the required stockholder approval for a forced sale transaction triggered by investors or if an event of default as outlined in the agreement occurs.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20"/>
                <w:szCs w:val="20"/>
                <w:color w:val="auto"/>
              </w:rPr>
            </w:pPr>
            <w:r>
              <w:rPr>
                <w:rFonts w:ascii="Arial" w:cs="Arial" w:eastAsia="Arial" w:hAnsi="Arial"/>
                <w:sz w:val="18"/>
                <w:szCs w:val="18"/>
                <w:color w:val="auto"/>
                <w:w w:val="97"/>
              </w:rPr>
              <w:t>The dividend rate as of March 31, 2023 and December 31, 2022, was 16.7% and 15.7% respectively.</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The following table provides a summary of the dividends for the period presented:</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79"/>
        </w:trPr>
        <w:tc>
          <w:tcPr>
            <w:tcW w:w="7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in 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r>
      <w:tr>
        <w:trPr>
          <w:trHeight w:val="24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dividends accrued as part of the carrying value of redeemable senior preferred stock</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w:t>
            </w: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Dividends declared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27, 2021, the Company issued warrants to purchase up to 1,803,841 shares of the Common Stock, at an exercise price of $0.001. As of March 31, 2023, none of the warrants have been exercised. The warrants are considered to be equity contracts indexed in the Company's own shares and therefore were recorded at their inception date relative fair value and are included in additional paid-in capital on the Company's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consolidated effective income tax rate for the three months ended March 31, 2023, was 20.8%, compared to a consolidated effective income tax rate of 49.4% for the three months ended March 31, 2022. The effective rates differed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statutory rate of 21.0% primarily due to an increase in the valuation allowance against certain business interest carryover deferred tax assets.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 for Deferred Income Tax Assets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is required to provide a valuation allowance against deferred income tax assets when it is "more likely than not" that some portion or all of the deferred tax assets will not be realized.</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Based on management's assessment, as of March 31, 2023,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w:t>
      </w:r>
    </w:p>
    <w:p>
      <w:pPr>
        <w:spacing w:after="0" w:line="229"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 xml:space="preserve">The Company is authorized to issue 100,000,000 shares of preferred stock with such designations, voting and other rights and preferences as may be determined from time to time by the Board of Directors. As of March 31, 2023 and </w:t>
      </w:r>
      <w:r>
        <w:rPr>
          <w:rFonts w:ascii="Arial" w:cs="Arial" w:eastAsia="Arial" w:hAnsi="Arial"/>
          <w:sz w:val="18"/>
          <w:szCs w:val="18"/>
          <w:color w:val="212529"/>
        </w:rPr>
        <w:t>December 31, 2022</w:t>
      </w:r>
      <w:r>
        <w:rPr>
          <w:rFonts w:ascii="Arial" w:cs="Arial" w:eastAsia="Arial" w:hAnsi="Arial"/>
          <w:sz w:val="18"/>
          <w:szCs w:val="18"/>
          <w:color w:val="auto"/>
        </w:rPr>
        <w:t>, the Company has not issued any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During the second quarter of 2022, PRTH's Board of Directors authorized a general share repurchase program under which the Company may purchase up to 2.0 million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 Company did not repurchase any shares under the share repurchase program during the first quarter of 2023.</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share data, which is in whole units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March 31, 2023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2022</w:t>
            </w:r>
          </w:p>
        </w:tc>
      </w:tr>
      <w:tr>
        <w:trPr>
          <w:trHeight w:val="223"/>
        </w:trPr>
        <w:tc>
          <w:tcPr>
            <w:tcW w:w="7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Number of shares purchased</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1,309,374</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Average price paid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1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7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Total Investment</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r>
    </w:tbl>
    <w:p>
      <w:pPr>
        <w:spacing w:after="0" w:line="296" w:lineRule="exact"/>
        <w:rPr>
          <w:sz w:val="20"/>
          <w:szCs w:val="20"/>
          <w:color w:val="auto"/>
        </w:rPr>
      </w:pPr>
    </w:p>
    <w:p>
      <w:pPr>
        <w:ind w:left="660" w:right="60" w:hanging="328"/>
        <w:spacing w:after="0" w:line="227" w:lineRule="auto"/>
        <w:tabs>
          <w:tab w:leader="none" w:pos="660" w:val="left"/>
        </w:tabs>
        <w:numPr>
          <w:ilvl w:val="1"/>
          <w:numId w:val="12"/>
        </w:numPr>
        <w:rPr>
          <w:rFonts w:ascii="Arial" w:cs="Arial" w:eastAsia="Arial" w:hAnsi="Arial"/>
          <w:sz w:val="23"/>
          <w:szCs w:val="23"/>
          <w:color w:val="auto"/>
          <w:vertAlign w:val="superscript"/>
        </w:rPr>
      </w:pPr>
      <w:r>
        <w:rPr>
          <w:rFonts w:ascii="Arial" w:cs="Arial" w:eastAsia="Arial" w:hAnsi="Arial"/>
          <w:sz w:val="18"/>
          <w:szCs w:val="18"/>
          <w:color w:val="auto"/>
        </w:rPr>
        <w:t>These amounts may differ from the repurchases of Common Stock amounts in the Unaudited Statements of Cash Flows due to shares withheld for taxes and unsettled share repurchases at the end of the quarter.</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57" w:lineRule="exact"/>
        <w:rPr>
          <w:rFonts w:ascii="Arial" w:cs="Arial" w:eastAsia="Arial" w:hAnsi="Arial"/>
          <w:sz w:val="23"/>
          <w:szCs w:val="23"/>
          <w:color w:val="auto"/>
          <w:vertAlign w:val="superscript"/>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stock-based compensation expense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36"/>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r>
    </w:tbl>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Income tax benefit for stock-based compensation was immaterial for the three months ended March 31, 2023 and 2022. No stock-based compensation has been capitalized.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Plan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Purchase Plan</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2021 Stock Purchase Plan provides for up to 200,000 shares to be purchased under the plan. Shares issued under the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84"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2021 Stock Purchase Plan provides eligible employees the opportunity to purchase shares of the Company's Common Stock on a quarterly basis through payroll deductions at a price equal to 95% of the lesser of the fair value on the first and last trading day of each offering period. The compensation expense for the three months ended March 31, 2023, was immaterial and is included in stock-based compensation in the table above.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Annual Commitments with Third-party Processors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the Company is committed to pay minimum processing fees under these agreements of approximately $13.0 million in 2023 and $7.0 million in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Commitment with Vendor</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Effective January 1, 2022, the Company entered into a three year business cooperation agreement with a vendor to resell its services. Under the agreement, the Company purchased vendor services worth $0.7 million for the year ended December 31, 2022, and is committed to purchase vendor services worth $1.5 million in 2023 and $2.3 million in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Commitments</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 xml:space="preserve">The Company committed to capital contributions to fund the operations of certain subsidiaries totaling $26.0 million and $22.0 million as March 31, 2023 and </w:t>
      </w:r>
      <w:r>
        <w:rPr>
          <w:rFonts w:ascii="Arial" w:cs="Arial" w:eastAsia="Arial" w:hAnsi="Arial"/>
          <w:sz w:val="16"/>
          <w:szCs w:val="16"/>
          <w:color w:val="212529"/>
        </w:rPr>
        <w:t>December 31, 2022</w:t>
      </w:r>
      <w:r>
        <w:rPr>
          <w:rFonts w:ascii="Arial" w:cs="Arial" w:eastAsia="Arial" w:hAnsi="Arial"/>
          <w:sz w:val="16"/>
          <w:szCs w:val="16"/>
          <w:color w:val="auto"/>
        </w:rPr>
        <w:t>, respectively. The Company is obligated to make the contributions within 10 business days of receiving notice for such contribution from the subsidiary. As of March 31, 2023 and December 31, 2022, the Company has contributed $7.1 million and $6.9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Reserves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Note 4. Settlement Assets and Customer/Subscriber Account Balances and Related Obligations</w:t>
      </w:r>
      <w:r>
        <w:rPr>
          <w:rFonts w:ascii="Arial" w:cs="Arial" w:eastAsia="Arial" w:hAnsi="Arial"/>
          <w:sz w:val="17"/>
          <w:szCs w:val="17"/>
          <w:color w:val="auto"/>
        </w:rPr>
        <w:t>, for information about merchant reserves.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Contingency</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received an invoice of $2.7 million in March 2023 from one of the partner banks related to certain services rendered during Q1 2022. Of the invoiced amount, $2.3 million was disputed with the partner bank and further review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process. Pending completion of the review, the Company is unable to estimate the amount of liability and therefore an accrual related to this item has not been recorded as of March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 of the Company's contingent consideration liabilities related to acquisitions completed during prior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Contingent Consideration</w:t>
            </w:r>
          </w:p>
        </w:tc>
      </w:tr>
      <w:tr>
        <w:trPr>
          <w:trHeight w:val="243"/>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Addition of contingent consideration (related to asset acquisition)</w:t>
            </w:r>
          </w:p>
        </w:tc>
        <w:tc>
          <w:tcPr>
            <w:tcW w:w="1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43"/>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contingent consideration</w:t>
            </w:r>
          </w:p>
        </w:tc>
        <w:tc>
          <w:tcPr>
            <w:tcW w:w="16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Fair value adjustments due to changes in estimates of future payments</w:t>
            </w:r>
          </w:p>
        </w:tc>
        <w:tc>
          <w:tcPr>
            <w:tcW w:w="1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contingent consideration</w:t>
            </w:r>
          </w:p>
        </w:tc>
        <w:tc>
          <w:tcPr>
            <w:tcW w:w="1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r>
      <w:tr>
        <w:trPr>
          <w:trHeight w:val="223"/>
        </w:trPr>
        <w:tc>
          <w:tcPr>
            <w:tcW w:w="8820" w:type="dxa"/>
            <w:vAlign w:val="bottom"/>
          </w:tcPr>
          <w:p>
            <w:pPr>
              <w:ind w:left="20"/>
              <w:spacing w:after="0"/>
              <w:rPr>
                <w:sz w:val="20"/>
                <w:szCs w:val="20"/>
                <w:color w:val="auto"/>
              </w:rPr>
            </w:pPr>
            <w:r>
              <w:rPr>
                <w:rFonts w:ascii="Arial" w:cs="Arial" w:eastAsia="Arial" w:hAnsi="Arial"/>
                <w:sz w:val="18"/>
                <w:szCs w:val="18"/>
                <w:b w:val="1"/>
                <w:bCs w:val="1"/>
                <w:color w:val="auto"/>
              </w:rPr>
              <w:t>March 31,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6,349</w:t>
            </w:r>
          </w:p>
        </w:tc>
      </w:tr>
      <w:tr>
        <w:trPr>
          <w:trHeight w:val="21"/>
        </w:trPr>
        <w:tc>
          <w:tcPr>
            <w:tcW w:w="8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revenue is substantially derived from processing Visa and Mastercard bankcard transactions. Because the Company is not a member bank, in order to process these bankcard transactions, the Company maintains sponsorship agreements with member banks which require, among other things, that the Company abide by the by-laws and regulations of the card associations.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majority of the Company's cash and restricted cash is held in certain FIs, substantially all of which is in excess of FDIC limits. The Company does not believe it is exposed to any significant credit risk from these transactions.</w:t>
      </w:r>
    </w:p>
    <w:p>
      <w:pPr>
        <w:spacing w:after="0" w:line="200" w:lineRule="exact"/>
        <w:rPr>
          <w:sz w:val="20"/>
          <w:szCs w:val="20"/>
          <w:color w:val="auto"/>
        </w:rPr>
      </w:pPr>
    </w:p>
    <w:p>
      <w:pPr>
        <w:spacing w:after="0" w:line="2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Contingent consideration related to the Company's business combinations is estimated based on the present value of a weighted payout probability at the measurement date, which falls within Level 3 on the fair value hierarchy. The current portion of contingent consideration is included in accounts payable and accrued expenses on the Company's Unaudited Consolidated Balance Sheets and the noncurrent portion of contingent consideration is included in other noncurrent liabilities on the Company's Unaudited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Liabilities measured at fair value on a recurring basis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Fair Value Hierarchy</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March 31, 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r>
      <w:tr>
        <w:trPr>
          <w:trHeight w:val="23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noncurrent portion</w:t>
            </w:r>
          </w:p>
        </w:tc>
        <w:tc>
          <w:tcPr>
            <w:tcW w:w="2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Level 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48"/>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contingent consideration</w:t>
            </w: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8,079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2023, there were no transfers into, out of, or between levels of the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$4.6 million and $4.7 million at March 31, 2023 and December 31, 2022, respectively. On the fair value hierarchy, Level 3 inputs are used to estimate the fair value of these notes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Outstanding debt obligations (see </w:t>
      </w:r>
      <w:r>
        <w:rPr>
          <w:rFonts w:ascii="Arial" w:cs="Arial" w:eastAsia="Arial" w:hAnsi="Arial"/>
          <w:sz w:val="18"/>
          <w:szCs w:val="18"/>
          <w:u w:val="single" w:color="auto"/>
          <w:color w:val="0000FF"/>
        </w:rPr>
        <w:t>Note 8. Debt Obligations</w:t>
      </w:r>
      <w:r>
        <w:rPr>
          <w:rFonts w:ascii="Arial" w:cs="Arial" w:eastAsia="Arial" w:hAnsi="Arial"/>
          <w:sz w:val="18"/>
          <w:szCs w:val="18"/>
          <w:color w:val="auto"/>
        </w:rPr>
        <w:t>) are reflected in the Company's Unaudited Consolidated Balance Sheets at carrying value since the Company did not elect to remeasure debt obligations to fair value at the end of each reporting period.</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fair value of the of the term facility was estimated to be $604.6 million and $606.1 million at March 31, 2023 and December 31, 2022, respectively, and was estimated using binding and non-binding quoted prices in an active secondary market, which considers the credit risk and market related conditions, and is within Level 3 of the fair value hierarchy.</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reportable segments:</w:t>
      </w:r>
    </w:p>
    <w:p>
      <w:pPr>
        <w:spacing w:after="0" w:line="225" w:lineRule="exact"/>
        <w:rPr>
          <w:sz w:val="20"/>
          <w:szCs w:val="20"/>
          <w:color w:val="auto"/>
        </w:rPr>
      </w:pPr>
    </w:p>
    <w:p>
      <w:pPr>
        <w:ind w:left="660" w:right="480" w:hanging="328"/>
        <w:spacing w:after="0" w:line="277"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SMB Payments – </w:t>
      </w:r>
      <w:r>
        <w:rPr>
          <w:rFonts w:ascii="Arial" w:cs="Arial" w:eastAsia="Arial" w:hAnsi="Arial"/>
          <w:sz w:val="18"/>
          <w:szCs w:val="18"/>
          <w:color w:val="auto"/>
        </w:rPr>
        <w:t>provides full-service acquiring and payment-enabled solutions for B2C transactions, leveraging the Company's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platform, distributed through ISOs, direct sales and vertically focused ISV channels.</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B2B Payments – </w:t>
      </w:r>
      <w:r>
        <w:rPr>
          <w:rFonts w:ascii="Arial" w:cs="Arial" w:eastAsia="Arial" w:hAnsi="Arial"/>
          <w:sz w:val="18"/>
          <w:szCs w:val="18"/>
          <w:color w:val="auto"/>
        </w:rPr>
        <w:t>provides AP automation solutions to corporations, software partners and FIs, including Citi and Mastercard.</w:t>
      </w:r>
    </w:p>
    <w:p>
      <w:pPr>
        <w:spacing w:after="0" w:line="225" w:lineRule="exact"/>
        <w:rPr>
          <w:rFonts w:ascii="Arial" w:cs="Arial" w:eastAsia="Arial" w:hAnsi="Arial"/>
          <w:sz w:val="18"/>
          <w:szCs w:val="18"/>
          <w:i w:val="1"/>
          <w:iCs w:val="1"/>
          <w:color w:val="auto"/>
        </w:rPr>
      </w:pPr>
    </w:p>
    <w:p>
      <w:pPr>
        <w:ind w:left="660" w:right="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Enterprise Payments – </w:t>
      </w:r>
      <w:r>
        <w:rPr>
          <w:rFonts w:ascii="Arial" w:cs="Arial" w:eastAsia="Arial" w:hAnsi="Arial"/>
          <w:sz w:val="18"/>
          <w:szCs w:val="18"/>
          <w:color w:val="auto"/>
        </w:rPr>
        <w:t>provides embedded payment and banking solutions to enterprise customers that modernize legacy platforms and accelerate</w:t>
      </w:r>
      <w:r>
        <w:rPr>
          <w:rFonts w:ascii="Arial" w:cs="Arial" w:eastAsia="Arial" w:hAnsi="Arial"/>
          <w:sz w:val="18"/>
          <w:szCs w:val="18"/>
          <w:i w:val="1"/>
          <w:iCs w:val="1"/>
          <w:color w:val="auto"/>
        </w:rPr>
        <w:t xml:space="preserve"> </w:t>
      </w:r>
      <w:r>
        <w:rPr>
          <w:rFonts w:ascii="Arial" w:cs="Arial" w:eastAsia="Arial" w:hAnsi="Arial"/>
          <w:sz w:val="18"/>
          <w:szCs w:val="18"/>
          <w:color w:val="auto"/>
        </w:rPr>
        <w:t>modern software partners looking to monetize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Corporate includes costs of corporate functions and shared services not allocated to our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on reportable segments and reconciliations to consolidated revenues, consolidated depreciation and amortization, and consolidated operating income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32"/>
        </w:trPr>
        <w:tc>
          <w:tcPr>
            <w:tcW w:w="79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14"/>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7900" w:type="dxa"/>
            <w:vAlign w:val="bottom"/>
          </w:tcPr>
          <w:p>
            <w:pPr>
              <w:ind w:left="140"/>
              <w:spacing w:after="0"/>
              <w:rPr>
                <w:sz w:val="20"/>
                <w:szCs w:val="20"/>
                <w:color w:val="auto"/>
              </w:rPr>
            </w:pPr>
            <w:r>
              <w:rPr>
                <w:rFonts w:ascii="Arial" w:cs="Arial" w:eastAsia="Arial" w:hAnsi="Arial"/>
                <w:sz w:val="18"/>
                <w:szCs w:val="18"/>
                <w:color w:val="auto"/>
              </w:rPr>
              <w:t>SMB Payments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154,933</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129,959</w:t>
            </w:r>
          </w:p>
        </w:tc>
      </w:tr>
      <w:tr>
        <w:trPr>
          <w:trHeight w:val="236"/>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B2B Payments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Enterprise Payments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17,355</w:t>
            </w:r>
          </w:p>
        </w:tc>
      </w:tr>
      <w:tr>
        <w:trPr>
          <w:trHeight w:val="256"/>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Consolidated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185,028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153,239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SMB Payments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10,846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10,824</w:t>
            </w:r>
          </w:p>
        </w:tc>
      </w:tr>
      <w:tr>
        <w:trPr>
          <w:trHeight w:val="243"/>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B2B Payments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Enterprise Payments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6,197</w:t>
            </w:r>
          </w:p>
        </w:tc>
      </w:tr>
      <w:tr>
        <w:trPr>
          <w:trHeight w:val="229"/>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7"/>
        </w:trPr>
        <w:tc>
          <w:tcPr>
            <w:tcW w:w="7900" w:type="dxa"/>
            <w:vAlign w:val="bottom"/>
          </w:tcPr>
          <w:p>
            <w:pPr>
              <w:ind w:left="240"/>
              <w:spacing w:after="0"/>
              <w:rPr>
                <w:sz w:val="20"/>
                <w:szCs w:val="20"/>
                <w:color w:val="auto"/>
              </w:rPr>
            </w:pPr>
            <w:r>
              <w:rPr>
                <w:rFonts w:ascii="Arial" w:cs="Arial" w:eastAsia="Arial" w:hAnsi="Arial"/>
                <w:sz w:val="18"/>
                <w:szCs w:val="18"/>
                <w:b w:val="1"/>
                <w:bCs w:val="1"/>
                <w:color w:val="auto"/>
              </w:rPr>
              <w:t>Consolidated depreciation and amortization</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18,048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17,353</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9"/>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SMB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w:t>
            </w:r>
          </w:p>
        </w:tc>
      </w:tr>
      <w:tr>
        <w:trPr>
          <w:trHeight w:val="229"/>
        </w:trPr>
        <w:tc>
          <w:tcPr>
            <w:tcW w:w="7900" w:type="dxa"/>
            <w:vAlign w:val="bottom"/>
          </w:tcPr>
          <w:p>
            <w:pPr>
              <w:ind w:left="140"/>
              <w:spacing w:after="0"/>
              <w:rPr>
                <w:sz w:val="20"/>
                <w:szCs w:val="20"/>
                <w:color w:val="auto"/>
              </w:rPr>
            </w:pPr>
            <w:r>
              <w:rPr>
                <w:rFonts w:ascii="Arial" w:cs="Arial" w:eastAsia="Arial" w:hAnsi="Arial"/>
                <w:sz w:val="18"/>
                <w:szCs w:val="18"/>
                <w:color w:val="auto"/>
              </w:rPr>
              <w:t>B2B Payments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Enterprise Payments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w:t>
            </w:r>
          </w:p>
        </w:tc>
      </w:tr>
      <w:tr>
        <w:trPr>
          <w:trHeight w:val="243"/>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Consolidated operating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16,848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10,826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total operating income of reportable segments to the Company's net loss is provided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32"/>
        </w:trPr>
        <w:tc>
          <w:tcPr>
            <w:tcW w:w="79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income of reportable segments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17,389</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(6,563)</w:t>
            </w:r>
          </w:p>
        </w:tc>
      </w:tr>
      <w:tr>
        <w:trPr>
          <w:trHeight w:val="24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(11,535)</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7"/>
        </w:trPr>
        <w:tc>
          <w:tcPr>
            <w:tcW w:w="7960" w:type="dxa"/>
            <w:vAlign w:val="bottom"/>
          </w:tcPr>
          <w:p>
            <w:pPr>
              <w:ind w:left="240"/>
              <w:spacing w:after="0"/>
              <w:rPr>
                <w:sz w:val="20"/>
                <w:szCs w:val="20"/>
                <w:color w:val="auto"/>
              </w:rPr>
            </w:pPr>
            <w:r>
              <w:rPr>
                <w:rFonts w:ascii="Arial" w:cs="Arial" w:eastAsia="Arial" w:hAnsi="Arial"/>
                <w:sz w:val="18"/>
                <w:szCs w:val="18"/>
                <w:b w:val="1"/>
                <w:bCs w:val="1"/>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(333)</w:t>
            </w:r>
          </w:p>
        </w:tc>
      </w:tr>
      <w:tr>
        <w:trPr>
          <w:trHeight w:val="20"/>
        </w:trPr>
        <w:tc>
          <w:tcPr>
            <w:tcW w:w="7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16.  Loss per Common Share</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00" w:type="dxa"/>
            <w:vAlign w:val="bottom"/>
          </w:tcPr>
          <w:p>
            <w:pPr>
              <w:spacing w:after="0"/>
              <w:rPr>
                <w:sz w:val="20"/>
                <w:szCs w:val="20"/>
                <w:color w:val="auto"/>
              </w:rPr>
            </w:pPr>
            <w:r>
              <w:rPr>
                <w:rFonts w:ascii="Arial" w:cs="Arial" w:eastAsia="Arial" w:hAnsi="Arial"/>
                <w:sz w:val="18"/>
                <w:szCs w:val="18"/>
                <w:color w:val="auto"/>
                <w:w w:val="98"/>
              </w:rPr>
              <w:t>The following tables set forth the computation of the Company's basic and diluted loss per common share:</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3"/>
        </w:trPr>
        <w:tc>
          <w:tcPr>
            <w:tcW w:w="830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32"/>
        </w:trPr>
        <w:tc>
          <w:tcPr>
            <w:tcW w:w="8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1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83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36"/>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Dividends and accretion attributable to redeemable senior preferred stockholders</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r>
      <w:tr>
        <w:trPr>
          <w:trHeight w:val="223"/>
        </w:trPr>
        <w:tc>
          <w:tcPr>
            <w:tcW w:w="8300" w:type="dxa"/>
            <w:vAlign w:val="bottom"/>
          </w:tcPr>
          <w:p>
            <w:pPr>
              <w:ind w:left="140"/>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(8,733)</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8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7"/>
        </w:trPr>
        <w:tc>
          <w:tcPr>
            <w:tcW w:w="830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6"/>
        </w:trPr>
        <w:tc>
          <w:tcPr>
            <w:tcW w:w="8300" w:type="dxa"/>
            <w:vAlign w:val="bottom"/>
            <w:shd w:val="clear" w:color="auto" w:fill="CCEEFF"/>
          </w:tcPr>
          <w:p>
            <w:pPr>
              <w:ind w:left="140"/>
              <w:spacing w:after="0" w:line="236" w:lineRule="exact"/>
              <w:rPr>
                <w:sz w:val="20"/>
                <w:szCs w:val="20"/>
                <w:color w:val="auto"/>
              </w:rPr>
            </w:pPr>
            <w:r>
              <w:rPr>
                <w:rFonts w:ascii="Arial" w:cs="Arial" w:eastAsia="Arial" w:hAnsi="Arial"/>
                <w:sz w:val="18"/>
                <w:szCs w:val="18"/>
                <w:color w:val="auto"/>
              </w:rPr>
              <w:t>Weighted-average common shares outstanding</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78,597</w:t>
            </w:r>
          </w:p>
        </w:tc>
      </w:tr>
      <w:tr>
        <w:trPr>
          <w:trHeight w:val="234"/>
        </w:trPr>
        <w:tc>
          <w:tcPr>
            <w:tcW w:w="8300" w:type="dxa"/>
            <w:vAlign w:val="bottom"/>
          </w:tcPr>
          <w:p>
            <w:pPr>
              <w:ind w:left="140"/>
              <w:spacing w:after="0"/>
              <w:rPr>
                <w:sz w:val="20"/>
                <w:szCs w:val="20"/>
                <w:color w:val="auto"/>
              </w:rPr>
            </w:pPr>
            <w:r>
              <w:rPr>
                <w:rFonts w:ascii="Arial" w:cs="Arial" w:eastAsia="Arial" w:hAnsi="Arial"/>
                <w:sz w:val="18"/>
                <w:szCs w:val="18"/>
                <w:b w:val="1"/>
                <w:bCs w:val="1"/>
                <w:color w:val="auto"/>
              </w:rPr>
              <w:t>Loss per common share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(0.11)</w:t>
            </w:r>
          </w:p>
        </w:tc>
      </w:tr>
    </w:tbl>
    <w:p>
      <w:pPr>
        <w:spacing w:after="0" w:line="291" w:lineRule="exact"/>
        <w:rPr>
          <w:sz w:val="20"/>
          <w:szCs w:val="20"/>
          <w:color w:val="auto"/>
        </w:rPr>
      </w:pPr>
    </w:p>
    <w:p>
      <w:pPr>
        <w:ind w:left="660" w:right="720" w:hanging="328"/>
        <w:spacing w:after="0" w:line="202" w:lineRule="auto"/>
        <w:tabs>
          <w:tab w:leader="none" w:pos="660" w:val="left"/>
        </w:tabs>
        <w:numPr>
          <w:ilvl w:val="0"/>
          <w:numId w:val="15"/>
        </w:numPr>
        <w:rPr>
          <w:rFonts w:ascii="Arial" w:cs="Arial" w:eastAsia="Arial" w:hAnsi="Arial"/>
          <w:sz w:val="28"/>
          <w:szCs w:val="28"/>
          <w:i w:val="1"/>
          <w:iCs w:val="1"/>
          <w:color w:val="auto"/>
          <w:vertAlign w:val="superscript"/>
        </w:rPr>
      </w:pPr>
      <w:r>
        <w:rPr>
          <w:rFonts w:ascii="Arial" w:cs="Arial" w:eastAsia="Arial" w:hAnsi="Arial"/>
          <w:sz w:val="18"/>
          <w:szCs w:val="18"/>
          <w:color w:val="auto"/>
        </w:rPr>
        <w:t xml:space="preserve">The weighted-average common shares outstanding includes 1,803,841 warrants (refer to </w:t>
      </w:r>
      <w:r>
        <w:rPr>
          <w:rFonts w:ascii="Arial" w:cs="Arial" w:eastAsia="Arial" w:hAnsi="Arial"/>
          <w:sz w:val="18"/>
          <w:szCs w:val="18"/>
          <w:u w:val="single" w:color="auto"/>
          <w:color w:val="0000FF"/>
        </w:rPr>
        <w:t>Note 9. Redeemable Senior Preferred Stock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Warrants</w:t>
      </w:r>
      <w:r>
        <w:rPr>
          <w:rFonts w:ascii="Arial" w:cs="Arial" w:eastAsia="Arial" w:hAnsi="Arial"/>
          <w:sz w:val="18"/>
          <w:szCs w:val="18"/>
          <w:color w:val="000000"/>
        </w:rPr>
        <w:t>)</w:t>
      </w:r>
      <w:r>
        <w:rPr>
          <w:rFonts w:ascii="Arial" w:cs="Arial" w:eastAsia="Arial" w:hAnsi="Arial"/>
          <w:sz w:val="18"/>
          <w:szCs w:val="18"/>
          <w:i w:val="1"/>
          <w:iCs w:val="1"/>
          <w:color w:val="000000"/>
        </w:rPr>
        <w:t>.</w:t>
      </w:r>
    </w:p>
    <w:p>
      <w:pPr>
        <w:spacing w:after="0" w:line="20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Potentially anti-dilutive securities that were excluded from the Company's loss per common share that could potentially be dilutive in future periods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7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3"/>
        </w:trPr>
        <w:tc>
          <w:tcPr>
            <w:tcW w:w="78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Outstanding warrants on Common Stock</w:t>
            </w:r>
            <w:r>
              <w:rPr>
                <w:rFonts w:ascii="Arial" w:cs="Arial" w:eastAsia="Arial" w:hAnsi="Arial"/>
                <w:sz w:val="23"/>
                <w:szCs w:val="23"/>
                <w:color w:val="auto"/>
                <w:vertAlign w:val="superscript"/>
              </w:rPr>
              <w:t>(1)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r>
      <w:tr>
        <w:trPr>
          <w:trHeight w:val="230"/>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Outstanding options and warrants issued to adviser</w:t>
            </w:r>
            <w:r>
              <w:rPr>
                <w:rFonts w:ascii="Arial" w:cs="Arial" w:eastAsia="Arial" w:hAnsi="Arial"/>
                <w:sz w:val="23"/>
                <w:szCs w:val="23"/>
                <w:color w:val="auto"/>
                <w:vertAlign w:val="superscript"/>
              </w:rPr>
              <w:t>(2)</w:t>
            </w:r>
          </w:p>
        </w:tc>
        <w:tc>
          <w:tcPr>
            <w:tcW w:w="1660" w:type="dxa"/>
            <w:vAlign w:val="bottom"/>
          </w:tcPr>
          <w:p>
            <w:pPr>
              <w:jc w:val="right"/>
              <w:spacing w:after="0"/>
              <w:rPr>
                <w:sz w:val="20"/>
                <w:szCs w:val="20"/>
                <w:color w:val="auto"/>
              </w:rPr>
            </w:pPr>
            <w:r>
              <w:rPr>
                <w:rFonts w:ascii="Arial" w:cs="Arial" w:eastAsia="Arial" w:hAnsi="Arial"/>
                <w:sz w:val="18"/>
                <w:szCs w:val="18"/>
                <w:color w:val="auto"/>
              </w:rPr>
              <w:t>600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78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Restricted stock awards</w:t>
            </w:r>
            <w:r>
              <w:rPr>
                <w:rFonts w:ascii="Arial" w:cs="Arial" w:eastAsia="Arial" w:hAnsi="Arial"/>
                <w:sz w:val="23"/>
                <w:szCs w:val="23"/>
                <w:color w:val="auto"/>
                <w:vertAlign w:val="superscript"/>
              </w:rPr>
              <w:t>(3)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2,284</w:t>
            </w:r>
          </w:p>
        </w:tc>
      </w:tr>
      <w:tr>
        <w:trPr>
          <w:trHeight w:val="230"/>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Outstanding stock option awards</w:t>
            </w:r>
            <w:r>
              <w:rPr>
                <w:rFonts w:ascii="Arial" w:cs="Arial" w:eastAsia="Arial" w:hAnsi="Arial"/>
                <w:sz w:val="23"/>
                <w:szCs w:val="23"/>
                <w:color w:val="auto"/>
                <w:vertAlign w:val="superscript"/>
              </w:rPr>
              <w:t>(3)</w:t>
            </w:r>
          </w:p>
        </w:tc>
        <w:tc>
          <w:tcPr>
            <w:tcW w:w="1660" w:type="dxa"/>
            <w:vAlign w:val="bottom"/>
          </w:tcPr>
          <w:p>
            <w:pPr>
              <w:jc w:val="right"/>
              <w:spacing w:after="0"/>
              <w:rPr>
                <w:sz w:val="20"/>
                <w:szCs w:val="20"/>
                <w:color w:val="auto"/>
              </w:rPr>
            </w:pPr>
            <w:r>
              <w:rPr>
                <w:rFonts w:ascii="Arial" w:cs="Arial" w:eastAsia="Arial" w:hAnsi="Arial"/>
                <w:sz w:val="18"/>
                <w:szCs w:val="18"/>
                <w:color w:val="auto"/>
              </w:rPr>
              <w:t>952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1,203</w:t>
            </w:r>
          </w:p>
        </w:tc>
      </w:tr>
      <w:tr>
        <w:trPr>
          <w:trHeight w:val="248"/>
        </w:trPr>
        <w:tc>
          <w:tcPr>
            <w:tcW w:w="7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warrants are exercisable at $11.50 per share and expire on August 24, 2023.</w:t>
      </w:r>
    </w:p>
    <w:p>
      <w:pPr>
        <w:spacing w:after="0" w:line="1"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warrants and options are exercisable at $12.00 per share and expire on August 24, 2023.</w:t>
      </w:r>
    </w:p>
    <w:p>
      <w:pPr>
        <w:spacing w:after="0" w:line="2"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Granted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2022. Certain amounts in this section may not add mathematically due to rounding.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78" w:lineRule="exact"/>
        <w:rPr>
          <w:sz w:val="20"/>
          <w:szCs w:val="20"/>
          <w:color w:val="auto"/>
        </w:rPr>
      </w:pPr>
    </w:p>
    <w:p>
      <w:pPr>
        <w:ind w:left="660" w:right="600" w:hanging="328"/>
        <w:spacing w:after="0" w:line="291" w:lineRule="auto"/>
        <w:tabs>
          <w:tab w:leader="none" w:pos="660" w:val="left"/>
        </w:tabs>
        <w:numPr>
          <w:ilvl w:val="0"/>
          <w:numId w:val="17"/>
        </w:numPr>
        <w:rPr>
          <w:rFonts w:ascii="Arial" w:cs="Arial" w:eastAsia="Arial" w:hAnsi="Arial"/>
          <w:sz w:val="16"/>
          <w:szCs w:val="16"/>
          <w:color w:val="auto"/>
          <w:strike w:val="1"/>
        </w:rPr>
      </w:pPr>
      <w:r>
        <w:rPr>
          <w:rFonts w:ascii="Arial" w:cs="Arial" w:eastAsia="Arial" w:hAnsi="Arial"/>
          <w:sz w:val="16"/>
          <w:szCs w:val="16"/>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proposed acquisitions or dispositions or any risks associated with completed acquisitions or dispositions;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risks and uncertainties set forth in the "</w:t>
      </w:r>
      <w:r>
        <w:rPr>
          <w:rFonts w:ascii="Arial" w:cs="Arial" w:eastAsia="Arial" w:hAnsi="Arial"/>
          <w:sz w:val="18"/>
          <w:szCs w:val="18"/>
          <w:u w:val="single" w:color="auto"/>
          <w:color w:val="0000FF"/>
        </w:rPr>
        <w:t>Item 1A - Risk Factors</w:t>
      </w:r>
      <w:r>
        <w:rPr>
          <w:rFonts w:ascii="Arial" w:cs="Arial" w:eastAsia="Arial" w:hAnsi="Arial"/>
          <w:sz w:val="18"/>
          <w:szCs w:val="18"/>
          <w:color w:val="auto"/>
        </w:rPr>
        <w:t>" section of this Quarterly Report on Form 10-Q or our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Arial" w:cs="Arial" w:eastAsia="Arial" w:hAnsi="Arial"/>
          <w:sz w:val="16"/>
          <w:szCs w:val="16"/>
          <w:u w:val="single" w:color="auto"/>
          <w:color w:val="0000FF"/>
        </w:rPr>
        <w:t>Item 1A - Risk</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Factors</w:t>
      </w:r>
      <w:r>
        <w:rPr>
          <w:rFonts w:ascii="Arial" w:cs="Arial" w:eastAsia="Arial" w:hAnsi="Arial"/>
          <w:sz w:val="16"/>
          <w:szCs w:val="16"/>
          <w:color w:val="000000"/>
        </w:rPr>
        <w:t>" section of this Quarterly Report on Form 10-Q or our Annual Report on Form 10-K, that may cause our actual results or performance to be</w:t>
      </w:r>
      <w:r>
        <w:rPr>
          <w:rFonts w:ascii="Arial" w:cs="Arial" w:eastAsia="Arial" w:hAnsi="Arial"/>
          <w:sz w:val="16"/>
          <w:szCs w:val="16"/>
          <w:color w:val="0000FF"/>
        </w:rPr>
        <w:t xml:space="preserve"> </w:t>
      </w:r>
      <w:r>
        <w:rPr>
          <w:rFonts w:ascii="Arial" w:cs="Arial" w:eastAsia="Arial" w:hAnsi="Arial"/>
          <w:sz w:val="16"/>
          <w:szCs w:val="16"/>
          <w:color w:val="000000"/>
        </w:rPr>
        <w:t>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available relevant information. These statements are inherently uncertain, and investors are cautioned not to unduly rely upon these statements.</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4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Terms Used in this Quarterly Report on Form 10-Q</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used in this Quarterly Report on Form 10-Q,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This section includes certain components of our results of operations for the three months ended March 31, 2023, compared to the three months ended March 31, 2022. We have derived this data, except key indicators for merchant bankcard processing dollar values, transaction volumes and average billed accounts from our Unaudited Consolidated Financial Statements included elsewhere in this Quarterly Report on Form 10-Q and our Audited Consolidated Financial Statements included in our Annual Report on Form 10-K for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three months ended March 31, 2023, our consolidated revenue of $185.0 million increased by $31.8 million, or 20.8%, from $153.2 million for the three months ended March 31, 2022. This overall increase was mainly driven by increased volumes across all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by type for the three months ended March 31, 2023 and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140" w:type="dxa"/>
            <w:vAlign w:val="bottom"/>
            <w:tcBorders>
              <w:bottom w:val="single" w:sz="8" w:color="auto"/>
            </w:tcBorders>
          </w:tcPr>
          <w:p>
            <w:pPr>
              <w:spacing w:after="0"/>
              <w:rPr>
                <w:sz w:val="20"/>
                <w:szCs w:val="20"/>
                <w:color w:val="auto"/>
              </w:rPr>
            </w:pPr>
          </w:p>
        </w:tc>
      </w:tr>
      <w:tr>
        <w:trPr>
          <w:trHeight w:val="232"/>
        </w:trPr>
        <w:tc>
          <w:tcPr>
            <w:tcW w:w="64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242424"/>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242424"/>
              </w:rPr>
              <w:t>2022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8"/>
              </w:rPr>
              <w:t>$ Change</w:t>
            </w:r>
          </w:p>
        </w:tc>
      </w:tr>
      <w:tr>
        <w:trPr>
          <w:trHeight w:val="21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Type: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6440" w:type="dxa"/>
            <w:vAlign w:val="bottom"/>
          </w:tcPr>
          <w:p>
            <w:pPr>
              <w:ind w:left="220"/>
              <w:spacing w:after="0"/>
              <w:rPr>
                <w:sz w:val="20"/>
                <w:szCs w:val="20"/>
                <w:color w:val="auto"/>
              </w:rPr>
            </w:pPr>
            <w:r>
              <w:rPr>
                <w:rFonts w:ascii="Arial" w:cs="Arial" w:eastAsia="Arial" w:hAnsi="Arial"/>
                <w:sz w:val="18"/>
                <w:szCs w:val="18"/>
                <w:color w:val="auto"/>
              </w:rPr>
              <w:t>Merchant card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149,644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127,952</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21,692</w:t>
            </w:r>
          </w:p>
        </w:tc>
      </w:tr>
      <w:tr>
        <w:trPr>
          <w:trHeight w:val="23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transmission services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16,283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5,123</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Outsourced services and other services</w:t>
            </w:r>
          </w:p>
        </w:tc>
        <w:tc>
          <w:tcPr>
            <w:tcW w:w="36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3,908</w:t>
            </w:r>
          </w:p>
        </w:tc>
      </w:tr>
      <w:tr>
        <w:trPr>
          <w:trHeight w:val="243"/>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1,066</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185,028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153,239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31,789</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the three months ended March 31, 2023, our merchant card fees revenue of $149.6 million increased by $21.7 million, or 17.0%, from $128.0 million for the three months ended March 31, 2022. This increase was primarily driven by an increase in the merchant bankcard volume processed by the Company.</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Money transmission services of $21.4 million increased by $5.1 million, or 31.3%, from $16.3 million for the three months ended March 31, 2022. This increase was primarily driven by an increase in customer enrollments.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Outsourced services and other services revenue of $11.0 million for the three months ended March 31, 2023 increased by $3.9 million, or 54.9%, from $7.1 million for the three months ended March 31, 2022, primarily due to growth in revenue from AP automation solutions, increased volumes in the card issuing business and growth in interest income due to higher interest rates and deposit balances offset by decreased managed services revenue due to wind down of certain programs.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Equipment revenue of $3.0 million for the three months ended March 31, 2023 increased by $1.1 million, or 57.9%, from $1.9 million for the three months ended March 31, 2022. The increase was primarily due to increased sales of point of sale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three months ended March 31, 2023 and 2022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1340" w:type="dxa"/>
            <w:vAlign w:val="bottom"/>
            <w:tcBorders>
              <w:bottom w:val="single" w:sz="8" w:color="auto"/>
            </w:tcBorders>
          </w:tcPr>
          <w:p>
            <w:pPr>
              <w:spacing w:after="0"/>
              <w:rPr>
                <w:sz w:val="20"/>
                <w:szCs w:val="20"/>
                <w:color w:val="auto"/>
              </w:rPr>
            </w:pPr>
          </w:p>
        </w:tc>
      </w:tr>
      <w:tr>
        <w:trPr>
          <w:trHeight w:val="232"/>
        </w:trPr>
        <w:tc>
          <w:tcPr>
            <w:tcW w:w="59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242424"/>
              </w:rPr>
              <w:t>2023</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242424"/>
              </w:rPr>
              <w:t>2022</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8"/>
              </w:rPr>
              <w:t>$ Change</w:t>
            </w:r>
          </w:p>
        </w:tc>
      </w:tr>
      <w:tr>
        <w:trPr>
          <w:trHeight w:val="21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5900" w:type="dxa"/>
            <w:vAlign w:val="bottom"/>
          </w:tcPr>
          <w:p>
            <w:pPr>
              <w:ind w:left="220"/>
              <w:spacing w:after="0"/>
              <w:rPr>
                <w:sz w:val="20"/>
                <w:szCs w:val="20"/>
                <w:color w:val="auto"/>
              </w:rPr>
            </w:pPr>
            <w:r>
              <w:rPr>
                <w:rFonts w:ascii="Arial" w:cs="Arial" w:eastAsia="Arial" w:hAnsi="Arial"/>
                <w:sz w:val="18"/>
                <w:szCs w:val="18"/>
                <w:color w:val="auto"/>
              </w:rPr>
              <w:t>Cost of services (excludes depreciation and amortization)</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89"/>
              </w:rPr>
              <w:t>121,966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101,480</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20,486</w:t>
            </w:r>
          </w:p>
        </w:tc>
      </w:tr>
      <w:tr>
        <w:trPr>
          <w:trHeight w:val="23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Salary and employee benefits</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16,077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2,971</w:t>
            </w: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18,048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17,353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695</w:t>
            </w:r>
          </w:p>
        </w:tc>
      </w:tr>
      <w:tr>
        <w:trPr>
          <w:trHeight w:val="243"/>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9,118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7,503</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1,615</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168,180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142,413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25,767</w:t>
            </w:r>
          </w:p>
        </w:tc>
      </w:tr>
      <w:tr>
        <w:trPr>
          <w:trHeight w:val="21"/>
        </w:trPr>
        <w:tc>
          <w:tcPr>
            <w:tcW w:w="5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services (excludes depreciation and amortization)</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Cost of revenue (excludes depreciation and amortization) of $122.0 million for the three months ended March 31, 2023 increased by $20.5 million, or 20.2%, from $101.5 million for the three months ended March 31, 2022, primarily due to the corresponding increase in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Salary and employee benefits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Salary and employee benefits expense of $19.0 million for the three months ended March 31, 2023 increased by $2.9 million, or 18.0%, from $16.1 million for the three months ended March 31, 2022, primarily due to pay raises, an increase in stock-based compensation and increased headcount to support overall growth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 expense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Depreciation and amortization expense of $18.0 million for the three months ended March 31, 2023 increased by $0.6 million, or 3.4%, from $17.4 million for the three months ended March 31, 2022, primarily due to the depreciation of capitalized internal use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w:t>
      </w:r>
    </w:p>
    <w:p>
      <w:pPr>
        <w:spacing w:after="0" w:line="225"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Selling, general and administrative expenses of $9.1 million for the three months ended March 31, 2023 increased by $1.6 million, or 21.3%, from $7.5 million for the three months ended March 31, 2022, primarily due to an increase in travel and other expenses to support overall growth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net for three months ended March 31, 2023 and 2022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242424"/>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242424"/>
              </w:rPr>
              <w:t>2022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3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(17,699)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(11,535)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(6,164)</w:t>
            </w:r>
          </w:p>
        </w:tc>
      </w:tr>
      <w:tr>
        <w:trPr>
          <w:trHeight w:val="236"/>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161</w:t>
            </w:r>
          </w:p>
        </w:tc>
      </w:tr>
      <w:tr>
        <w:trPr>
          <w:trHeight w:val="223"/>
        </w:trPr>
        <w:tc>
          <w:tcPr>
            <w:tcW w:w="6340" w:type="dxa"/>
            <w:vAlign w:val="bottom"/>
          </w:tcPr>
          <w:p>
            <w:pPr>
              <w:ind w:left="22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(11,484)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(6,003)</w:t>
            </w:r>
          </w:p>
        </w:tc>
      </w:tr>
      <w:tr>
        <w:trPr>
          <w:trHeight w:val="20"/>
        </w:trPr>
        <w:tc>
          <w:tcPr>
            <w:tcW w:w="6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of $17.7 million for the three months ended March 31, 2023 increased by $6.2 million, or 53.9%, from $11.5 million for the three months ended March 31, 2022, due to increased interest rates in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Income tax benefit</w:t>
            </w:r>
          </w:p>
        </w:tc>
        <w:tc>
          <w:tcPr>
            <w:tcW w:w="4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53"/>
        </w:trPr>
        <w:tc>
          <w:tcPr>
            <w:tcW w:w="6140" w:type="dxa"/>
            <w:vAlign w:val="bottom"/>
            <w:gridSpan w:val="2"/>
          </w:tcPr>
          <w:p>
            <w:pPr>
              <w:spacing w:after="0"/>
              <w:rPr>
                <w:sz w:val="20"/>
                <w:szCs w:val="20"/>
                <w:color w:val="auto"/>
              </w:rPr>
            </w:pPr>
            <w:r>
              <w:rPr>
                <w:rFonts w:ascii="Arial" w:cs="Arial" w:eastAsia="Arial" w:hAnsi="Arial"/>
                <w:sz w:val="18"/>
                <w:szCs w:val="18"/>
                <w:color w:val="auto"/>
                <w:w w:val="90"/>
              </w:rPr>
              <w:t>Income tax benefit for three months ended March 31, 2023 and 2022 was as follows: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73"/>
        </w:trPr>
        <w:tc>
          <w:tcPr>
            <w:tcW w:w="61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980" w:type="dxa"/>
            <w:vAlign w:val="bottom"/>
            <w:tcBorders>
              <w:bottom w:val="single" w:sz="8" w:color="auto"/>
            </w:tcBorders>
          </w:tcPr>
          <w:p>
            <w:pPr>
              <w:spacing w:after="0"/>
              <w:rPr>
                <w:sz w:val="24"/>
                <w:szCs w:val="24"/>
                <w:color w:val="auto"/>
              </w:rPr>
            </w:pPr>
          </w:p>
        </w:tc>
      </w:tr>
      <w:tr>
        <w:trPr>
          <w:trHeight w:val="232"/>
        </w:trPr>
        <w:tc>
          <w:tcPr>
            <w:tcW w:w="13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242424"/>
              </w:rPr>
              <w:t>2023</w:t>
            </w:r>
          </w:p>
        </w:tc>
        <w:tc>
          <w:tcPr>
            <w:tcW w:w="6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242424"/>
              </w:rPr>
              <w:t>2022</w:t>
            </w:r>
          </w:p>
        </w:tc>
        <w:tc>
          <w:tcPr>
            <w:tcW w:w="5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w w:val="90"/>
              </w:rPr>
              <w:t>Change</w:t>
            </w:r>
          </w:p>
        </w:tc>
      </w:tr>
      <w:tr>
        <w:trPr>
          <w:trHeight w:val="227"/>
        </w:trPr>
        <w:tc>
          <w:tcPr>
            <w:tcW w:w="6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(639)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(658)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60"/>
              <w:spacing w:after="0"/>
              <w:rPr>
                <w:sz w:val="20"/>
                <w:szCs w:val="20"/>
                <w:color w:val="auto"/>
              </w:rPr>
            </w:pPr>
            <w:r>
              <w:rPr>
                <w:rFonts w:ascii="Arial" w:cs="Arial" w:eastAsia="Arial" w:hAnsi="Arial"/>
                <w:sz w:val="18"/>
                <w:szCs w:val="18"/>
                <w:color w:val="auto"/>
              </w:rPr>
              <w:t>(133)</w:t>
            </w:r>
          </w:p>
        </w:tc>
        <w:tc>
          <w:tcPr>
            <w:tcW w:w="10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90"/>
              </w:rPr>
              <w:t>(325)</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20.8 %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49.4 %</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bl>
    <w:p>
      <w:pPr>
        <w:spacing w:after="0" w:line="2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compute our interim period income tax expense or benefit by using a forecasted EAETR and adjust for any discrete items arising during the interim period and any changes in our projected full-year business interest expense and taxable income. The EAETR for 2023 is 63.8% and includes the income tax provision on pre-tax income and a tax provision related to establishment of a valuation allowance for deferred income tax on the future portion of the Section 163(j) limitation created by additional 2023 interest expense. The effective tax rate for 2023 changed primarily due to an increase in the valuation allowance against certain business interest carryover deferred tax assets.</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consolidated effective income tax rates differ from the statutory rate due to timing and permanent differences between amounts calculated under accounting principles GAAP and the U.S. tax code. The consolidated effective income tax rate for 2023 may not be indicative of our effective tax rate for future periods.</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August 16, 2022, the U.S. government enacted the Inflation Reduction Act into law. The IRA, among other provisions, implements a 15% corporate alternative minimum tax based on global adjusted financial statement income and a 1% excise tax on share repurchases, which shall take effect in tax years beginning after December 31, 2022. We do not expect the enactment of the IRA will have a material effect on our reported results, cash flows, or financial position. If applicable, we expect to reflect the excise tax within equity as part of the repurchase price of common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Segment Results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60" w:type="dxa"/>
            <w:vAlign w:val="bottom"/>
          </w:tcPr>
          <w:p>
            <w:pPr>
              <w:spacing w:after="0"/>
              <w:rPr>
                <w:sz w:val="20"/>
                <w:szCs w:val="20"/>
                <w:color w:val="auto"/>
              </w:rPr>
            </w:pPr>
            <w:r>
              <w:rPr>
                <w:rFonts w:ascii="Arial" w:cs="Arial" w:eastAsia="Arial" w:hAnsi="Arial"/>
                <w:sz w:val="18"/>
                <w:szCs w:val="18"/>
                <w:b w:val="1"/>
                <w:bCs w:val="1"/>
                <w:i w:val="1"/>
                <w:iCs w:val="1"/>
                <w:color w:val="auto"/>
              </w:rPr>
              <w:t>SMB Payments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4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242424"/>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242424"/>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154,933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129,959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24,974</w:t>
            </w:r>
          </w:p>
        </w:tc>
        <w:tc>
          <w:tcPr>
            <w:tcW w:w="0" w:type="dxa"/>
            <w:vAlign w:val="bottom"/>
          </w:tcPr>
          <w:p>
            <w:pPr>
              <w:spacing w:after="0"/>
              <w:rPr>
                <w:sz w:val="1"/>
                <w:szCs w:val="1"/>
                <w:color w:val="auto"/>
              </w:rPr>
            </w:pPr>
          </w:p>
        </w:tc>
      </w:tr>
      <w:tr>
        <w:trPr>
          <w:trHeight w:val="24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142,922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117,473</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25,449</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12,486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7.8 %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9.6 %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10,846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10,824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15,220,715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14,076,847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1,143,868</w:t>
            </w:r>
          </w:p>
        </w:tc>
        <w:tc>
          <w:tcPr>
            <w:tcW w:w="0" w:type="dxa"/>
            <w:vAlign w:val="bottom"/>
          </w:tcPr>
          <w:p>
            <w:pPr>
              <w:spacing w:after="0"/>
              <w:rPr>
                <w:sz w:val="1"/>
                <w:szCs w:val="1"/>
                <w:color w:val="auto"/>
              </w:rPr>
            </w:pPr>
          </w:p>
        </w:tc>
      </w:tr>
      <w:tr>
        <w:trPr>
          <w:trHeight w:val="230"/>
        </w:trPr>
        <w:tc>
          <w:tcPr>
            <w:tcW w:w="6460" w:type="dxa"/>
            <w:vAlign w:val="bottom"/>
          </w:tcPr>
          <w:p>
            <w:pPr>
              <w:ind w:left="120"/>
              <w:spacing w:after="0"/>
              <w:rPr>
                <w:sz w:val="20"/>
                <w:szCs w:val="20"/>
                <w:color w:val="auto"/>
              </w:rPr>
            </w:pPr>
            <w:r>
              <w:rPr>
                <w:rFonts w:ascii="Arial" w:cs="Arial" w:eastAsia="Arial" w:hAnsi="Arial"/>
                <w:sz w:val="18"/>
                <w:szCs w:val="18"/>
                <w:color w:val="auto"/>
              </w:rPr>
              <w:t>Merchant bankcard transaction count</w:t>
            </w:r>
          </w:p>
        </w:tc>
        <w:tc>
          <w:tcPr>
            <w:tcW w:w="38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163,406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145,948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Revenue from our SMB Payments segment was $154.9 million for the three months ended March 31, 2023, compared to $130.0 million for the three months ended March 31, 2022. The increase of $24.9 million, or 19.2%, was primarily driven by increased merchant bankcard volume, accrual of certain incentives, offset by decrease in certain fee-based revenue. The Company's revenue from the SMB Payments segment as a percentage of merchant bankcard processing dollar value during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2023 increased to 1.0% from 0.92% during 2022. The increase was primarily driven by an increase in the incentive revenue and changes in the merchant mix.</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Operating income from our SMB Payments segment was $12.0 million for the three months ended March 31, 2023, compared to $12.5 million for the three months ended March 31, 2022. The decrease of $0.5 million, or 4.0%, was primarily driven by mix related margin compression, a $2.1 million increase in salary and employee benefits due to higher headcount, higher stock-based compensation and annual pay raises, and a $1.0 million increase in selling, general and administrative expenses driven by higher software and travel and other operating costs offset by an increase in operating income from higher revenue. The increase in headcount and selling, general and administrative expenses are mainly attributable to growth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expense of our SMB Payments segment was $10.8 million for the three months ended March 31, 2023, which is consistent with $10.8 million for the three months ended March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b w:val="1"/>
                <w:bCs w:val="1"/>
                <w:i w:val="1"/>
                <w:iCs w:val="1"/>
                <w:color w:val="auto"/>
              </w:rPr>
              <w:t>B2B Payments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242424"/>
              </w:rPr>
              <w:t>2023</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242424"/>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27"/>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3,635</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(849)</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(30.5)%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6.9 %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612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B2B issuing dollar volume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198,546</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186,380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30"/>
        </w:trPr>
        <w:tc>
          <w:tcPr>
            <w:tcW w:w="6120" w:type="dxa"/>
            <w:vAlign w:val="bottom"/>
          </w:tcPr>
          <w:p>
            <w:pPr>
              <w:ind w:left="120"/>
              <w:spacing w:after="0"/>
              <w:rPr>
                <w:sz w:val="20"/>
                <w:szCs w:val="20"/>
                <w:color w:val="auto"/>
              </w:rPr>
            </w:pPr>
            <w:r>
              <w:rPr>
                <w:rFonts w:ascii="Arial" w:cs="Arial" w:eastAsia="Arial" w:hAnsi="Arial"/>
                <w:sz w:val="18"/>
                <w:szCs w:val="18"/>
                <w:color w:val="auto"/>
              </w:rPr>
              <w:t>B2B issuing transaction count</w:t>
            </w:r>
          </w:p>
        </w:tc>
        <w:tc>
          <w:tcPr>
            <w:tcW w:w="38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Revenue from our B2B Payments segment was $2.8 million for the three months ended March 31, 2023, compared to $5.9 million for the three months ended March 31, 2022. The decrease of $3.1 million, or 52.5%, was primarily driven by a decrease in managed services business due to wind down of certain programs and recognition of certain revenues during 2022 related to a contract 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 (Loss)</w:t>
      </w:r>
    </w:p>
    <w:p>
      <w:pPr>
        <w:spacing w:after="0" w:line="225" w:lineRule="exact"/>
        <w:rPr>
          <w:sz w:val="20"/>
          <w:szCs w:val="20"/>
          <w:color w:val="auto"/>
        </w:rPr>
      </w:pPr>
    </w:p>
    <w:p>
      <w:pPr>
        <w:jc w:val="both"/>
        <w:ind w:right="320"/>
        <w:spacing w:after="0" w:line="308" w:lineRule="auto"/>
        <w:rPr>
          <w:sz w:val="20"/>
          <w:szCs w:val="20"/>
          <w:color w:val="auto"/>
        </w:rPr>
      </w:pPr>
      <w:r>
        <w:rPr>
          <w:rFonts w:ascii="Arial" w:cs="Arial" w:eastAsia="Arial" w:hAnsi="Arial"/>
          <w:sz w:val="17"/>
          <w:szCs w:val="17"/>
          <w:color w:val="auto"/>
        </w:rPr>
        <w:t>Operating loss from our B2B Payments segment was $0.8 million for the three months ended March 31, 2023 compared to an operating income of $0.4 million for the three months ended March 31, 2022. The decrease of $1.2 million was primarily attributable to decreases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b w:val="1"/>
                <w:bCs w:val="1"/>
                <w:i w:val="1"/>
                <w:iCs w:val="1"/>
                <w:color w:val="auto"/>
              </w:rPr>
              <w:t>Enterprise Payments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66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6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242424"/>
              </w:rPr>
              <w:t>2023</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242424"/>
              </w:rPr>
              <w:t>2022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6"/>
              </w:rPr>
              <w:t>$ Change</w:t>
            </w:r>
          </w:p>
        </w:tc>
        <w:tc>
          <w:tcPr>
            <w:tcW w:w="0" w:type="dxa"/>
            <w:vAlign w:val="bottom"/>
          </w:tcPr>
          <w:p>
            <w:pPr>
              <w:spacing w:after="0"/>
              <w:rPr>
                <w:sz w:val="1"/>
                <w:szCs w:val="1"/>
                <w:color w:val="auto"/>
              </w:rPr>
            </w:pPr>
          </w:p>
        </w:tc>
      </w:tr>
      <w:tr>
        <w:trPr>
          <w:trHeight w:val="227"/>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27,309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17,355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14,646</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12,861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57"/>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12,663</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4,494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46.4 %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25.9 %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6,690</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6,197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billed clients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465,219</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346,394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118,825</w:t>
            </w:r>
          </w:p>
        </w:tc>
        <w:tc>
          <w:tcPr>
            <w:tcW w:w="0" w:type="dxa"/>
            <w:vAlign w:val="bottom"/>
          </w:tcPr>
          <w:p>
            <w:pPr>
              <w:spacing w:after="0"/>
              <w:rPr>
                <w:sz w:val="1"/>
                <w:szCs w:val="1"/>
                <w:color w:val="auto"/>
              </w:rPr>
            </w:pPr>
          </w:p>
        </w:tc>
      </w:tr>
      <w:tr>
        <w:trPr>
          <w:trHeight w:val="230"/>
        </w:trPr>
        <w:tc>
          <w:tcPr>
            <w:tcW w:w="6680" w:type="dxa"/>
            <w:vAlign w:val="bottom"/>
          </w:tcPr>
          <w:p>
            <w:pPr>
              <w:ind w:left="120"/>
              <w:spacing w:after="0"/>
              <w:rPr>
                <w:sz w:val="20"/>
                <w:szCs w:val="20"/>
                <w:color w:val="auto"/>
              </w:rPr>
            </w:pPr>
            <w:r>
              <w:rPr>
                <w:rFonts w:ascii="Arial" w:cs="Arial" w:eastAsia="Arial" w:hAnsi="Arial"/>
                <w:sz w:val="18"/>
                <w:szCs w:val="18"/>
                <w:color w:val="auto"/>
              </w:rPr>
              <w:t>Average new enrollments</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45,948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23,441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Revenue from our Enterprise Payments segment was $27.3 million for the three months ended March 31, 2023, compared to $17.4 million for the three months ended March 31, 2022. The increase of $9.9 million or 56.9%, was primarily driven by an increase in customer enrollments, and growth in interest income due to higher interest rates and deposit balances.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income from our Enterprise Payments segment was $12.7 million for the three months ended March 31, 2023, compared to $4.5 million for the three months ended March 31, 2022. The increase of $8.2 million or 182.2%, was primarily driven by increases in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Depreciation and amortization from our Enterprise Payments segment was $6.7 million for the three months ended March 31, 2023, compared to $6.2 million depreciation and amortization expense for the three months ended March 31, 2022. The increase of $0.5 million or 8.1%, was primarily driven by the amortization of additional capitalized internal use software and acquired intangibles.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2022. There have been no material changes to these critical accounting policies and estimates as of March 31, 2023.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second quarter of 2022, PRTH's Board of Directors authorized the Company to implement a general share repurchase program under which the Company may purchase up to 2.0 million shares of its outstanding Common Stock for 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total of up to $10.0 million. Under the terms of this plan, the Company may purchase shares through open market purchases, unsolicited or solicited privately negotiated transactions, or in another manner so long as it complies with applicable rules and regulations. The Company did not repurchase any shares under the share repurchase program during the first quarter of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principal uses of cash are to fund business operations and administrative costs, and to service our debt.</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working capital, defined as current assets less current liabilities, was $8.9 million at March 31, 2023 and $22.5 million at December 31, 2022. As of March 31, 2023, we had cash totaling $15.9 million compared to $18.5 million at December 31, 2022. These cash balances do not include restricted cash of $11.0 million and $10.6 million at March 31, 2023 and December 31, 2022, respectively, which reflects cash accounts holding customer settlement funds and cash reserves for potential losses. The current portion of long-term debt included in current liabilities was $6.2 million at March 31, 2023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At March 31, 2023, we had availability of approximately $33.5 million under our 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discussion reflect our changes in cash flows for the comparative three month periods.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Three Months Ended March 31,</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76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840"/>
              <w:spacing w:after="0"/>
              <w:rPr>
                <w:sz w:val="20"/>
                <w:szCs w:val="20"/>
                <w:color w:val="auto"/>
              </w:rPr>
            </w:pPr>
            <w:r>
              <w:rPr>
                <w:rFonts w:ascii="Arial" w:cs="Arial" w:eastAsia="Arial" w:hAnsi="Arial"/>
                <w:sz w:val="18"/>
                <w:szCs w:val="18"/>
                <w:color w:val="auto"/>
              </w:rPr>
              <w:t>27,677</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left="690"/>
              <w:spacing w:after="0"/>
              <w:rPr>
                <w:sz w:val="20"/>
                <w:szCs w:val="20"/>
                <w:color w:val="auto"/>
              </w:rPr>
            </w:pPr>
            <w:r>
              <w:rPr>
                <w:rFonts w:ascii="Arial" w:cs="Arial" w:eastAsia="Arial" w:hAnsi="Arial"/>
                <w:sz w:val="18"/>
                <w:szCs w:val="18"/>
                <w:color w:val="auto"/>
                <w:w w:val="88"/>
              </w:rPr>
              <w:t>9,613</w:t>
            </w:r>
          </w:p>
        </w:tc>
      </w:tr>
      <w:tr>
        <w:trPr>
          <w:trHeight w:val="236"/>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(7,583)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(5,711)</w:t>
            </w: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57,537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88"/>
              </w:rPr>
              <w:t>2,538</w:t>
            </w:r>
          </w:p>
        </w:tc>
      </w:tr>
      <w:tr>
        <w:trPr>
          <w:trHeight w:val="24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77,631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8"/>
              </w:rPr>
              <w:t>6,440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cash provided by operating activities was $27.7 million for the three months ended March 31, 2023 compared to $9.6 million of net cash used in operating activities for the three months ended March 31, 2022. The $18.1 million increase in 2023 was primarily driven by changes in the operating assets and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Net cash used in investing activities was $7.6 million and $5.7 million for the three months ended March 31, 2023 and 2022, respectively. For the three months ended March 31, 2023, net cash used in investing activities included additions to property, equipment and software of $5.0 million, and acquisitions of intangible assets of $2.7 million offset by $0.2 million related to the net payments received on loans to ISOs. For the three months ended March 31, 2022, net cash used in investing activities included $0.9 million of cash used to fund acquisitions of intangible assets, $2.4 million related to the funding of new loans to ISOs and $2.4 million of cash used to acquire property, equipment and software.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$57.5 million for the three months ended March 31, 2023, compared to $2.5 million of cash provided by financing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activities for the three months ended March 31, 2022. The net cash provided by financing activities for the three months ended March 31, 2023 included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net obligations for funds held on the behalf of customers of $79.3 million, offset by $7.6 million of cash used for the repayment of debt,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 million of cash dividends paid to redeemable senior preferred stockholders, $0.8 million of cash used for shares withheld for taxes, and $2.0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payments of contingent consideration for business combinations. The net cash provided by financing activities for three months ended March 31,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$6.6 million of cash used for the repayment of debt, $3.5 million of cash dividends paid to redeemable senior preferred stockholders and $0.2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cash used for other financing activities, offset by changes in the net obligations for funds held on the behalf of customers of $12.7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of March 31, 2023, we had outstanding debt obligations, including the current portion and net of unamortized debt discount of $598.5 million, compared to $605.1 million at December 31, 2022, resulting in a decrease of $6.6 million. The debt balance at March 31, 2023 consisted of $609.2 million outstanding under the term facility and $6.5 million outstanding under the revolving credit facility, offset by $17.2 million of unamortized debt discounts and issuance costs. Minimum amortization of the term facility are equal quarterly installments in aggregate annual amounts equal to 1.0% of the original principal, with the balance paid upon maturity. The term facility matures in April 2027 and the revolving credit facility expires in April 2026.</w:t>
      </w:r>
    </w:p>
    <w:p>
      <w:pPr>
        <w:spacing w:after="0" w:line="16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the aggregate principal amount of outstanding revolving loans and letters of credit under the Credit Agreement exceeds 35% of the total revolving credit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March 31, 2023, the Total Net Leverage Ratio was not applicable and the Company was in compliance with the covenants in the Credit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 xml:space="preserve">From time to time, new accounting pronouncements are issued by the FASB or other standards setting bodies that may affect our current and/or future financial statements. See </w:t>
      </w:r>
      <w:r>
        <w:rPr>
          <w:rFonts w:ascii="Arial" w:cs="Arial" w:eastAsia="Arial" w:hAnsi="Arial"/>
          <w:sz w:val="16"/>
          <w:szCs w:val="16"/>
          <w:u w:val="single" w:color="auto"/>
          <w:color w:val="0000FF"/>
        </w:rPr>
        <w:t>Note 1, Basis of Presentation and Significant Accounting Policies</w:t>
      </w:r>
      <w:r>
        <w:rPr>
          <w:rFonts w:ascii="Arial" w:cs="Arial" w:eastAsia="Arial" w:hAnsi="Arial"/>
          <w:sz w:val="16"/>
          <w:szCs w:val="16"/>
          <w:color w:val="auto"/>
        </w:rPr>
        <w:t>, to our Unaudited Consolidated Financial Statements included in Part I, Item 1 of this Quarterly Report on Form 10-Q, for a discussion of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quantitative and qualitative disclosures about market risk, see Item 7A, "Quantitative and Qualitative Disclosures About Market Risk," of our Annual Report on Form 10-K for the year ended December 31, 2022. Our exposures to market risk have not changed materially since December 31, 2022.</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Management, with the participation of the CEO and CFO, has evaluated the effectiveness of the Company's disclosure controls and procedures as of March 31, 2023. Based on that evaluation, the Company's CEO and CFO concluded that the Company's disclosure controls and procedures were effective as of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three months ended March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also may materially adversely affect our business, financial condition and operating results.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purchases of its Common Stock during the three months ended March 31, 2023 were as follows: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1"/>
              </w:rPr>
              <w:t>Average Price</w:t>
            </w:r>
          </w:p>
        </w:tc>
        <w:tc>
          <w:tcPr>
            <w:tcW w:w="10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88"/>
              </w:rPr>
              <w:t>Total Number of Shares Purchased as</w:t>
            </w:r>
          </w:p>
        </w:tc>
        <w:tc>
          <w:tcPr>
            <w:tcW w:w="8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Maximum Number of Shares that</w:t>
            </w:r>
          </w:p>
        </w:tc>
        <w:tc>
          <w:tcPr>
            <w:tcW w:w="0" w:type="dxa"/>
            <w:vAlign w:val="bottom"/>
          </w:tcPr>
          <w:p>
            <w:pPr>
              <w:spacing w:after="0"/>
              <w:rPr>
                <w:sz w:val="1"/>
                <w:szCs w:val="1"/>
                <w:color w:val="auto"/>
              </w:rPr>
            </w:pPr>
          </w:p>
        </w:tc>
      </w:tr>
      <w:tr>
        <w:trPr>
          <w:trHeight w:val="181"/>
        </w:trPr>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Part of Publicly Announced Plans or</w:t>
            </w:r>
          </w:p>
        </w:tc>
        <w:tc>
          <w:tcPr>
            <w:tcW w:w="80" w:type="dxa"/>
            <w:vAlign w:val="bottom"/>
          </w:tcPr>
          <w:p>
            <w:pPr>
              <w:spacing w:after="0"/>
              <w:rPr>
                <w:sz w:val="15"/>
                <w:szCs w:val="15"/>
                <w:color w:val="auto"/>
              </w:rPr>
            </w:pPr>
          </w:p>
        </w:tc>
        <w:tc>
          <w:tcPr>
            <w:tcW w:w="29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May Yet Be Purchased Under the</w:t>
            </w:r>
          </w:p>
        </w:tc>
        <w:tc>
          <w:tcPr>
            <w:tcW w:w="0" w:type="dxa"/>
            <w:vAlign w:val="bottom"/>
          </w:tcPr>
          <w:p>
            <w:pPr>
              <w:spacing w:after="0"/>
              <w:rPr>
                <w:sz w:val="1"/>
                <w:szCs w:val="1"/>
                <w:color w:val="auto"/>
              </w:rPr>
            </w:pPr>
          </w:p>
        </w:tc>
      </w:tr>
      <w:tr>
        <w:trPr>
          <w:trHeight w:val="238"/>
        </w:trPr>
        <w:tc>
          <w:tcPr>
            <w:tcW w:w="210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Period</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(1)</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Borders>
              <w:bottom w:val="single" w:sz="8" w:color="CCEEFF"/>
            </w:tcBorders>
          </w:tcPr>
          <w:p>
            <w:pPr>
              <w:spacing w:after="0"/>
              <w:rPr>
                <w:sz w:val="20"/>
                <w:szCs w:val="20"/>
                <w:color w:val="auto"/>
              </w:rPr>
            </w:pPr>
          </w:p>
        </w:tc>
        <w:tc>
          <w:tcPr>
            <w:tcW w:w="312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18"/>
                <w:szCs w:val="18"/>
                <w:b w:val="1"/>
                <w:bCs w:val="1"/>
                <w:color w:val="auto"/>
                <w:w w:val="85"/>
              </w:rPr>
              <w:t>Programs</w:t>
            </w:r>
            <w:r>
              <w:rPr>
                <w:rFonts w:ascii="Arial" w:cs="Arial" w:eastAsia="Arial" w:hAnsi="Arial"/>
                <w:sz w:val="23"/>
                <w:szCs w:val="23"/>
                <w:b w:val="1"/>
                <w:bCs w:val="1"/>
                <w:color w:val="auto"/>
                <w:w w:val="85"/>
                <w:vertAlign w:val="superscript"/>
              </w:rPr>
              <w:t>(2)</w:t>
            </w:r>
          </w:p>
        </w:tc>
        <w:tc>
          <w:tcPr>
            <w:tcW w:w="80" w:type="dxa"/>
            <w:vAlign w:val="bottom"/>
            <w:tcBorders>
              <w:bottom w:val="single" w:sz="8" w:color="CCEEFF"/>
            </w:tcBorders>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1-31, 2023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690,626</w:t>
            </w:r>
          </w:p>
        </w:tc>
        <w:tc>
          <w:tcPr>
            <w:tcW w:w="0" w:type="dxa"/>
            <w:vAlign w:val="bottom"/>
          </w:tcPr>
          <w:p>
            <w:pPr>
              <w:spacing w:after="0"/>
              <w:rPr>
                <w:sz w:val="1"/>
                <w:szCs w:val="1"/>
                <w:color w:val="auto"/>
              </w:rPr>
            </w:pPr>
          </w:p>
        </w:tc>
      </w:tr>
      <w:tr>
        <w:trPr>
          <w:trHeight w:val="237"/>
        </w:trPr>
        <w:tc>
          <w:tcPr>
            <w:tcW w:w="2100" w:type="dxa"/>
            <w:vAlign w:val="bottom"/>
          </w:tcPr>
          <w:p>
            <w:pPr>
              <w:ind w:left="20"/>
              <w:spacing w:after="0"/>
              <w:rPr>
                <w:sz w:val="20"/>
                <w:szCs w:val="20"/>
                <w:color w:val="auto"/>
              </w:rPr>
            </w:pPr>
            <w:r>
              <w:rPr>
                <w:rFonts w:ascii="Arial" w:cs="Arial" w:eastAsia="Arial" w:hAnsi="Arial"/>
                <w:sz w:val="18"/>
                <w:szCs w:val="18"/>
                <w:color w:val="auto"/>
              </w:rPr>
              <w:t>February 1-28, 2023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57,042</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c>
          <w:tcPr>
            <w:tcW w:w="3120" w:type="dxa"/>
            <w:vAlign w:val="bottom"/>
          </w:tcPr>
          <w:p>
            <w:pPr>
              <w:ind w:left="2920"/>
              <w:spacing w:after="0"/>
              <w:rPr>
                <w:sz w:val="20"/>
                <w:szCs w:val="20"/>
                <w:color w:val="auto"/>
              </w:rPr>
            </w:pPr>
            <w:r>
              <w:rPr>
                <w:rFonts w:ascii="Arial" w:cs="Arial" w:eastAsia="Arial" w:hAnsi="Arial"/>
                <w:sz w:val="18"/>
                <w:szCs w:val="18"/>
                <w:color w:val="auto"/>
                <w:w w:val="99"/>
              </w:rPr>
              <w: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690,626</w:t>
            </w:r>
          </w:p>
        </w:tc>
        <w:tc>
          <w:tcPr>
            <w:tcW w:w="0" w:type="dxa"/>
            <w:vAlign w:val="bottom"/>
          </w:tcPr>
          <w:p>
            <w:pPr>
              <w:spacing w:after="0"/>
              <w:rPr>
                <w:sz w:val="1"/>
                <w:szCs w:val="1"/>
                <w:color w:val="auto"/>
              </w:rPr>
            </w:pPr>
          </w:p>
        </w:tc>
      </w:tr>
      <w:tr>
        <w:trPr>
          <w:trHeight w:val="236"/>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1-31, 2023</w:t>
            </w:r>
          </w:p>
        </w:tc>
        <w:tc>
          <w:tcPr>
            <w:tcW w:w="8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20" w:type="dxa"/>
            <w:vAlign w:val="bottom"/>
            <w:tcBorders>
              <w:bottom w:val="single" w:sz="8" w:color="auto"/>
            </w:tcBorders>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690,626</w:t>
            </w:r>
          </w:p>
        </w:tc>
        <w:tc>
          <w:tcPr>
            <w:tcW w:w="0" w:type="dxa"/>
            <w:vAlign w:val="bottom"/>
          </w:tcPr>
          <w:p>
            <w:pPr>
              <w:spacing w:after="0"/>
              <w:rPr>
                <w:sz w:val="1"/>
                <w:szCs w:val="1"/>
                <w:color w:val="auto"/>
              </w:rPr>
            </w:pPr>
          </w:p>
        </w:tc>
      </w:tr>
      <w:tr>
        <w:trPr>
          <w:trHeight w:val="223"/>
        </w:trPr>
        <w:tc>
          <w:tcPr>
            <w:tcW w:w="210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156,775</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312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right="360" w:hanging="328"/>
        <w:spacing w:after="0" w:line="227" w:lineRule="auto"/>
        <w:tabs>
          <w:tab w:leader="none" w:pos="66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shares (in whole units) withheld to satisfy employees' tax withholding obligations related to the vesting of restricted stock awards, which was determined based on the fair market value on the vesting date.</w:t>
      </w:r>
    </w:p>
    <w:p>
      <w:pPr>
        <w:ind w:left="660" w:right="180" w:hanging="328"/>
        <w:spacing w:after="0" w:line="229" w:lineRule="auto"/>
        <w:tabs>
          <w:tab w:leader="none" w:pos="660" w:val="left"/>
        </w:tabs>
        <w:numPr>
          <w:ilvl w:val="0"/>
          <w:numId w:val="18"/>
        </w:numPr>
        <w:rPr>
          <w:rFonts w:ascii="Arial" w:cs="Arial" w:eastAsia="Arial" w:hAnsi="Arial"/>
          <w:sz w:val="23"/>
          <w:szCs w:val="23"/>
          <w:u w:val="single" w:color="auto"/>
          <w:color w:val="auto"/>
          <w:vertAlign w:val="superscript"/>
        </w:rPr>
      </w:pPr>
      <w:r>
        <w:rPr>
          <w:rFonts w:ascii="Arial" w:cs="Arial" w:eastAsia="Arial" w:hAnsi="Arial"/>
          <w:sz w:val="18"/>
          <w:szCs w:val="18"/>
          <w:color w:val="auto"/>
        </w:rPr>
        <w:t>In May 2022, the Company's Board of Directors approved a stock repurchase program for the purchase of up to 2.0 million of the Company's Common Stock outstanding for up to $10.0 million. The Company did not repurchase any shares under the share repurchase program during the first quarter of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2"/>
              </w:rPr>
              <w:t>Item 6. Exhibits</w:t>
            </w:r>
          </w:p>
        </w:tc>
        <w:tc>
          <w:tcPr>
            <w:tcW w:w="10000" w:type="dxa"/>
            <w:vAlign w:val="bottom"/>
          </w:tcPr>
          <w:p>
            <w:pPr>
              <w:spacing w:after="0"/>
              <w:rPr>
                <w:sz w:val="20"/>
                <w:szCs w:val="20"/>
                <w:color w:val="auto"/>
              </w:rPr>
            </w:pPr>
          </w:p>
        </w:tc>
      </w:tr>
      <w:tr>
        <w:trPr>
          <w:trHeight w:val="472"/>
        </w:trPr>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w:t>
            </w:r>
          </w:p>
        </w:tc>
        <w:tc>
          <w:tcPr>
            <w:tcW w:w="100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120" w:type="dxa"/>
            <w:vAlign w:val="bottom"/>
            <w:tcBorders>
              <w:top w:val="single" w:sz="8" w:color="auto"/>
            </w:tcBorders>
            <w:shd w:val="clear" w:color="auto" w:fill="CCEEFF"/>
          </w:tcPr>
          <w:p>
            <w:pPr>
              <w:ind w:left="20"/>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2.1</w:t>
              </w:r>
            </w:hyperlink>
          </w:p>
        </w:tc>
        <w:tc>
          <w:tcPr>
            <w:tcW w:w="100" w:type="dxa"/>
            <w:vAlign w:val="bottom"/>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spacing w:after="0" w:line="182"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Second Amended and Restated Contribution Agreement, dated as of April 17, 2018, by and among Priority Investment Holdings, Priority</w:t>
              </w:r>
            </w:hyperlink>
          </w:p>
        </w:tc>
      </w:tr>
      <w:tr>
        <w:trPr>
          <w:trHeight w:val="176"/>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0" w:type="dxa"/>
            <w:vAlign w:val="bottom"/>
            <w:shd w:val="clear" w:color="auto" w:fill="CCEEFF"/>
          </w:tcPr>
          <w:p>
            <w:pPr>
              <w:spacing w:after="0" w:line="176"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Incentive Equity Holdings, LLC and M I Acquisitions, Inc. (incorporated by reference to Annex A to the Company's Proxy Statement on</w:t>
              </w:r>
            </w:hyperlink>
          </w:p>
        </w:tc>
      </w:tr>
      <w:tr>
        <w:trPr>
          <w:trHeight w:val="229"/>
        </w:trPr>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0" w:type="dxa"/>
            <w:vAlign w:val="bottom"/>
            <w:shd w:val="clear" w:color="auto" w:fill="CCEEFF"/>
          </w:tcPr>
          <w:p>
            <w:pPr>
              <w:spacing w:after="0"/>
              <w:rPr>
                <w:rFonts w:ascii="Arial" w:cs="Arial" w:eastAsia="Arial" w:hAnsi="Arial"/>
                <w:sz w:val="18"/>
                <w:szCs w:val="18"/>
                <w:color w:val="0000FF"/>
              </w:rPr>
            </w:pPr>
            <w:hyperlink r:id="rId49">
              <w:r>
                <w:rPr>
                  <w:rFonts w:ascii="Arial" w:cs="Arial" w:eastAsia="Arial" w:hAnsi="Arial"/>
                  <w:sz w:val="18"/>
                  <w:szCs w:val="18"/>
                  <w:color w:val="0000FF"/>
                </w:rPr>
                <w:t>Schedule 14(a), filed July 5, 2018).</w:t>
              </w:r>
            </w:hyperlink>
          </w:p>
        </w:tc>
      </w:tr>
      <w:tr>
        <w:trPr>
          <w:trHeight w:val="188"/>
        </w:trPr>
        <w:tc>
          <w:tcPr>
            <w:tcW w:w="1240" w:type="dxa"/>
            <w:vAlign w:val="bottom"/>
            <w:gridSpan w:val="3"/>
          </w:tcPr>
          <w:p>
            <w:pPr>
              <w:ind w:left="20"/>
              <w:spacing w:after="0" w:line="189" w:lineRule="exact"/>
              <w:rPr>
                <w:rFonts w:ascii="Arial" w:cs="Arial" w:eastAsia="Arial" w:hAnsi="Arial"/>
                <w:sz w:val="18"/>
                <w:szCs w:val="18"/>
                <w:color w:val="0000FF"/>
              </w:rPr>
            </w:pPr>
            <w:hyperlink r:id="rId50">
              <w:r>
                <w:rPr>
                  <w:rFonts w:ascii="Arial" w:cs="Arial" w:eastAsia="Arial" w:hAnsi="Arial"/>
                  <w:sz w:val="18"/>
                  <w:szCs w:val="18"/>
                  <w:color w:val="0000FF"/>
                </w:rPr>
                <w:t xml:space="preserve">2.2 </w:t>
              </w:r>
            </w:hyperlink>
            <w:r>
              <w:rPr>
                <w:rFonts w:ascii="Arial" w:cs="Arial" w:eastAsia="Arial" w:hAnsi="Arial"/>
                <w:sz w:val="18"/>
                <w:szCs w:val="18"/>
                <w:color w:val="000000"/>
              </w:rPr>
              <w:t>†</w:t>
            </w:r>
          </w:p>
        </w:tc>
        <w:tc>
          <w:tcPr>
            <w:tcW w:w="10000" w:type="dxa"/>
            <w:vAlign w:val="bottom"/>
          </w:tcPr>
          <w:p>
            <w:pPr>
              <w:spacing w:after="0" w:line="189"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Agreement and Plan of Merger, dated as of March 5, 2021, by and among the Company, Finxera, Merger Sub, and the Equityholder</w:t>
              </w:r>
            </w:hyperlink>
          </w:p>
        </w:tc>
      </w:tr>
      <w:tr>
        <w:trPr>
          <w:trHeight w:val="230"/>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rFonts w:ascii="Arial" w:cs="Arial" w:eastAsia="Arial" w:hAnsi="Arial"/>
                <w:sz w:val="18"/>
                <w:szCs w:val="18"/>
                <w:color w:val="0000FF"/>
              </w:rPr>
            </w:pPr>
            <w:hyperlink r:id="rId50">
              <w:r>
                <w:rPr>
                  <w:rFonts w:ascii="Arial" w:cs="Arial" w:eastAsia="Arial" w:hAnsi="Arial"/>
                  <w:sz w:val="18"/>
                  <w:szCs w:val="18"/>
                  <w:color w:val="0000FF"/>
                </w:rPr>
                <w:t>Representative.</w:t>
              </w:r>
            </w:hyperlink>
          </w:p>
        </w:tc>
      </w:tr>
      <w:tr>
        <w:trPr>
          <w:trHeight w:val="229"/>
        </w:trPr>
        <w:tc>
          <w:tcPr>
            <w:tcW w:w="1120" w:type="dxa"/>
            <w:vAlign w:val="bottom"/>
            <w:shd w:val="clear" w:color="auto" w:fill="CCEEFF"/>
          </w:tcPr>
          <w:p>
            <w:pPr>
              <w:ind w:left="20"/>
              <w:spacing w:after="0"/>
              <w:rPr>
                <w:rFonts w:ascii="Arial" w:cs="Arial" w:eastAsia="Arial" w:hAnsi="Arial"/>
                <w:sz w:val="18"/>
                <w:szCs w:val="18"/>
                <w:color w:val="0000FF"/>
              </w:rPr>
            </w:pPr>
            <w:hyperlink r:id="rId51">
              <w:r>
                <w:rPr>
                  <w:rFonts w:ascii="Arial" w:cs="Arial" w:eastAsia="Arial" w:hAnsi="Arial"/>
                  <w:sz w:val="18"/>
                  <w:szCs w:val="18"/>
                  <w:color w:val="0000FF"/>
                </w:rPr>
                <w:t>2.3</w:t>
              </w:r>
            </w:hyperlink>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0" w:type="dxa"/>
            <w:vAlign w:val="bottom"/>
            <w:shd w:val="clear" w:color="auto" w:fill="CCEEFF"/>
          </w:tcPr>
          <w:p>
            <w:pPr>
              <w:spacing w:after="0"/>
              <w:rPr>
                <w:rFonts w:ascii="Arial" w:cs="Arial" w:eastAsia="Arial" w:hAnsi="Arial"/>
                <w:sz w:val="18"/>
                <w:szCs w:val="18"/>
                <w:color w:val="0000FF"/>
                <w:w w:val="95"/>
              </w:rPr>
            </w:pPr>
            <w:hyperlink r:id="rId51">
              <w:r>
                <w:rPr>
                  <w:rFonts w:ascii="Arial" w:cs="Arial" w:eastAsia="Arial" w:hAnsi="Arial"/>
                  <w:sz w:val="18"/>
                  <w:szCs w:val="18"/>
                  <w:color w:val="0000FF"/>
                  <w:w w:val="95"/>
                </w:rPr>
                <w:t>Certificate of Amendment to the Certificate of Incorporation of Priority Technology Holdings dated April 16, 2021, filed April 29, 2021</w:t>
              </w:r>
            </w:hyperlink>
          </w:p>
        </w:tc>
      </w:tr>
      <w:tr>
        <w:trPr>
          <w:trHeight w:val="188"/>
        </w:trPr>
        <w:tc>
          <w:tcPr>
            <w:tcW w:w="1120" w:type="dxa"/>
            <w:vAlign w:val="bottom"/>
          </w:tcPr>
          <w:p>
            <w:pPr>
              <w:ind w:left="20"/>
              <w:spacing w:after="0" w:line="189" w:lineRule="exact"/>
              <w:rPr>
                <w:rFonts w:ascii="Arial" w:cs="Arial" w:eastAsia="Arial" w:hAnsi="Arial"/>
                <w:sz w:val="18"/>
                <w:szCs w:val="18"/>
                <w:color w:val="0000FF"/>
              </w:rPr>
            </w:pPr>
            <w:hyperlink r:id="rId52">
              <w:r>
                <w:rPr>
                  <w:rFonts w:ascii="Arial" w:cs="Arial" w:eastAsia="Arial" w:hAnsi="Arial"/>
                  <w:sz w:val="18"/>
                  <w:szCs w:val="18"/>
                  <w:color w:val="0000FF"/>
                </w:rPr>
                <w:t>2.4</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Pr>
          <w:p>
            <w:pPr>
              <w:spacing w:after="0" w:line="189"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Agreement and Plan of Merger by and among the Company, Finxera Holdings, Inc., Prime Warrior Acquisition Corp., and Stone Point</w:t>
              </w:r>
            </w:hyperlink>
          </w:p>
        </w:tc>
      </w:tr>
      <w:tr>
        <w:trPr>
          <w:trHeight w:val="230"/>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rFonts w:ascii="Arial" w:cs="Arial" w:eastAsia="Arial" w:hAnsi="Arial"/>
                <w:sz w:val="18"/>
                <w:szCs w:val="18"/>
                <w:color w:val="0000FF"/>
              </w:rPr>
            </w:pPr>
            <w:hyperlink r:id="rId52">
              <w:r>
                <w:rPr>
                  <w:rFonts w:ascii="Arial" w:cs="Arial" w:eastAsia="Arial" w:hAnsi="Arial"/>
                  <w:sz w:val="18"/>
                  <w:szCs w:val="18"/>
                  <w:color w:val="0000FF"/>
                </w:rPr>
                <w:t>Capital LLC.</w:t>
              </w:r>
            </w:hyperlink>
          </w:p>
        </w:tc>
      </w:tr>
      <w:tr>
        <w:trPr>
          <w:trHeight w:val="176"/>
        </w:trPr>
        <w:tc>
          <w:tcPr>
            <w:tcW w:w="1120" w:type="dxa"/>
            <w:vAlign w:val="bottom"/>
            <w:shd w:val="clear" w:color="auto" w:fill="CCEEFF"/>
          </w:tcPr>
          <w:p>
            <w:pPr>
              <w:ind w:left="20"/>
              <w:spacing w:after="0" w:line="176" w:lineRule="exact"/>
              <w:rPr>
                <w:rFonts w:ascii="Arial" w:cs="Arial" w:eastAsia="Arial" w:hAnsi="Arial"/>
                <w:sz w:val="18"/>
                <w:szCs w:val="18"/>
                <w:color w:val="0000FF"/>
              </w:rPr>
            </w:pPr>
            <w:hyperlink r:id="rId53">
              <w:r>
                <w:rPr>
                  <w:rFonts w:ascii="Arial" w:cs="Arial" w:eastAsia="Arial" w:hAnsi="Arial"/>
                  <w:sz w:val="18"/>
                  <w:szCs w:val="18"/>
                  <w:color w:val="0000FF"/>
                </w:rPr>
                <w:t>3.1</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0" w:type="dxa"/>
            <w:vAlign w:val="bottom"/>
            <w:shd w:val="clear" w:color="auto" w:fill="CCEEFF"/>
          </w:tcPr>
          <w:p>
            <w:pPr>
              <w:spacing w:after="0" w:line="17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Second Amended and Restated Certificate of Incorporation of Priority Technology Holdings, Inc. (incorporated by reference to Exhibit</w:t>
              </w:r>
            </w:hyperlink>
          </w:p>
        </w:tc>
      </w:tr>
      <w:tr>
        <w:trPr>
          <w:trHeight w:val="243"/>
        </w:trPr>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0" w:type="dxa"/>
            <w:vAlign w:val="bottom"/>
            <w:shd w:val="clear" w:color="auto" w:fill="CCEEFF"/>
          </w:tcPr>
          <w:p>
            <w:pPr>
              <w:spacing w:after="0"/>
              <w:rPr>
                <w:rFonts w:ascii="Arial" w:cs="Arial" w:eastAsia="Arial" w:hAnsi="Arial"/>
                <w:sz w:val="18"/>
                <w:szCs w:val="18"/>
                <w:color w:val="0000FF"/>
              </w:rPr>
            </w:pPr>
            <w:hyperlink r:id="rId53">
              <w:r>
                <w:rPr>
                  <w:rFonts w:ascii="Arial" w:cs="Arial" w:eastAsia="Arial" w:hAnsi="Arial"/>
                  <w:sz w:val="18"/>
                  <w:szCs w:val="18"/>
                  <w:color w:val="0000FF"/>
                </w:rPr>
                <w:t>3.1 to the Company's Current Report on Form 8-K, filed July 31, 2018).</w:t>
              </w:r>
            </w:hyperlink>
          </w:p>
        </w:tc>
      </w:tr>
      <w:tr>
        <w:trPr>
          <w:trHeight w:val="176"/>
        </w:trPr>
        <w:tc>
          <w:tcPr>
            <w:tcW w:w="1120" w:type="dxa"/>
            <w:vAlign w:val="bottom"/>
          </w:tcPr>
          <w:p>
            <w:pPr>
              <w:ind w:left="20"/>
              <w:spacing w:after="0" w:line="176" w:lineRule="exact"/>
              <w:rPr>
                <w:rFonts w:ascii="Arial" w:cs="Arial" w:eastAsia="Arial" w:hAnsi="Arial"/>
                <w:sz w:val="18"/>
                <w:szCs w:val="18"/>
                <w:color w:val="0000FF"/>
              </w:rPr>
            </w:pPr>
            <w:hyperlink r:id="rId54">
              <w:r>
                <w:rPr>
                  <w:rFonts w:ascii="Arial" w:cs="Arial" w:eastAsia="Arial" w:hAnsi="Arial"/>
                  <w:sz w:val="18"/>
                  <w:szCs w:val="18"/>
                  <w:color w:val="0000FF"/>
                </w:rPr>
                <w:t>3.2</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Pr>
          <w:p>
            <w:pPr>
              <w:spacing w:after="0" w:line="17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Amended and Restated Bylaws of Priority Technology Holdings, Inc. (incorporated by reference to Exhibit 3.2 to the Company's Current</w:t>
              </w:r>
            </w:hyperlink>
          </w:p>
        </w:tc>
      </w:tr>
      <w:tr>
        <w:trPr>
          <w:trHeight w:val="229"/>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tcPr>
          <w:p>
            <w:pPr>
              <w:spacing w:after="0"/>
              <w:rPr>
                <w:rFonts w:ascii="Arial" w:cs="Arial" w:eastAsia="Arial" w:hAnsi="Arial"/>
                <w:sz w:val="18"/>
                <w:szCs w:val="18"/>
                <w:color w:val="0000FF"/>
              </w:rPr>
            </w:pPr>
            <w:hyperlink r:id="rId54">
              <w:r>
                <w:rPr>
                  <w:rFonts w:ascii="Arial" w:cs="Arial" w:eastAsia="Arial" w:hAnsi="Arial"/>
                  <w:sz w:val="18"/>
                  <w:szCs w:val="18"/>
                  <w:color w:val="0000FF"/>
                </w:rPr>
                <w:t>Report on Form 8-K, filed July 31, 2018).</w:t>
              </w:r>
            </w:hyperlink>
          </w:p>
        </w:tc>
      </w:tr>
      <w:tr>
        <w:trPr>
          <w:trHeight w:val="243"/>
        </w:trPr>
        <w:tc>
          <w:tcPr>
            <w:tcW w:w="1120" w:type="dxa"/>
            <w:vAlign w:val="bottom"/>
            <w:shd w:val="clear" w:color="auto" w:fill="CCEEFF"/>
          </w:tcPr>
          <w:p>
            <w:pPr>
              <w:ind w:left="20"/>
              <w:spacing w:after="0"/>
              <w:rPr>
                <w:rFonts w:ascii="Arial" w:cs="Arial" w:eastAsia="Arial" w:hAnsi="Arial"/>
                <w:sz w:val="18"/>
                <w:szCs w:val="18"/>
                <w:color w:val="0000FF"/>
              </w:rPr>
            </w:pPr>
            <w:hyperlink r:id="rId55">
              <w:r>
                <w:rPr>
                  <w:rFonts w:ascii="Arial" w:cs="Arial" w:eastAsia="Arial" w:hAnsi="Arial"/>
                  <w:sz w:val="18"/>
                  <w:szCs w:val="18"/>
                  <w:color w:val="0000FF"/>
                </w:rPr>
                <w:t>3.3</w:t>
              </w:r>
            </w:hyperlink>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0" w:type="dxa"/>
            <w:vAlign w:val="bottom"/>
            <w:shd w:val="clear" w:color="auto" w:fill="CCEEFF"/>
          </w:tcPr>
          <w:p>
            <w:pPr>
              <w:spacing w:after="0"/>
              <w:rPr>
                <w:rFonts w:ascii="Arial" w:cs="Arial" w:eastAsia="Arial" w:hAnsi="Arial"/>
                <w:sz w:val="18"/>
                <w:szCs w:val="18"/>
                <w:color w:val="0000FF"/>
              </w:rPr>
            </w:pPr>
            <w:hyperlink r:id="rId55">
              <w:r>
                <w:rPr>
                  <w:rFonts w:ascii="Arial" w:cs="Arial" w:eastAsia="Arial" w:hAnsi="Arial"/>
                  <w:sz w:val="18"/>
                  <w:szCs w:val="18"/>
                  <w:color w:val="0000FF"/>
                </w:rPr>
                <w:t>Certificate of Designations of Senior Preferred Stock</w:t>
              </w:r>
            </w:hyperlink>
          </w:p>
        </w:tc>
      </w:tr>
      <w:tr>
        <w:trPr>
          <w:trHeight w:val="175"/>
        </w:trPr>
        <w:tc>
          <w:tcPr>
            <w:tcW w:w="1120" w:type="dxa"/>
            <w:vAlign w:val="bottom"/>
          </w:tcPr>
          <w:p>
            <w:pPr>
              <w:ind w:left="20"/>
              <w:spacing w:after="0" w:line="176" w:lineRule="exact"/>
              <w:rPr>
                <w:rFonts w:ascii="Arial" w:cs="Arial" w:eastAsia="Arial" w:hAnsi="Arial"/>
                <w:sz w:val="18"/>
                <w:szCs w:val="18"/>
                <w:color w:val="0000FF"/>
              </w:rPr>
            </w:pPr>
            <w:hyperlink r:id="rId56">
              <w:r>
                <w:rPr>
                  <w:rFonts w:ascii="Arial" w:cs="Arial" w:eastAsia="Arial" w:hAnsi="Arial"/>
                  <w:sz w:val="18"/>
                  <w:szCs w:val="18"/>
                  <w:color w:val="0000FF"/>
                </w:rPr>
                <w:t>4.4</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Pr>
          <w:p>
            <w:pPr>
              <w:spacing w:after="0" w:line="17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Warrant Agreement, dated September 13, 2016, by and between American Stock Transfer &amp; Trust Company, LLC and the Registrant</w:t>
              </w:r>
            </w:hyperlink>
          </w:p>
        </w:tc>
      </w:tr>
      <w:tr>
        <w:trPr>
          <w:trHeight w:val="230"/>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tcPr>
          <w:p>
            <w:pPr>
              <w:spacing w:after="0"/>
              <w:rPr>
                <w:rFonts w:ascii="Arial" w:cs="Arial" w:eastAsia="Arial" w:hAnsi="Arial"/>
                <w:sz w:val="18"/>
                <w:szCs w:val="18"/>
                <w:color w:val="0000FF"/>
              </w:rPr>
            </w:pPr>
            <w:hyperlink r:id="rId56">
              <w:r>
                <w:rPr>
                  <w:rFonts w:ascii="Arial" w:cs="Arial" w:eastAsia="Arial" w:hAnsi="Arial"/>
                  <w:sz w:val="18"/>
                  <w:szCs w:val="18"/>
                  <w:color w:val="0000FF"/>
                </w:rPr>
                <w:t>(incorporated by reference to Exhibit 4.1 to the Current Report on Form 8-K, filed September 16, 2016).</w:t>
              </w:r>
            </w:hyperlink>
          </w:p>
        </w:tc>
      </w:tr>
      <w:tr>
        <w:trPr>
          <w:trHeight w:val="188"/>
        </w:trPr>
        <w:tc>
          <w:tcPr>
            <w:tcW w:w="1120" w:type="dxa"/>
            <w:vAlign w:val="bottom"/>
            <w:shd w:val="clear" w:color="auto" w:fill="CCEEFF"/>
          </w:tcPr>
          <w:p>
            <w:pPr>
              <w:ind w:left="20"/>
              <w:spacing w:after="0" w:line="189" w:lineRule="exact"/>
              <w:rPr>
                <w:rFonts w:ascii="Arial" w:cs="Arial" w:eastAsia="Arial" w:hAnsi="Arial"/>
                <w:sz w:val="18"/>
                <w:szCs w:val="18"/>
                <w:color w:val="0000FF"/>
              </w:rPr>
            </w:pPr>
            <w:hyperlink r:id="rId57">
              <w:r>
                <w:rPr>
                  <w:rFonts w:ascii="Arial" w:cs="Arial" w:eastAsia="Arial" w:hAnsi="Arial"/>
                  <w:sz w:val="18"/>
                  <w:szCs w:val="18"/>
                  <w:color w:val="0000FF"/>
                </w:rPr>
                <w:t>10.1</w:t>
              </w:r>
            </w:hyperlink>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9"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Registration Rights Agreement dated as of July 25, 2018 by and among M I Acquisitions, Inc. and the other parties thereto (incorporated</w:t>
              </w:r>
            </w:hyperlink>
          </w:p>
        </w:tc>
      </w:tr>
      <w:tr>
        <w:trPr>
          <w:trHeight w:val="230"/>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0" w:type="dxa"/>
            <w:vAlign w:val="bottom"/>
            <w:shd w:val="clear" w:color="auto" w:fill="CCEEFF"/>
          </w:tcPr>
          <w:p>
            <w:pPr>
              <w:spacing w:after="0"/>
              <w:rPr>
                <w:rFonts w:ascii="Arial" w:cs="Arial" w:eastAsia="Arial" w:hAnsi="Arial"/>
                <w:sz w:val="18"/>
                <w:szCs w:val="18"/>
                <w:color w:val="0000FF"/>
              </w:rPr>
            </w:pPr>
            <w:hyperlink r:id="rId57">
              <w:r>
                <w:rPr>
                  <w:rFonts w:ascii="Arial" w:cs="Arial" w:eastAsia="Arial" w:hAnsi="Arial"/>
                  <w:sz w:val="18"/>
                  <w:szCs w:val="18"/>
                  <w:color w:val="0000FF"/>
                </w:rPr>
                <w:t>by reference to Exhibit 10.1 to the Company's Current Report on Form 8-K, filed July 31, 2018).</w:t>
              </w:r>
            </w:hyperlink>
          </w:p>
        </w:tc>
      </w:tr>
      <w:tr>
        <w:trPr>
          <w:trHeight w:val="175"/>
        </w:trPr>
        <w:tc>
          <w:tcPr>
            <w:tcW w:w="1240" w:type="dxa"/>
            <w:vAlign w:val="bottom"/>
            <w:gridSpan w:val="3"/>
          </w:tcPr>
          <w:p>
            <w:pPr>
              <w:ind w:left="20"/>
              <w:spacing w:after="0" w:line="176" w:lineRule="exact"/>
              <w:rPr>
                <w:rFonts w:ascii="Arial" w:cs="Arial" w:eastAsia="Arial" w:hAnsi="Arial"/>
                <w:sz w:val="18"/>
                <w:szCs w:val="18"/>
                <w:color w:val="0000FF"/>
              </w:rPr>
            </w:pPr>
            <w:hyperlink r:id="rId58">
              <w:r>
                <w:rPr>
                  <w:rFonts w:ascii="Arial" w:cs="Arial" w:eastAsia="Arial" w:hAnsi="Arial"/>
                  <w:sz w:val="18"/>
                  <w:szCs w:val="18"/>
                  <w:color w:val="0000FF"/>
                </w:rPr>
                <w:t xml:space="preserve">10.2 </w:t>
              </w:r>
            </w:hyperlink>
            <w:r>
              <w:rPr>
                <w:rFonts w:ascii="Arial" w:cs="Arial" w:eastAsia="Arial" w:hAnsi="Arial"/>
                <w:sz w:val="18"/>
                <w:szCs w:val="18"/>
                <w:color w:val="000000"/>
              </w:rPr>
              <w:t>†</w:t>
            </w:r>
          </w:p>
        </w:tc>
        <w:tc>
          <w:tcPr>
            <w:tcW w:w="10000" w:type="dxa"/>
            <w:vAlign w:val="bottom"/>
          </w:tcPr>
          <w:p>
            <w:pPr>
              <w:spacing w:after="0" w:line="176" w:lineRule="exact"/>
              <w:rPr>
                <w:rFonts w:ascii="Arial" w:cs="Arial" w:eastAsia="Arial" w:hAnsi="Arial"/>
                <w:sz w:val="18"/>
                <w:szCs w:val="18"/>
                <w:color w:val="0000FF"/>
                <w:w w:val="96"/>
              </w:rPr>
            </w:pPr>
            <w:hyperlink r:id="rId58">
              <w:r>
                <w:rPr>
                  <w:rFonts w:ascii="Arial" w:cs="Arial" w:eastAsia="Arial" w:hAnsi="Arial"/>
                  <w:sz w:val="18"/>
                  <w:szCs w:val="18"/>
                  <w:color w:val="0000FF"/>
                  <w:w w:val="96"/>
                </w:rPr>
                <w:t>Priority Technology Holdings, Inc. 2018 Equity Incentive Plan (incorporated by reference to Exhibit 10.2 to the Company's Current</w:t>
              </w:r>
            </w:hyperlink>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rFonts w:ascii="Arial" w:cs="Arial" w:eastAsia="Arial" w:hAnsi="Arial"/>
                <w:sz w:val="18"/>
                <w:szCs w:val="18"/>
                <w:color w:val="0000FF"/>
              </w:rPr>
            </w:pPr>
            <w:hyperlink r:id="rId58">
              <w:r>
                <w:rPr>
                  <w:rFonts w:ascii="Arial" w:cs="Arial" w:eastAsia="Arial" w:hAnsi="Arial"/>
                  <w:sz w:val="18"/>
                  <w:szCs w:val="18"/>
                  <w:color w:val="0000FF"/>
                </w:rPr>
                <w:t>Report on Form 8-K, filed July 31, 2018).</w:t>
              </w:r>
            </w:hyperlink>
          </w:p>
        </w:tc>
      </w:tr>
      <w:tr>
        <w:trPr>
          <w:trHeight w:val="236"/>
        </w:trPr>
        <w:tc>
          <w:tcPr>
            <w:tcW w:w="1120" w:type="dxa"/>
            <w:vAlign w:val="bottom"/>
            <w:shd w:val="clear" w:color="auto" w:fill="CCEEFF"/>
          </w:tcPr>
          <w:p>
            <w:pPr>
              <w:ind w:left="20"/>
              <w:spacing w:after="0"/>
              <w:rPr>
                <w:rFonts w:ascii="Arial" w:cs="Arial" w:eastAsia="Arial" w:hAnsi="Arial"/>
                <w:sz w:val="18"/>
                <w:szCs w:val="18"/>
                <w:color w:val="0000FF"/>
              </w:rPr>
            </w:pPr>
            <w:hyperlink r:id="rId59">
              <w:r>
                <w:rPr>
                  <w:rFonts w:ascii="Arial" w:cs="Arial" w:eastAsia="Arial" w:hAnsi="Arial"/>
                  <w:sz w:val="18"/>
                  <w:szCs w:val="18"/>
                  <w:color w:val="0000FF"/>
                </w:rPr>
                <w:t>10.3</w:t>
              </w:r>
            </w:hyperlink>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0" w:type="dxa"/>
            <w:vAlign w:val="bottom"/>
            <w:shd w:val="clear" w:color="auto" w:fill="CCEEFF"/>
          </w:tcPr>
          <w:p>
            <w:pPr>
              <w:spacing w:after="0"/>
              <w:rPr>
                <w:rFonts w:ascii="Arial" w:cs="Arial" w:eastAsia="Arial" w:hAnsi="Arial"/>
                <w:sz w:val="18"/>
                <w:szCs w:val="18"/>
                <w:color w:val="0000FF"/>
              </w:rPr>
            </w:pPr>
            <w:hyperlink r:id="rId59">
              <w:r>
                <w:rPr>
                  <w:rFonts w:ascii="Arial" w:cs="Arial" w:eastAsia="Arial" w:hAnsi="Arial"/>
                  <w:sz w:val="18"/>
                  <w:szCs w:val="18"/>
                  <w:color w:val="0000FF"/>
                </w:rPr>
                <w:t>Priority Technology Holdings, Inc. 2021 Employee Stock Purchase Plan</w:t>
              </w:r>
            </w:hyperlink>
          </w:p>
        </w:tc>
      </w:tr>
      <w:tr>
        <w:trPr>
          <w:trHeight w:val="230"/>
        </w:trPr>
        <w:tc>
          <w:tcPr>
            <w:tcW w:w="1120" w:type="dxa"/>
            <w:vAlign w:val="bottom"/>
          </w:tcPr>
          <w:p>
            <w:pPr>
              <w:ind w:left="20"/>
              <w:spacing w:after="0"/>
              <w:rPr>
                <w:rFonts w:ascii="Arial" w:cs="Arial" w:eastAsia="Arial" w:hAnsi="Arial"/>
                <w:sz w:val="18"/>
                <w:szCs w:val="18"/>
                <w:color w:val="0000FF"/>
              </w:rPr>
            </w:pPr>
            <w:hyperlink r:id="rId60">
              <w:r>
                <w:rPr>
                  <w:rFonts w:ascii="Arial" w:cs="Arial" w:eastAsia="Arial" w:hAnsi="Arial"/>
                  <w:sz w:val="18"/>
                  <w:szCs w:val="18"/>
                  <w:color w:val="0000FF"/>
                </w:rPr>
                <w:t>10.3.1</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tcPr>
          <w:p>
            <w:pPr>
              <w:spacing w:after="0"/>
              <w:rPr>
                <w:rFonts w:ascii="Arial" w:cs="Arial" w:eastAsia="Arial" w:hAnsi="Arial"/>
                <w:sz w:val="18"/>
                <w:szCs w:val="18"/>
                <w:color w:val="0000FF"/>
              </w:rPr>
            </w:pPr>
            <w:hyperlink r:id="rId60">
              <w:r>
                <w:rPr>
                  <w:rFonts w:ascii="Arial" w:cs="Arial" w:eastAsia="Arial" w:hAnsi="Arial"/>
                  <w:sz w:val="18"/>
                  <w:szCs w:val="18"/>
                  <w:color w:val="0000FF"/>
                </w:rPr>
                <w:t>Amendment No. 1 to Priority Technology Holdings, Inc. 2021 Employee Stock Purchase Plan</w:t>
              </w:r>
            </w:hyperlink>
          </w:p>
        </w:tc>
      </w:tr>
      <w:tr>
        <w:trPr>
          <w:trHeight w:val="243"/>
        </w:trPr>
        <w:tc>
          <w:tcPr>
            <w:tcW w:w="1240" w:type="dxa"/>
            <w:vAlign w:val="bottom"/>
            <w:gridSpan w:val="3"/>
            <w:shd w:val="clear" w:color="auto" w:fill="CCEEFF"/>
          </w:tcPr>
          <w:p>
            <w:pPr>
              <w:ind w:left="20"/>
              <w:spacing w:after="0"/>
              <w:rPr>
                <w:rFonts w:ascii="Arial" w:cs="Arial" w:eastAsia="Arial" w:hAnsi="Arial"/>
                <w:sz w:val="18"/>
                <w:szCs w:val="18"/>
                <w:color w:val="0000FF"/>
              </w:rPr>
            </w:pPr>
            <w:hyperlink r:id="rId61">
              <w:r>
                <w:rPr>
                  <w:rFonts w:ascii="Arial" w:cs="Arial" w:eastAsia="Arial" w:hAnsi="Arial"/>
                  <w:sz w:val="18"/>
                  <w:szCs w:val="18"/>
                  <w:color w:val="0000FF"/>
                </w:rPr>
                <w:t xml:space="preserve">10.4 </w:t>
              </w:r>
            </w:hyperlink>
            <w:r>
              <w:rPr>
                <w:rFonts w:ascii="Arial" w:cs="Arial" w:eastAsia="Arial" w:hAnsi="Arial"/>
                <w:sz w:val="18"/>
                <w:szCs w:val="18"/>
                <w:color w:val="000000"/>
              </w:rPr>
              <w:t>†</w:t>
            </w:r>
          </w:p>
        </w:tc>
        <w:tc>
          <w:tcPr>
            <w:tcW w:w="10000" w:type="dxa"/>
            <w:vAlign w:val="bottom"/>
            <w:shd w:val="clear" w:color="auto" w:fill="CCEEFF"/>
          </w:tcPr>
          <w:p>
            <w:pPr>
              <w:spacing w:after="0"/>
              <w:rPr>
                <w:rFonts w:ascii="Arial" w:cs="Arial" w:eastAsia="Arial" w:hAnsi="Arial"/>
                <w:sz w:val="18"/>
                <w:szCs w:val="18"/>
                <w:color w:val="0000FF"/>
              </w:rPr>
            </w:pPr>
            <w:hyperlink r:id="rId61">
              <w:r>
                <w:rPr>
                  <w:rFonts w:ascii="Arial" w:cs="Arial" w:eastAsia="Arial" w:hAnsi="Arial"/>
                  <w:sz w:val="18"/>
                  <w:szCs w:val="18"/>
                  <w:color w:val="0000FF"/>
                </w:rPr>
                <w:t>Credit Agreement, dated as of April 27, 2021, among the Loan Parties name therein and Truist Bank.</w:t>
              </w:r>
            </w:hyperlink>
          </w:p>
        </w:tc>
      </w:tr>
      <w:tr>
        <w:trPr>
          <w:trHeight w:val="176"/>
        </w:trPr>
        <w:tc>
          <w:tcPr>
            <w:tcW w:w="1240" w:type="dxa"/>
            <w:vAlign w:val="bottom"/>
            <w:gridSpan w:val="3"/>
          </w:tcPr>
          <w:p>
            <w:pPr>
              <w:ind w:left="20"/>
              <w:spacing w:after="0" w:line="176" w:lineRule="exact"/>
              <w:rPr>
                <w:rFonts w:ascii="Arial" w:cs="Arial" w:eastAsia="Arial" w:hAnsi="Arial"/>
                <w:sz w:val="18"/>
                <w:szCs w:val="18"/>
                <w:color w:val="0000FF"/>
              </w:rPr>
            </w:pPr>
            <w:hyperlink r:id="rId62">
              <w:r>
                <w:rPr>
                  <w:rFonts w:ascii="Arial" w:cs="Arial" w:eastAsia="Arial" w:hAnsi="Arial"/>
                  <w:sz w:val="18"/>
                  <w:szCs w:val="18"/>
                  <w:color w:val="0000FF"/>
                </w:rPr>
                <w:t xml:space="preserve">10.5 </w:t>
              </w:r>
            </w:hyperlink>
            <w:r>
              <w:rPr>
                <w:rFonts w:ascii="Arial" w:cs="Arial" w:eastAsia="Arial" w:hAnsi="Arial"/>
                <w:sz w:val="18"/>
                <w:szCs w:val="18"/>
                <w:color w:val="000000"/>
              </w:rPr>
              <w:t>†</w:t>
            </w:r>
          </w:p>
        </w:tc>
        <w:tc>
          <w:tcPr>
            <w:tcW w:w="10000" w:type="dxa"/>
            <w:vAlign w:val="bottom"/>
          </w:tcPr>
          <w:p>
            <w:pPr>
              <w:spacing w:after="0" w:line="17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Director Agreement by and among Priority Holdings LLC, Pipeline Cynergy Holdings, LLC, Priority Payment Systems Holdings, LLC</w:t>
              </w:r>
            </w:hyperlink>
          </w:p>
        </w:tc>
      </w:tr>
      <w:tr>
        <w:trPr>
          <w:trHeight w:val="175"/>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Pr>
          <w:p>
            <w:pPr>
              <w:spacing w:after="0" w:line="17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and Thomas C. Priore, dated May 21, 2014 (incorporated by reference to Exhibit 10.6 to the Company's Registration Statement on Form</w:t>
              </w:r>
            </w:hyperlink>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Pr>
          <w:p>
            <w:pPr>
              <w:spacing w:after="0"/>
              <w:rPr>
                <w:rFonts w:ascii="Arial" w:cs="Arial" w:eastAsia="Arial" w:hAnsi="Arial"/>
                <w:sz w:val="18"/>
                <w:szCs w:val="18"/>
                <w:color w:val="0000FF"/>
              </w:rPr>
            </w:pPr>
            <w:hyperlink r:id="rId62">
              <w:r>
                <w:rPr>
                  <w:rFonts w:ascii="Arial" w:cs="Arial" w:eastAsia="Arial" w:hAnsi="Arial"/>
                  <w:sz w:val="18"/>
                  <w:szCs w:val="18"/>
                  <w:color w:val="0000FF"/>
                </w:rPr>
                <w:t>S-4/A, filed December 26, 2018).</w:t>
              </w:r>
            </w:hyperlink>
          </w:p>
        </w:tc>
      </w:tr>
      <w:tr>
        <w:trPr>
          <w:trHeight w:val="182"/>
        </w:trPr>
        <w:tc>
          <w:tcPr>
            <w:tcW w:w="1240" w:type="dxa"/>
            <w:vAlign w:val="bottom"/>
            <w:gridSpan w:val="3"/>
            <w:shd w:val="clear" w:color="auto" w:fill="CCEEFF"/>
          </w:tcPr>
          <w:p>
            <w:pPr>
              <w:ind w:left="20"/>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 xml:space="preserve">10.6 </w:t>
              </w:r>
            </w:hyperlink>
            <w:r>
              <w:rPr>
                <w:rFonts w:ascii="Arial" w:cs="Arial" w:eastAsia="Arial" w:hAnsi="Arial"/>
                <w:sz w:val="18"/>
                <w:szCs w:val="18"/>
                <w:color w:val="000000"/>
              </w:rPr>
              <w:t>†</w:t>
            </w:r>
          </w:p>
        </w:tc>
        <w:tc>
          <w:tcPr>
            <w:tcW w:w="10000" w:type="dxa"/>
            <w:vAlign w:val="bottom"/>
            <w:shd w:val="clear" w:color="auto" w:fill="CCEEFF"/>
          </w:tcPr>
          <w:p>
            <w:pPr>
              <w:spacing w:after="0" w:line="182" w:lineRule="exact"/>
              <w:rPr>
                <w:rFonts w:ascii="Arial" w:cs="Arial" w:eastAsia="Arial" w:hAnsi="Arial"/>
                <w:sz w:val="18"/>
                <w:szCs w:val="18"/>
                <w:color w:val="0000FF"/>
                <w:w w:val="97"/>
              </w:rPr>
            </w:pPr>
            <w:hyperlink r:id="rId63">
              <w:r>
                <w:rPr>
                  <w:rFonts w:ascii="Arial" w:cs="Arial" w:eastAsia="Arial" w:hAnsi="Arial"/>
                  <w:sz w:val="18"/>
                  <w:szCs w:val="18"/>
                  <w:color w:val="0000FF"/>
                  <w:w w:val="97"/>
                </w:rPr>
                <w:t>Amendment No. 1 to Director Agreement by and among Priority Holdings LLC, Pipeline Cynergy Holdings, LLC, Priority Payment</w:t>
              </w:r>
            </w:hyperlink>
          </w:p>
        </w:tc>
      </w:tr>
      <w:tr>
        <w:trPr>
          <w:trHeight w:val="175"/>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0" w:type="dxa"/>
            <w:vAlign w:val="bottom"/>
            <w:shd w:val="clear" w:color="auto" w:fill="CCEEFF"/>
          </w:tcPr>
          <w:p>
            <w:pPr>
              <w:spacing w:after="0" w:line="176" w:lineRule="exact"/>
              <w:rPr>
                <w:rFonts w:ascii="Arial" w:cs="Arial" w:eastAsia="Arial" w:hAnsi="Arial"/>
                <w:sz w:val="18"/>
                <w:szCs w:val="18"/>
                <w:color w:val="0000FF"/>
                <w:w w:val="97"/>
              </w:rPr>
            </w:pPr>
            <w:hyperlink r:id="rId63">
              <w:r>
                <w:rPr>
                  <w:rFonts w:ascii="Arial" w:cs="Arial" w:eastAsia="Arial" w:hAnsi="Arial"/>
                  <w:sz w:val="18"/>
                  <w:szCs w:val="18"/>
                  <w:color w:val="0000FF"/>
                  <w:w w:val="97"/>
                </w:rPr>
                <w:t>Systems Holdings, LLC and Thomas C. Priore, dated April 19, 2018 (incorporated by reference to Exhibit 10.7 to the Company's</w:t>
              </w:r>
            </w:hyperlink>
          </w:p>
        </w:tc>
      </w:tr>
      <w:tr>
        <w:trPr>
          <w:trHeight w:val="243"/>
        </w:trPr>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0" w:type="dxa"/>
            <w:vAlign w:val="bottom"/>
            <w:shd w:val="clear" w:color="auto" w:fill="CCEEFF"/>
          </w:tcPr>
          <w:p>
            <w:pPr>
              <w:spacing w:after="0"/>
              <w:rPr>
                <w:rFonts w:ascii="Arial" w:cs="Arial" w:eastAsia="Arial" w:hAnsi="Arial"/>
                <w:sz w:val="18"/>
                <w:szCs w:val="18"/>
                <w:color w:val="0000FF"/>
              </w:rPr>
            </w:pPr>
            <w:hyperlink r:id="rId63">
              <w:r>
                <w:rPr>
                  <w:rFonts w:ascii="Arial" w:cs="Arial" w:eastAsia="Arial" w:hAnsi="Arial"/>
                  <w:sz w:val="18"/>
                  <w:szCs w:val="18"/>
                  <w:color w:val="0000FF"/>
                </w:rPr>
                <w:t>Registration Statement on Form S-4/A, filed December 26, 2018).</w:t>
              </w:r>
            </w:hyperlink>
          </w:p>
        </w:tc>
      </w:tr>
      <w:tr>
        <w:trPr>
          <w:trHeight w:val="176"/>
        </w:trPr>
        <w:tc>
          <w:tcPr>
            <w:tcW w:w="1240" w:type="dxa"/>
            <w:vAlign w:val="bottom"/>
            <w:gridSpan w:val="3"/>
          </w:tcPr>
          <w:p>
            <w:pPr>
              <w:ind w:left="20"/>
              <w:spacing w:after="0" w:line="176" w:lineRule="exact"/>
              <w:rPr>
                <w:rFonts w:ascii="Arial" w:cs="Arial" w:eastAsia="Arial" w:hAnsi="Arial"/>
                <w:sz w:val="18"/>
                <w:szCs w:val="18"/>
                <w:color w:val="0000FF"/>
              </w:rPr>
            </w:pPr>
            <w:hyperlink r:id="rId64">
              <w:r>
                <w:rPr>
                  <w:rFonts w:ascii="Arial" w:cs="Arial" w:eastAsia="Arial" w:hAnsi="Arial"/>
                  <w:sz w:val="18"/>
                  <w:szCs w:val="18"/>
                  <w:color w:val="0000FF"/>
                </w:rPr>
                <w:t xml:space="preserve">10.11 </w:t>
              </w:r>
            </w:hyperlink>
            <w:r>
              <w:rPr>
                <w:rFonts w:ascii="Arial" w:cs="Arial" w:eastAsia="Arial" w:hAnsi="Arial"/>
                <w:sz w:val="18"/>
                <w:szCs w:val="18"/>
                <w:color w:val="000000"/>
              </w:rPr>
              <w:t>†</w:t>
            </w:r>
          </w:p>
        </w:tc>
        <w:tc>
          <w:tcPr>
            <w:tcW w:w="10000" w:type="dxa"/>
            <w:vAlign w:val="bottom"/>
          </w:tcPr>
          <w:p>
            <w:pPr>
              <w:spacing w:after="0" w:line="176"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Executive Employment Agreement between Priority Technology Holdings, Inc. and Michael Vollkommer, dated December 20, 2018</w:t>
              </w:r>
            </w:hyperlink>
          </w:p>
        </w:tc>
      </w:tr>
      <w:tr>
        <w:trPr>
          <w:trHeight w:val="229"/>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tcPr>
          <w:p>
            <w:pPr>
              <w:spacing w:after="0"/>
              <w:rPr>
                <w:rFonts w:ascii="Arial" w:cs="Arial" w:eastAsia="Arial" w:hAnsi="Arial"/>
                <w:sz w:val="18"/>
                <w:szCs w:val="18"/>
                <w:color w:val="0000FF"/>
              </w:rPr>
            </w:pPr>
            <w:hyperlink r:id="rId64">
              <w:r>
                <w:rPr>
                  <w:rFonts w:ascii="Arial" w:cs="Arial" w:eastAsia="Arial" w:hAnsi="Arial"/>
                  <w:sz w:val="18"/>
                  <w:szCs w:val="18"/>
                  <w:color w:val="0000FF"/>
                </w:rPr>
                <w:t>(incorporated by reference to Exhibit 10.1 to the Company's Current Report on Form 8-K, filed December 26, 2018).</w:t>
              </w:r>
            </w:hyperlink>
          </w:p>
        </w:tc>
      </w:tr>
      <w:tr>
        <w:trPr>
          <w:trHeight w:val="188"/>
        </w:trPr>
        <w:tc>
          <w:tcPr>
            <w:tcW w:w="12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65">
              <w:r>
                <w:rPr>
                  <w:rFonts w:ascii="Arial" w:cs="Arial" w:eastAsia="Arial" w:hAnsi="Arial"/>
                  <w:sz w:val="18"/>
                  <w:szCs w:val="18"/>
                  <w:color w:val="0000FF"/>
                </w:rPr>
                <w:t xml:space="preserve">10.12 </w:t>
              </w:r>
            </w:hyperlink>
            <w:r>
              <w:rPr>
                <w:rFonts w:ascii="Arial" w:cs="Arial" w:eastAsia="Arial" w:hAnsi="Arial"/>
                <w:sz w:val="18"/>
                <w:szCs w:val="18"/>
                <w:color w:val="000000"/>
              </w:rPr>
              <w:t>†</w:t>
            </w:r>
          </w:p>
        </w:tc>
        <w:tc>
          <w:tcPr>
            <w:tcW w:w="10000" w:type="dxa"/>
            <w:vAlign w:val="bottom"/>
            <w:shd w:val="clear" w:color="auto" w:fill="CCEEFF"/>
          </w:tcPr>
          <w:p>
            <w:pPr>
              <w:spacing w:after="0" w:line="189"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Restricted Stock Unit Award Agreement between Priority Technology Holdings, Inc. and Michael Vollkommer, dated December 20, 2018</w:t>
              </w:r>
            </w:hyperlink>
          </w:p>
        </w:tc>
      </w:tr>
      <w:tr>
        <w:trPr>
          <w:trHeight w:val="230"/>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0" w:type="dxa"/>
            <w:vAlign w:val="bottom"/>
            <w:shd w:val="clear" w:color="auto" w:fill="CCEEFF"/>
          </w:tcPr>
          <w:p>
            <w:pPr>
              <w:spacing w:after="0"/>
              <w:rPr>
                <w:rFonts w:ascii="Arial" w:cs="Arial" w:eastAsia="Arial" w:hAnsi="Arial"/>
                <w:sz w:val="18"/>
                <w:szCs w:val="18"/>
                <w:color w:val="0000FF"/>
              </w:rPr>
            </w:pPr>
            <w:hyperlink r:id="rId65">
              <w:r>
                <w:rPr>
                  <w:rFonts w:ascii="Arial" w:cs="Arial" w:eastAsia="Arial" w:hAnsi="Arial"/>
                  <w:sz w:val="18"/>
                  <w:szCs w:val="18"/>
                  <w:color w:val="0000FF"/>
                </w:rPr>
                <w:t>(incorporated by reference to Exhibit 10.13 to the Company's Annual Report on Form 10-K, filed March 29, 2019).</w:t>
              </w:r>
            </w:hyperlink>
          </w:p>
        </w:tc>
      </w:tr>
      <w:tr>
        <w:trPr>
          <w:trHeight w:val="175"/>
        </w:trPr>
        <w:tc>
          <w:tcPr>
            <w:tcW w:w="1240" w:type="dxa"/>
            <w:vAlign w:val="bottom"/>
            <w:gridSpan w:val="3"/>
          </w:tcPr>
          <w:p>
            <w:pPr>
              <w:ind w:left="20"/>
              <w:spacing w:after="0" w:line="176" w:lineRule="exact"/>
              <w:rPr>
                <w:rFonts w:ascii="Arial" w:cs="Arial" w:eastAsia="Arial" w:hAnsi="Arial"/>
                <w:sz w:val="18"/>
                <w:szCs w:val="18"/>
                <w:color w:val="0000FF"/>
              </w:rPr>
            </w:pPr>
            <w:hyperlink r:id="rId66">
              <w:r>
                <w:rPr>
                  <w:rFonts w:ascii="Arial" w:cs="Arial" w:eastAsia="Arial" w:hAnsi="Arial"/>
                  <w:sz w:val="18"/>
                  <w:szCs w:val="18"/>
                  <w:color w:val="0000FF"/>
                </w:rPr>
                <w:t xml:space="preserve">10.13 </w:t>
              </w:r>
            </w:hyperlink>
            <w:r>
              <w:rPr>
                <w:rFonts w:ascii="Arial" w:cs="Arial" w:eastAsia="Arial" w:hAnsi="Arial"/>
                <w:sz w:val="18"/>
                <w:szCs w:val="18"/>
                <w:color w:val="000000"/>
              </w:rPr>
              <w:t>†</w:t>
            </w:r>
          </w:p>
        </w:tc>
        <w:tc>
          <w:tcPr>
            <w:tcW w:w="10000" w:type="dxa"/>
            <w:vAlign w:val="bottom"/>
          </w:tcPr>
          <w:p>
            <w:pPr>
              <w:spacing w:after="0" w:line="176"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Form of Independent Director Agreement (incorporated by reference to Exhibit 10.19 to the Company's Annual Report on Form 10-K,</w:t>
              </w:r>
            </w:hyperlink>
          </w:p>
        </w:tc>
      </w:tr>
      <w:tr>
        <w:trPr>
          <w:trHeight w:val="230"/>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tcPr>
          <w:p>
            <w:pPr>
              <w:spacing w:after="0"/>
              <w:rPr>
                <w:rFonts w:ascii="Arial" w:cs="Arial" w:eastAsia="Arial" w:hAnsi="Arial"/>
                <w:sz w:val="18"/>
                <w:szCs w:val="18"/>
                <w:color w:val="0000FF"/>
              </w:rPr>
            </w:pPr>
            <w:hyperlink r:id="rId66">
              <w:r>
                <w:rPr>
                  <w:rFonts w:ascii="Arial" w:cs="Arial" w:eastAsia="Arial" w:hAnsi="Arial"/>
                  <w:sz w:val="18"/>
                  <w:szCs w:val="18"/>
                  <w:color w:val="0000FF"/>
                </w:rPr>
                <w:t>filed March 29, 2019).</w:t>
              </w:r>
            </w:hyperlink>
          </w:p>
        </w:tc>
      </w:tr>
      <w:tr>
        <w:trPr>
          <w:trHeight w:val="188"/>
        </w:trPr>
        <w:tc>
          <w:tcPr>
            <w:tcW w:w="1120" w:type="dxa"/>
            <w:vAlign w:val="bottom"/>
            <w:shd w:val="clear" w:color="auto" w:fill="CCEEFF"/>
          </w:tcPr>
          <w:p>
            <w:pPr>
              <w:ind w:left="20"/>
              <w:spacing w:after="0" w:line="189" w:lineRule="exact"/>
              <w:rPr>
                <w:rFonts w:ascii="Arial" w:cs="Arial" w:eastAsia="Arial" w:hAnsi="Arial"/>
                <w:sz w:val="18"/>
                <w:szCs w:val="18"/>
                <w:color w:val="0000FF"/>
              </w:rPr>
            </w:pPr>
            <w:hyperlink r:id="rId67">
              <w:r>
                <w:rPr>
                  <w:rFonts w:ascii="Arial" w:cs="Arial" w:eastAsia="Arial" w:hAnsi="Arial"/>
                  <w:sz w:val="18"/>
                  <w:szCs w:val="18"/>
                  <w:color w:val="0000FF"/>
                </w:rPr>
                <w:t>10.14</w:t>
              </w:r>
            </w:hyperlink>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9" w:lineRule="exact"/>
              <w:rPr>
                <w:rFonts w:ascii="Arial" w:cs="Arial" w:eastAsia="Arial" w:hAnsi="Arial"/>
                <w:sz w:val="18"/>
                <w:szCs w:val="18"/>
                <w:color w:val="0000FF"/>
                <w:w w:val="94"/>
              </w:rPr>
            </w:pPr>
            <w:hyperlink r:id="rId67">
              <w:r>
                <w:rPr>
                  <w:rFonts w:ascii="Arial" w:cs="Arial" w:eastAsia="Arial" w:hAnsi="Arial"/>
                  <w:sz w:val="18"/>
                  <w:szCs w:val="18"/>
                  <w:color w:val="0000FF"/>
                  <w:w w:val="94"/>
                </w:rPr>
                <w:t>Asset Purchase Agreement by and between MRI Payments LLC, MRI Software LLC, and Priority Real Estate Technology LLC, dated</w:t>
              </w:r>
            </w:hyperlink>
          </w:p>
        </w:tc>
      </w:tr>
      <w:tr>
        <w:trPr>
          <w:trHeight w:val="230"/>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0" w:type="dxa"/>
            <w:vAlign w:val="bottom"/>
            <w:shd w:val="clear" w:color="auto" w:fill="CCEEFF"/>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August 31, 2020 (incorporated by reference to Exhibit 10.1 to the Company's Current Report on Form 8-K filed September 1, 2020).</w:t>
              </w:r>
            </w:hyperlink>
          </w:p>
        </w:tc>
      </w:tr>
      <w:tr>
        <w:trPr>
          <w:trHeight w:val="230"/>
        </w:trPr>
        <w:tc>
          <w:tcPr>
            <w:tcW w:w="1120" w:type="dxa"/>
            <w:vAlign w:val="bottom"/>
          </w:tcPr>
          <w:p>
            <w:pPr>
              <w:ind w:left="20"/>
              <w:spacing w:after="0"/>
              <w:rPr>
                <w:rFonts w:ascii="Arial" w:cs="Arial" w:eastAsia="Arial" w:hAnsi="Arial"/>
                <w:sz w:val="18"/>
                <w:szCs w:val="18"/>
                <w:color w:val="0000FF"/>
              </w:rPr>
            </w:pPr>
            <w:hyperlink r:id="rId68">
              <w:r>
                <w:rPr>
                  <w:rFonts w:ascii="Arial" w:cs="Arial" w:eastAsia="Arial" w:hAnsi="Arial"/>
                  <w:sz w:val="18"/>
                  <w:szCs w:val="18"/>
                  <w:color w:val="0000FF"/>
                </w:rPr>
                <w:t>10.15</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tcPr>
          <w:p>
            <w:pPr>
              <w:spacing w:after="0"/>
              <w:rPr>
                <w:rFonts w:ascii="Arial" w:cs="Arial" w:eastAsia="Arial" w:hAnsi="Arial"/>
                <w:sz w:val="18"/>
                <w:szCs w:val="18"/>
                <w:color w:val="0000FF"/>
              </w:rPr>
            </w:pPr>
            <w:hyperlink r:id="rId68">
              <w:r>
                <w:rPr>
                  <w:rFonts w:ascii="Arial" w:cs="Arial" w:eastAsia="Arial" w:hAnsi="Arial"/>
                  <w:sz w:val="18"/>
                  <w:szCs w:val="18"/>
                  <w:color w:val="0000FF"/>
                </w:rPr>
                <w:t>Support Agreement, dated as of March 5, 2021, by and among the Stockholders and Finxera</w:t>
              </w:r>
            </w:hyperlink>
          </w:p>
        </w:tc>
      </w:tr>
      <w:tr>
        <w:trPr>
          <w:trHeight w:val="243"/>
        </w:trPr>
        <w:tc>
          <w:tcPr>
            <w:tcW w:w="1120" w:type="dxa"/>
            <w:vAlign w:val="bottom"/>
            <w:shd w:val="clear" w:color="auto" w:fill="CCEEFF"/>
          </w:tcPr>
          <w:p>
            <w:pPr>
              <w:ind w:left="20"/>
              <w:spacing w:after="0"/>
              <w:rPr>
                <w:rFonts w:ascii="Arial" w:cs="Arial" w:eastAsia="Arial" w:hAnsi="Arial"/>
                <w:sz w:val="18"/>
                <w:szCs w:val="18"/>
                <w:color w:val="0000FF"/>
              </w:rPr>
            </w:pPr>
            <w:hyperlink r:id="rId69">
              <w:r>
                <w:rPr>
                  <w:rFonts w:ascii="Arial" w:cs="Arial" w:eastAsia="Arial" w:hAnsi="Arial"/>
                  <w:sz w:val="18"/>
                  <w:szCs w:val="18"/>
                  <w:color w:val="0000FF"/>
                </w:rPr>
                <w:t>10.16</w:t>
              </w:r>
            </w:hyperlink>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0" w:type="dxa"/>
            <w:vAlign w:val="bottom"/>
            <w:shd w:val="clear" w:color="auto" w:fill="CCEEFF"/>
          </w:tcPr>
          <w:p>
            <w:pPr>
              <w:spacing w:after="0"/>
              <w:rPr>
                <w:rFonts w:ascii="Arial" w:cs="Arial" w:eastAsia="Arial" w:hAnsi="Arial"/>
                <w:sz w:val="18"/>
                <w:szCs w:val="18"/>
                <w:color w:val="0000FF"/>
              </w:rPr>
            </w:pPr>
            <w:hyperlink r:id="rId69">
              <w:r>
                <w:rPr>
                  <w:rFonts w:ascii="Arial" w:cs="Arial" w:eastAsia="Arial" w:hAnsi="Arial"/>
                  <w:sz w:val="18"/>
                  <w:szCs w:val="18"/>
                  <w:color w:val="0000FF"/>
                </w:rPr>
                <w:t>Debt Commitment Letter, dated as of March 5, 2021, between Priority Holdings, LLC and Truist Securities, Inc.</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ind w:left="20"/>
              <w:spacing w:after="0"/>
              <w:rPr>
                <w:rFonts w:ascii="Arial" w:cs="Arial" w:eastAsia="Arial" w:hAnsi="Arial"/>
                <w:sz w:val="18"/>
                <w:szCs w:val="18"/>
                <w:color w:val="0000FF"/>
                <w:w w:val="97"/>
              </w:rPr>
            </w:pPr>
            <w:hyperlink r:id="rId71">
              <w:r>
                <w:rPr>
                  <w:rFonts w:ascii="Arial" w:cs="Arial" w:eastAsia="Arial" w:hAnsi="Arial"/>
                  <w:sz w:val="18"/>
                  <w:szCs w:val="18"/>
                  <w:color w:val="0000FF"/>
                  <w:w w:val="97"/>
                </w:rPr>
                <w:t>10.17</w:t>
              </w:r>
            </w:hyperlink>
          </w:p>
        </w:tc>
        <w:tc>
          <w:tcPr>
            <w:tcW w:w="560" w:type="dxa"/>
            <w:vAlign w:val="bottom"/>
          </w:tcPr>
          <w:p>
            <w:pPr>
              <w:spacing w:after="0"/>
              <w:rPr>
                <w:sz w:val="17"/>
                <w:szCs w:val="17"/>
                <w:color w:val="auto"/>
              </w:rPr>
            </w:pPr>
          </w:p>
        </w:tc>
        <w:tc>
          <w:tcPr>
            <w:tcW w:w="10200" w:type="dxa"/>
            <w:vAlign w:val="bottom"/>
          </w:tcPr>
          <w:p>
            <w:pPr>
              <w:ind w:left="200"/>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Preferred Stock Commitment Letter, dated as of March 5, 2021, among the Company and certain affiliates of Ares Capital Management</w:t>
              </w:r>
            </w:hyperlink>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0" w:type="dxa"/>
            <w:vAlign w:val="bottom"/>
          </w:tcPr>
          <w:p>
            <w:pPr>
              <w:ind w:left="200"/>
              <w:spacing w:after="0"/>
              <w:rPr>
                <w:rFonts w:ascii="Arial" w:cs="Arial" w:eastAsia="Arial" w:hAnsi="Arial"/>
                <w:sz w:val="18"/>
                <w:szCs w:val="18"/>
                <w:color w:val="0000FF"/>
              </w:rPr>
            </w:pPr>
            <w:hyperlink r:id="rId71">
              <w:r>
                <w:rPr>
                  <w:rFonts w:ascii="Arial" w:cs="Arial" w:eastAsia="Arial" w:hAnsi="Arial"/>
                  <w:sz w:val="18"/>
                  <w:szCs w:val="18"/>
                  <w:color w:val="0000FF"/>
                </w:rPr>
                <w:t>LLC</w:t>
              </w:r>
            </w:hyperlink>
          </w:p>
        </w:tc>
      </w:tr>
      <w:tr>
        <w:trPr>
          <w:trHeight w:val="236"/>
        </w:trPr>
        <w:tc>
          <w:tcPr>
            <w:tcW w:w="480" w:type="dxa"/>
            <w:vAlign w:val="bottom"/>
            <w:shd w:val="clear" w:color="auto" w:fill="CCEEFF"/>
          </w:tcPr>
          <w:p>
            <w:pPr>
              <w:ind w:left="20"/>
              <w:spacing w:after="0"/>
              <w:rPr>
                <w:rFonts w:ascii="Arial" w:cs="Arial" w:eastAsia="Arial" w:hAnsi="Arial"/>
                <w:sz w:val="18"/>
                <w:szCs w:val="18"/>
                <w:color w:val="0000FF"/>
                <w:w w:val="97"/>
              </w:rPr>
            </w:pPr>
            <w:hyperlink r:id="rId72">
              <w:r>
                <w:rPr>
                  <w:rFonts w:ascii="Arial" w:cs="Arial" w:eastAsia="Arial" w:hAnsi="Arial"/>
                  <w:sz w:val="18"/>
                  <w:szCs w:val="18"/>
                  <w:color w:val="0000FF"/>
                  <w:w w:val="97"/>
                </w:rPr>
                <w:t>10.18</w:t>
              </w:r>
            </w:hyperlink>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0" w:type="dxa"/>
            <w:vAlign w:val="bottom"/>
            <w:shd w:val="clear" w:color="auto" w:fill="CCEEFF"/>
          </w:tcPr>
          <w:p>
            <w:pPr>
              <w:ind w:left="200"/>
              <w:spacing w:after="0"/>
              <w:rPr>
                <w:rFonts w:ascii="Arial" w:cs="Arial" w:eastAsia="Arial" w:hAnsi="Arial"/>
                <w:sz w:val="18"/>
                <w:szCs w:val="18"/>
                <w:color w:val="0000FF"/>
              </w:rPr>
            </w:pPr>
            <w:hyperlink r:id="rId72">
              <w:r>
                <w:rPr>
                  <w:rFonts w:ascii="Arial" w:cs="Arial" w:eastAsia="Arial" w:hAnsi="Arial"/>
                  <w:sz w:val="18"/>
                  <w:szCs w:val="18"/>
                  <w:color w:val="0000FF"/>
                </w:rPr>
                <w:t>Securities Purchase Agreement, dated as of April 27, 2021, among the Company and the Investors named therein</w:t>
              </w:r>
            </w:hyperlink>
          </w:p>
        </w:tc>
      </w:tr>
      <w:tr>
        <w:trPr>
          <w:trHeight w:val="230"/>
        </w:trPr>
        <w:tc>
          <w:tcPr>
            <w:tcW w:w="480" w:type="dxa"/>
            <w:vAlign w:val="bottom"/>
          </w:tcPr>
          <w:p>
            <w:pPr>
              <w:ind w:left="20"/>
              <w:spacing w:after="0"/>
              <w:rPr>
                <w:rFonts w:ascii="Arial" w:cs="Arial" w:eastAsia="Arial" w:hAnsi="Arial"/>
                <w:sz w:val="18"/>
                <w:szCs w:val="18"/>
                <w:color w:val="0000FF"/>
                <w:w w:val="97"/>
              </w:rPr>
            </w:pPr>
            <w:hyperlink r:id="rId73">
              <w:r>
                <w:rPr>
                  <w:rFonts w:ascii="Arial" w:cs="Arial" w:eastAsia="Arial" w:hAnsi="Arial"/>
                  <w:sz w:val="18"/>
                  <w:szCs w:val="18"/>
                  <w:color w:val="0000FF"/>
                  <w:w w:val="97"/>
                </w:rPr>
                <w:t>10.19</w:t>
              </w:r>
            </w:hyperlink>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0200" w:type="dxa"/>
            <w:vAlign w:val="bottom"/>
          </w:tcPr>
          <w:p>
            <w:pPr>
              <w:ind w:left="200"/>
              <w:spacing w:after="0"/>
              <w:rPr>
                <w:rFonts w:ascii="Arial" w:cs="Arial" w:eastAsia="Arial" w:hAnsi="Arial"/>
                <w:sz w:val="18"/>
                <w:szCs w:val="18"/>
                <w:color w:val="0000FF"/>
              </w:rPr>
            </w:pPr>
            <w:hyperlink r:id="rId73">
              <w:r>
                <w:rPr>
                  <w:rFonts w:ascii="Arial" w:cs="Arial" w:eastAsia="Arial" w:hAnsi="Arial"/>
                  <w:sz w:val="18"/>
                  <w:szCs w:val="18"/>
                  <w:color w:val="0000FF"/>
                </w:rPr>
                <w:t>Registration Rights Agreement, dated as of April 27, 2021, among the Company and the Investors name therein</w:t>
              </w:r>
            </w:hyperlink>
          </w:p>
        </w:tc>
      </w:tr>
      <w:tr>
        <w:trPr>
          <w:trHeight w:val="243"/>
        </w:trPr>
        <w:tc>
          <w:tcPr>
            <w:tcW w:w="480" w:type="dxa"/>
            <w:vAlign w:val="bottom"/>
            <w:shd w:val="clear" w:color="auto" w:fill="CCEEFF"/>
          </w:tcPr>
          <w:p>
            <w:pPr>
              <w:ind w:left="20"/>
              <w:spacing w:after="0"/>
              <w:rPr>
                <w:rFonts w:ascii="Arial" w:cs="Arial" w:eastAsia="Arial" w:hAnsi="Arial"/>
                <w:sz w:val="18"/>
                <w:szCs w:val="18"/>
                <w:color w:val="0000FF"/>
                <w:w w:val="97"/>
              </w:rPr>
            </w:pPr>
            <w:hyperlink r:id="rId61">
              <w:r>
                <w:rPr>
                  <w:rFonts w:ascii="Arial" w:cs="Arial" w:eastAsia="Arial" w:hAnsi="Arial"/>
                  <w:sz w:val="18"/>
                  <w:szCs w:val="18"/>
                  <w:color w:val="0000FF"/>
                  <w:w w:val="97"/>
                </w:rPr>
                <w:t>10.21</w:t>
              </w:r>
            </w:hyperlink>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0" w:type="dxa"/>
            <w:vAlign w:val="bottom"/>
            <w:shd w:val="clear" w:color="auto" w:fill="CCEEFF"/>
          </w:tcPr>
          <w:p>
            <w:pPr>
              <w:ind w:left="200"/>
              <w:spacing w:after="0"/>
              <w:rPr>
                <w:rFonts w:ascii="Arial" w:cs="Arial" w:eastAsia="Arial" w:hAnsi="Arial"/>
                <w:sz w:val="18"/>
                <w:szCs w:val="18"/>
                <w:color w:val="0000FF"/>
              </w:rPr>
            </w:pPr>
            <w:hyperlink r:id="rId61">
              <w:r>
                <w:rPr>
                  <w:rFonts w:ascii="Arial" w:cs="Arial" w:eastAsia="Arial" w:hAnsi="Arial"/>
                  <w:sz w:val="18"/>
                  <w:szCs w:val="18"/>
                  <w:color w:val="0000FF"/>
                </w:rPr>
                <w:t>Credit Agreement, dated as of April 27, 2021, among the Loan Parties name therein and Truist Bank</w:t>
              </w:r>
            </w:hyperlink>
          </w:p>
        </w:tc>
      </w:tr>
      <w:tr>
        <w:trPr>
          <w:trHeight w:val="176"/>
        </w:trPr>
        <w:tc>
          <w:tcPr>
            <w:tcW w:w="480" w:type="dxa"/>
            <w:vAlign w:val="bottom"/>
          </w:tcPr>
          <w:p>
            <w:pPr>
              <w:ind w:left="20"/>
              <w:spacing w:after="0" w:line="176" w:lineRule="exact"/>
              <w:rPr>
                <w:rFonts w:ascii="Arial" w:cs="Arial" w:eastAsia="Arial" w:hAnsi="Arial"/>
                <w:sz w:val="18"/>
                <w:szCs w:val="18"/>
                <w:color w:val="0000FF"/>
                <w:w w:val="97"/>
              </w:rPr>
            </w:pPr>
            <w:hyperlink r:id="rId74">
              <w:r>
                <w:rPr>
                  <w:rFonts w:ascii="Arial" w:cs="Arial" w:eastAsia="Arial" w:hAnsi="Arial"/>
                  <w:sz w:val="18"/>
                  <w:szCs w:val="18"/>
                  <w:color w:val="0000FF"/>
                  <w:w w:val="97"/>
                </w:rPr>
                <w:t>10.22</w:t>
              </w:r>
            </w:hyperlink>
          </w:p>
        </w:tc>
        <w:tc>
          <w:tcPr>
            <w:tcW w:w="560" w:type="dxa"/>
            <w:vAlign w:val="bottom"/>
          </w:tcPr>
          <w:p>
            <w:pPr>
              <w:spacing w:after="0"/>
              <w:rPr>
                <w:sz w:val="15"/>
                <w:szCs w:val="15"/>
                <w:color w:val="auto"/>
              </w:rPr>
            </w:pPr>
          </w:p>
        </w:tc>
        <w:tc>
          <w:tcPr>
            <w:tcW w:w="10200" w:type="dxa"/>
            <w:vAlign w:val="bottom"/>
          </w:tcPr>
          <w:p>
            <w:pPr>
              <w:ind w:left="200"/>
              <w:spacing w:after="0" w:line="17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Amendment No. 2, dated September 17, 2021, to the Credit Agreement, dated as of April 27, 2021, by and among the Loan Parties named</w:t>
              </w:r>
            </w:hyperlink>
          </w:p>
        </w:tc>
      </w:tr>
      <w:tr>
        <w:trPr>
          <w:trHeight w:val="229"/>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ind w:left="200"/>
              <w:spacing w:after="0"/>
              <w:rPr>
                <w:rFonts w:ascii="Arial" w:cs="Arial" w:eastAsia="Arial" w:hAnsi="Arial"/>
                <w:sz w:val="18"/>
                <w:szCs w:val="18"/>
                <w:color w:val="0000FF"/>
              </w:rPr>
            </w:pPr>
            <w:hyperlink r:id="rId74">
              <w:r>
                <w:rPr>
                  <w:rFonts w:ascii="Arial" w:cs="Arial" w:eastAsia="Arial" w:hAnsi="Arial"/>
                  <w:sz w:val="18"/>
                  <w:szCs w:val="18"/>
                  <w:color w:val="0000FF"/>
                </w:rPr>
                <w:t>therein and Truist Bank.</w:t>
              </w:r>
            </w:hyperlink>
          </w:p>
        </w:tc>
      </w:tr>
      <w:tr>
        <w:trPr>
          <w:trHeight w:val="243"/>
        </w:trPr>
        <w:tc>
          <w:tcPr>
            <w:tcW w:w="480" w:type="dxa"/>
            <w:vAlign w:val="bottom"/>
            <w:shd w:val="clear" w:color="auto" w:fill="CCEEFF"/>
          </w:tcPr>
          <w:p>
            <w:pPr>
              <w:ind w:left="20"/>
              <w:spacing w:after="0"/>
              <w:rPr>
                <w:rFonts w:ascii="Arial" w:cs="Arial" w:eastAsia="Arial" w:hAnsi="Arial"/>
                <w:sz w:val="18"/>
                <w:szCs w:val="18"/>
                <w:color w:val="0000FF"/>
                <w:w w:val="97"/>
              </w:rPr>
            </w:pPr>
            <w:hyperlink r:id="rId75">
              <w:r>
                <w:rPr>
                  <w:rFonts w:ascii="Arial" w:cs="Arial" w:eastAsia="Arial" w:hAnsi="Arial"/>
                  <w:sz w:val="18"/>
                  <w:szCs w:val="18"/>
                  <w:color w:val="0000FF"/>
                  <w:w w:val="97"/>
                </w:rPr>
                <w:t>10.23</w:t>
              </w:r>
            </w:hyperlink>
          </w:p>
        </w:tc>
        <w:tc>
          <w:tcPr>
            <w:tcW w:w="560" w:type="dxa"/>
            <w:vAlign w:val="bottom"/>
            <w:shd w:val="clear" w:color="auto" w:fill="CCEEFF"/>
          </w:tcPr>
          <w:p>
            <w:pPr>
              <w:spacing w:after="0"/>
              <w:rPr>
                <w:sz w:val="21"/>
                <w:szCs w:val="21"/>
                <w:color w:val="auto"/>
              </w:rPr>
            </w:pPr>
          </w:p>
        </w:tc>
        <w:tc>
          <w:tcPr>
            <w:tcW w:w="10200" w:type="dxa"/>
            <w:vAlign w:val="bottom"/>
            <w:shd w:val="clear" w:color="auto" w:fill="CCEEFF"/>
          </w:tcPr>
          <w:p>
            <w:pPr>
              <w:ind w:left="200"/>
              <w:spacing w:after="0"/>
              <w:rPr>
                <w:rFonts w:ascii="Arial" w:cs="Arial" w:eastAsia="Arial" w:hAnsi="Arial"/>
                <w:sz w:val="18"/>
                <w:szCs w:val="18"/>
                <w:color w:val="0000FF"/>
              </w:rPr>
            </w:pPr>
            <w:hyperlink r:id="rId75">
              <w:r>
                <w:rPr>
                  <w:rFonts w:ascii="Arial" w:cs="Arial" w:eastAsia="Arial" w:hAnsi="Arial"/>
                  <w:sz w:val="18"/>
                  <w:szCs w:val="18"/>
                  <w:color w:val="0000FF"/>
                </w:rPr>
                <w:t>Form Restricted Stock Unit Award Agreement</w:t>
              </w:r>
            </w:hyperlink>
          </w:p>
        </w:tc>
      </w:tr>
      <w:tr>
        <w:trPr>
          <w:trHeight w:val="229"/>
        </w:trPr>
        <w:tc>
          <w:tcPr>
            <w:tcW w:w="480" w:type="dxa"/>
            <w:vAlign w:val="bottom"/>
          </w:tcPr>
          <w:p>
            <w:pPr>
              <w:ind w:left="20"/>
              <w:spacing w:after="0"/>
              <w:rPr>
                <w:rFonts w:ascii="Arial" w:cs="Arial" w:eastAsia="Arial" w:hAnsi="Arial"/>
                <w:sz w:val="18"/>
                <w:szCs w:val="18"/>
                <w:color w:val="0000FF"/>
                <w:w w:val="97"/>
              </w:rPr>
            </w:pPr>
            <w:hyperlink r:id="rId76">
              <w:r>
                <w:rPr>
                  <w:rFonts w:ascii="Arial" w:cs="Arial" w:eastAsia="Arial" w:hAnsi="Arial"/>
                  <w:sz w:val="18"/>
                  <w:szCs w:val="18"/>
                  <w:color w:val="0000FF"/>
                  <w:w w:val="97"/>
                </w:rPr>
                <w:t>10.24</w:t>
              </w:r>
            </w:hyperlink>
          </w:p>
        </w:tc>
        <w:tc>
          <w:tcPr>
            <w:tcW w:w="560" w:type="dxa"/>
            <w:vAlign w:val="bottom"/>
          </w:tcPr>
          <w:p>
            <w:pPr>
              <w:spacing w:after="0"/>
              <w:rPr>
                <w:sz w:val="19"/>
                <w:szCs w:val="19"/>
                <w:color w:val="auto"/>
              </w:rPr>
            </w:pPr>
          </w:p>
        </w:tc>
        <w:tc>
          <w:tcPr>
            <w:tcW w:w="10200" w:type="dxa"/>
            <w:vAlign w:val="bottom"/>
          </w:tcPr>
          <w:p>
            <w:pPr>
              <w:ind w:left="200"/>
              <w:spacing w:after="0"/>
              <w:rPr>
                <w:rFonts w:ascii="Arial" w:cs="Arial" w:eastAsia="Arial" w:hAnsi="Arial"/>
                <w:sz w:val="18"/>
                <w:szCs w:val="18"/>
                <w:color w:val="0000FF"/>
              </w:rPr>
            </w:pPr>
            <w:hyperlink r:id="rId76">
              <w:r>
                <w:rPr>
                  <w:rFonts w:ascii="Arial" w:cs="Arial" w:eastAsia="Arial" w:hAnsi="Arial"/>
                  <w:sz w:val="18"/>
                  <w:szCs w:val="18"/>
                  <w:color w:val="0000FF"/>
                </w:rPr>
                <w:t>Executive Employment Agreement between Priority Technology Holdings, Inc. and Tim O'Leary, dated September 19, 2022</w:t>
              </w:r>
            </w:hyperlink>
          </w:p>
        </w:tc>
      </w:tr>
      <w:tr>
        <w:trPr>
          <w:trHeight w:val="230"/>
        </w:trPr>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0000FF"/>
                <w:w w:val="97"/>
              </w:rPr>
              <w:t>10.25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Priority Technology Holdings, Inc. Recoupment Policy adopted March 1, 2023</w:t>
            </w:r>
          </w:p>
        </w:tc>
      </w:tr>
      <w:tr>
        <w:trPr>
          <w:trHeight w:val="237"/>
        </w:trPr>
        <w:tc>
          <w:tcPr>
            <w:tcW w:w="480" w:type="dxa"/>
            <w:vAlign w:val="bottom"/>
          </w:tcPr>
          <w:p>
            <w:pPr>
              <w:ind w:left="20"/>
              <w:spacing w:after="0"/>
              <w:rPr>
                <w:rFonts w:ascii="Arial" w:cs="Arial" w:eastAsia="Arial" w:hAnsi="Arial"/>
                <w:sz w:val="18"/>
                <w:szCs w:val="18"/>
                <w:color w:val="0000FF"/>
              </w:rPr>
            </w:pPr>
            <w:hyperlink r:id="rId77">
              <w:r>
                <w:rPr>
                  <w:rFonts w:ascii="Arial" w:cs="Arial" w:eastAsia="Arial" w:hAnsi="Arial"/>
                  <w:sz w:val="18"/>
                  <w:szCs w:val="18"/>
                  <w:color w:val="0000FF"/>
                </w:rPr>
                <w:t>21.1</w:t>
              </w:r>
            </w:hyperlink>
          </w:p>
        </w:tc>
        <w:tc>
          <w:tcPr>
            <w:tcW w:w="560" w:type="dxa"/>
            <w:vAlign w:val="bottom"/>
          </w:tcPr>
          <w:p>
            <w:pPr>
              <w:spacing w:after="0"/>
              <w:rPr>
                <w:sz w:val="20"/>
                <w:szCs w:val="20"/>
                <w:color w:val="auto"/>
              </w:rPr>
            </w:pPr>
          </w:p>
        </w:tc>
        <w:tc>
          <w:tcPr>
            <w:tcW w:w="10200" w:type="dxa"/>
            <w:vAlign w:val="bottom"/>
          </w:tcPr>
          <w:p>
            <w:pPr>
              <w:ind w:left="200"/>
              <w:spacing w:after="0"/>
              <w:rPr>
                <w:rFonts w:ascii="Arial" w:cs="Arial" w:eastAsia="Arial" w:hAnsi="Arial"/>
                <w:sz w:val="18"/>
                <w:szCs w:val="18"/>
                <w:color w:val="0000FF"/>
              </w:rPr>
            </w:pPr>
            <w:hyperlink r:id="rId77">
              <w:r>
                <w:rPr>
                  <w:rFonts w:ascii="Arial" w:cs="Arial" w:eastAsia="Arial" w:hAnsi="Arial"/>
                  <w:sz w:val="18"/>
                  <w:szCs w:val="18"/>
                  <w:color w:val="0000FF"/>
                </w:rPr>
                <w:t>Subsidiaries</w:t>
              </w:r>
            </w:hyperlink>
          </w:p>
        </w:tc>
      </w:tr>
      <w:tr>
        <w:trPr>
          <w:trHeight w:val="182"/>
        </w:trPr>
        <w:tc>
          <w:tcPr>
            <w:tcW w:w="4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0000FF"/>
                <w:w w:val="93"/>
              </w:rPr>
              <w:t xml:space="preserve">31.1 </w:t>
            </w:r>
            <w:r>
              <w:rPr>
                <w:rFonts w:ascii="Arial" w:cs="Arial" w:eastAsia="Arial" w:hAnsi="Arial"/>
                <w:sz w:val="18"/>
                <w:szCs w:val="18"/>
                <w:color w:val="000000"/>
                <w:w w:val="93"/>
              </w:rPr>
              <w:t>*</w:t>
            </w:r>
          </w:p>
        </w:tc>
        <w:tc>
          <w:tcPr>
            <w:tcW w:w="560" w:type="dxa"/>
            <w:vAlign w:val="bottom"/>
            <w:shd w:val="clear" w:color="auto" w:fill="CCEEFF"/>
          </w:tcPr>
          <w:p>
            <w:pPr>
              <w:spacing w:after="0"/>
              <w:rPr>
                <w:sz w:val="15"/>
                <w:szCs w:val="15"/>
                <w:color w:val="auto"/>
              </w:rPr>
            </w:pPr>
          </w:p>
        </w:tc>
        <w:tc>
          <w:tcPr>
            <w:tcW w:w="1020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0000FF"/>
                <w:w w:val="91"/>
              </w:rPr>
              <w:t>Certification of Chief Executive Officer pursuant to Rule 13a-14 and Rule 15d-14(a), promulgated under the Securities and Exchange Act</w:t>
            </w:r>
          </w:p>
        </w:tc>
      </w:tr>
      <w:tr>
        <w:trPr>
          <w:trHeight w:val="229"/>
        </w:trPr>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of 1934, as amended.</w:t>
            </w:r>
          </w:p>
        </w:tc>
      </w:tr>
      <w:tr>
        <w:trPr>
          <w:trHeight w:val="188"/>
        </w:trPr>
        <w:tc>
          <w:tcPr>
            <w:tcW w:w="480" w:type="dxa"/>
            <w:vAlign w:val="bottom"/>
          </w:tcPr>
          <w:p>
            <w:pPr>
              <w:ind w:left="20"/>
              <w:spacing w:after="0" w:line="189" w:lineRule="exact"/>
              <w:rPr>
                <w:sz w:val="20"/>
                <w:szCs w:val="20"/>
                <w:color w:val="auto"/>
              </w:rPr>
            </w:pPr>
            <w:r>
              <w:rPr>
                <w:rFonts w:ascii="Arial" w:cs="Arial" w:eastAsia="Arial" w:hAnsi="Arial"/>
                <w:sz w:val="18"/>
                <w:szCs w:val="18"/>
                <w:color w:val="0000FF"/>
                <w:w w:val="93"/>
              </w:rPr>
              <w:t xml:space="preserve">31.2 </w:t>
            </w:r>
            <w:r>
              <w:rPr>
                <w:rFonts w:ascii="Arial" w:cs="Arial" w:eastAsia="Arial" w:hAnsi="Arial"/>
                <w:sz w:val="18"/>
                <w:szCs w:val="18"/>
                <w:color w:val="000000"/>
                <w:w w:val="93"/>
              </w:rPr>
              <w:t>*</w:t>
            </w:r>
          </w:p>
        </w:tc>
        <w:tc>
          <w:tcPr>
            <w:tcW w:w="560" w:type="dxa"/>
            <w:vAlign w:val="bottom"/>
          </w:tcPr>
          <w:p>
            <w:pPr>
              <w:spacing w:after="0"/>
              <w:rPr>
                <w:sz w:val="16"/>
                <w:szCs w:val="16"/>
                <w:color w:val="auto"/>
              </w:rPr>
            </w:pPr>
          </w:p>
        </w:tc>
        <w:tc>
          <w:tcPr>
            <w:tcW w:w="10200" w:type="dxa"/>
            <w:vAlign w:val="bottom"/>
          </w:tcPr>
          <w:p>
            <w:pPr>
              <w:ind w:left="200"/>
              <w:spacing w:after="0" w:line="189" w:lineRule="exact"/>
              <w:rPr>
                <w:sz w:val="20"/>
                <w:szCs w:val="20"/>
                <w:color w:val="auto"/>
              </w:rPr>
            </w:pPr>
            <w:r>
              <w:rPr>
                <w:rFonts w:ascii="Arial" w:cs="Arial" w:eastAsia="Arial" w:hAnsi="Arial"/>
                <w:sz w:val="18"/>
                <w:szCs w:val="18"/>
                <w:color w:val="0000FF"/>
                <w:w w:val="92"/>
              </w:rPr>
              <w:t>Certification of Chief Financial Officer pursuant to Rule 13a-14 and Rule 15d-14(a), promulgated under the Securities and Exchange Act</w:t>
            </w:r>
          </w:p>
        </w:tc>
      </w:tr>
      <w:tr>
        <w:trPr>
          <w:trHeight w:val="230"/>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0000FF"/>
              </w:rPr>
              <w:t>of 1934, as amended.</w:t>
            </w:r>
          </w:p>
        </w:tc>
      </w:tr>
      <w:tr>
        <w:trPr>
          <w:trHeight w:val="176"/>
        </w:trPr>
        <w:tc>
          <w:tcPr>
            <w:tcW w:w="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0000FF"/>
              </w:rPr>
              <w:t xml:space="preserve">32 </w:t>
            </w:r>
            <w:r>
              <w:rPr>
                <w:rFonts w:ascii="Arial" w:cs="Arial" w:eastAsia="Arial" w:hAnsi="Arial"/>
                <w:sz w:val="18"/>
                <w:szCs w:val="18"/>
                <w:color w:val="000000"/>
              </w:rPr>
              <w:t>**</w:t>
            </w:r>
          </w:p>
        </w:tc>
        <w:tc>
          <w:tcPr>
            <w:tcW w:w="560" w:type="dxa"/>
            <w:vAlign w:val="bottom"/>
            <w:shd w:val="clear" w:color="auto" w:fill="CCEEFF"/>
          </w:tcPr>
          <w:p>
            <w:pPr>
              <w:spacing w:after="0"/>
              <w:rPr>
                <w:sz w:val="15"/>
                <w:szCs w:val="15"/>
                <w:color w:val="auto"/>
              </w:rPr>
            </w:pPr>
          </w:p>
        </w:tc>
        <w:tc>
          <w:tcPr>
            <w:tcW w:w="102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0000FF"/>
                <w:w w:val="93"/>
              </w:rPr>
              <w:t>Certification of Chief Executive Officer and Chief Financial Officer pursuant to 18 U.S.C. Section 1350, as adopted pursuant to Section</w:t>
            </w:r>
          </w:p>
        </w:tc>
      </w:tr>
      <w:tr>
        <w:trPr>
          <w:trHeight w:val="243"/>
        </w:trPr>
        <w:tc>
          <w:tcPr>
            <w:tcW w:w="4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906 of the Sarbanes-Oxley Act of 2002.</w:t>
            </w:r>
          </w:p>
        </w:tc>
      </w:tr>
      <w:tr>
        <w:trPr>
          <w:trHeight w:val="175"/>
        </w:trPr>
        <w:tc>
          <w:tcPr>
            <w:tcW w:w="1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101.INS *</w:t>
            </w:r>
          </w:p>
        </w:tc>
        <w:tc>
          <w:tcPr>
            <w:tcW w:w="10200" w:type="dxa"/>
            <w:vAlign w:val="bottom"/>
          </w:tcPr>
          <w:p>
            <w:pPr>
              <w:ind w:left="200"/>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 *</w:t>
            </w: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101.CAL *</w:t>
            </w:r>
          </w:p>
        </w:tc>
        <w:tc>
          <w:tcPr>
            <w:tcW w:w="1020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 *</w:t>
            </w: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237"/>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101.PRE *</w:t>
            </w:r>
          </w:p>
        </w:tc>
        <w:tc>
          <w:tcPr>
            <w:tcW w:w="1020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6"/>
        </w:trPr>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 *</w:t>
            </w: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8"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6680" w:type="dxa"/>
            <w:vAlign w:val="bottom"/>
            <w:gridSpan w:val="4"/>
          </w:tcPr>
          <w:p>
            <w:pPr>
              <w:ind w:left="1700"/>
              <w:spacing w:after="0"/>
              <w:rPr>
                <w:sz w:val="20"/>
                <w:szCs w:val="20"/>
                <w:color w:val="auto"/>
              </w:rPr>
            </w:pPr>
            <w:r>
              <w:rPr>
                <w:rFonts w:ascii="Arial" w:cs="Arial" w:eastAsia="Arial" w:hAnsi="Arial"/>
                <w:sz w:val="18"/>
                <w:szCs w:val="18"/>
                <w:color w:val="auto"/>
              </w:rPr>
              <w:t>PRIORITY TECHNOLOGY HOLDINGS, INC.</w:t>
            </w:r>
          </w:p>
        </w:tc>
      </w:tr>
      <w:tr>
        <w:trPr>
          <w:trHeight w:val="364"/>
        </w:trPr>
        <w:tc>
          <w:tcPr>
            <w:tcW w:w="2700" w:type="dxa"/>
            <w:vAlign w:val="bottom"/>
          </w:tcPr>
          <w:p>
            <w:pPr>
              <w:spacing w:after="0"/>
              <w:rPr>
                <w:sz w:val="20"/>
                <w:szCs w:val="20"/>
                <w:color w:val="auto"/>
              </w:rPr>
            </w:pPr>
            <w:r>
              <w:rPr>
                <w:rFonts w:ascii="Arial" w:cs="Arial" w:eastAsia="Arial" w:hAnsi="Arial"/>
                <w:sz w:val="18"/>
                <w:szCs w:val="18"/>
                <w:color w:val="auto"/>
              </w:rPr>
              <w:t>May 11, 2023</w:t>
            </w:r>
          </w:p>
        </w:tc>
        <w:tc>
          <w:tcPr>
            <w:tcW w:w="3140" w:type="dxa"/>
            <w:vAlign w:val="bottom"/>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/s/ Thomas C. Priore</w:t>
            </w:r>
          </w:p>
        </w:tc>
      </w:tr>
      <w:tr>
        <w:trPr>
          <w:trHeight w:val="142"/>
        </w:trPr>
        <w:tc>
          <w:tcPr>
            <w:tcW w:w="27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Thomas C. Priore</w:t>
            </w: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88"/>
        </w:trPr>
        <w:tc>
          <w:tcPr>
            <w:tcW w:w="27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540" w:type="dxa"/>
            <w:vAlign w:val="bottom"/>
            <w:gridSpan w:val="3"/>
          </w:tcPr>
          <w:p>
            <w:pPr>
              <w:spacing w:after="0" w:line="189" w:lineRule="exact"/>
              <w:rPr>
                <w:sz w:val="20"/>
                <w:szCs w:val="20"/>
                <w:color w:val="auto"/>
              </w:rPr>
            </w:pPr>
            <w:r>
              <w:rPr>
                <w:rFonts w:ascii="Arial" w:cs="Arial" w:eastAsia="Arial" w:hAnsi="Arial"/>
                <w:sz w:val="18"/>
                <w:szCs w:val="18"/>
                <w:i w:val="1"/>
                <w:iCs w:val="1"/>
                <w:color w:val="auto"/>
                <w:w w:val="90"/>
              </w:rPr>
              <w:t>President, Chief Executive Officer and Chairman</w:t>
            </w:r>
          </w:p>
        </w:tc>
      </w:tr>
      <w:tr>
        <w:trPr>
          <w:trHeight w:val="230"/>
        </w:trPr>
        <w:tc>
          <w:tcPr>
            <w:tcW w:w="27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338"/>
        </w:trPr>
        <w:tc>
          <w:tcPr>
            <w:tcW w:w="2700" w:type="dxa"/>
            <w:vAlign w:val="bottom"/>
          </w:tcPr>
          <w:p>
            <w:pPr>
              <w:spacing w:after="0"/>
              <w:rPr>
                <w:sz w:val="20"/>
                <w:szCs w:val="20"/>
                <w:color w:val="auto"/>
              </w:rPr>
            </w:pPr>
            <w:r>
              <w:rPr>
                <w:rFonts w:ascii="Arial" w:cs="Arial" w:eastAsia="Arial" w:hAnsi="Arial"/>
                <w:sz w:val="18"/>
                <w:szCs w:val="18"/>
                <w:color w:val="auto"/>
              </w:rPr>
              <w:t>May 11, 2023</w:t>
            </w:r>
          </w:p>
        </w:tc>
        <w:tc>
          <w:tcPr>
            <w:tcW w:w="3140" w:type="dxa"/>
            <w:vAlign w:val="bottom"/>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/s/ Timothy M. O'Leary</w:t>
            </w:r>
          </w:p>
        </w:tc>
      </w:tr>
      <w:tr>
        <w:trPr>
          <w:trHeight w:val="142"/>
        </w:trPr>
        <w:tc>
          <w:tcPr>
            <w:tcW w:w="27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Tim O'Leary</w:t>
            </w:r>
          </w:p>
        </w:tc>
        <w:tc>
          <w:tcPr>
            <w:tcW w:w="1840" w:type="dxa"/>
            <w:vAlign w:val="bottom"/>
          </w:tcPr>
          <w:p>
            <w:pPr>
              <w:spacing w:after="0"/>
              <w:rPr>
                <w:sz w:val="12"/>
                <w:szCs w:val="12"/>
                <w:color w:val="auto"/>
              </w:rPr>
            </w:pPr>
          </w:p>
        </w:tc>
      </w:tr>
      <w:tr>
        <w:trPr>
          <w:trHeight w:val="204"/>
        </w:trPr>
        <w:tc>
          <w:tcPr>
            <w:tcW w:w="27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540" w:type="dxa"/>
            <w:vAlign w:val="bottom"/>
            <w:gridSpan w:val="3"/>
          </w:tcPr>
          <w:p>
            <w:pPr>
              <w:spacing w:after="0" w:line="204" w:lineRule="exact"/>
              <w:rPr>
                <w:sz w:val="20"/>
                <w:szCs w:val="20"/>
                <w:color w:val="auto"/>
              </w:rPr>
            </w:pPr>
            <w:r>
              <w:rPr>
                <w:rFonts w:ascii="Arial" w:cs="Arial" w:eastAsia="Arial" w:hAnsi="Arial"/>
                <w:sz w:val="18"/>
                <w:szCs w:val="18"/>
                <w:i w:val="1"/>
                <w:iCs w:val="1"/>
                <w:color w:val="auto"/>
              </w:rPr>
              <w:t>Chief Financial Officer</w:t>
            </w:r>
          </w:p>
        </w:tc>
      </w:tr>
    </w:tbl>
    <w:p>
      <w:pPr>
        <w:ind w:left="58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125" w:right="379" w:bottom="1440" w:gutter="0" w:footer="0" w:header="0"/>
        </w:sectPr>
      </w:pPr>
    </w:p>
    <w:bookmarkStart w:id="39" w:name="page40"/>
    <w:bookmarkEnd w:id="39"/>
    <w:p>
      <w:pPr>
        <w:ind w:left="9960"/>
        <w:spacing w:after="0"/>
        <w:rPr>
          <w:sz w:val="20"/>
          <w:szCs w:val="20"/>
          <w:color w:val="auto"/>
        </w:rPr>
      </w:pPr>
      <w:r>
        <w:rPr>
          <w:rFonts w:ascii="Arial" w:cs="Arial" w:eastAsia="Arial" w:hAnsi="Arial"/>
          <w:sz w:val="19"/>
          <w:szCs w:val="19"/>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PRIORITY TECHNOLOGY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RECOUPMENT POLICY</w:t>
      </w:r>
    </w:p>
    <w:p>
      <w:pPr>
        <w:spacing w:after="0" w:line="200" w:lineRule="exact"/>
        <w:rPr>
          <w:sz w:val="20"/>
          <w:szCs w:val="20"/>
          <w:color w:val="auto"/>
        </w:rPr>
      </w:pPr>
    </w:p>
    <w:p>
      <w:pPr>
        <w:spacing w:after="0" w:line="27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xml:space="preserve"> This policy shall take effect on March 1, 2023.</w:t>
      </w:r>
    </w:p>
    <w:p>
      <w:pPr>
        <w:spacing w:after="0" w:line="269" w:lineRule="exact"/>
        <w:rPr>
          <w:rFonts w:ascii="Arial" w:cs="Arial" w:eastAsia="Arial" w:hAnsi="Arial"/>
          <w:sz w:val="20"/>
          <w:szCs w:val="20"/>
          <w:u w:val="single" w:color="auto"/>
          <w:color w:val="auto"/>
        </w:rPr>
      </w:pPr>
    </w:p>
    <w:p>
      <w:pPr>
        <w:jc w:val="both"/>
        <w:ind w:firstLine="332"/>
        <w:spacing w:after="0" w:line="285" w:lineRule="auto"/>
        <w:tabs>
          <w:tab w:leader="none" w:pos="648" w:val="left"/>
        </w:tabs>
        <w:numPr>
          <w:ilvl w:val="0"/>
          <w:numId w:val="2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Unless the context otherwise requires, all terms used in this section have the same meaning as in the Exchange Act and the rules and regulations thereunder. In addition, unless the context otherwise requires, the following definitions apply for purposes of this section:</w:t>
      </w:r>
    </w:p>
    <w:p>
      <w:pPr>
        <w:spacing w:after="0" w:line="261"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u w:val="single" w:color="auto"/>
          <w:color w:val="auto"/>
        </w:rPr>
        <w:t xml:space="preserve">Accounting Restatement </w:t>
      </w:r>
      <w:r>
        <w:rPr>
          <w:rFonts w:ascii="Arial" w:cs="Arial" w:eastAsia="Arial" w:hAnsi="Arial"/>
          <w:sz w:val="16"/>
          <w:szCs w:val="16"/>
          <w:color w:val="auto"/>
        </w:rPr>
        <w:t>means the result of the process of revising previously issued</w:t>
      </w:r>
    </w:p>
    <w:p>
      <w:pPr>
        <w:spacing w:after="0" w:line="2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financial statements to reflect the correction of one or more errors that are material to those financial statements. For the sake of clarity, "Accounting Restatement" does not include the retrospective application of a change in accounting principle, the retrospective revision to reportable segment information due to a change in the structure of an issuer's internal organization, the retrospective reclassification due to a discontinued operation, the retrospective application of a change in reporting entity, such as from a reorganization of entities under common control, the retrospective adjustment to provisional amounts in connection with a prior business combination, or retrospective revision for stock splits.</w:t>
      </w:r>
    </w:p>
    <w:p>
      <w:pPr>
        <w:spacing w:after="0" w:line="255" w:lineRule="exact"/>
        <w:rPr>
          <w:sz w:val="20"/>
          <w:szCs w:val="20"/>
          <w:color w:val="auto"/>
        </w:rPr>
      </w:pPr>
    </w:p>
    <w:p>
      <w:pPr>
        <w:ind w:right="2920" w:firstLine="846"/>
        <w:spacing w:after="0" w:line="303"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Authorized Person</w:t>
      </w:r>
      <w:r>
        <w:rPr>
          <w:rFonts w:ascii="Arial" w:cs="Arial" w:eastAsia="Arial" w:hAnsi="Arial"/>
          <w:sz w:val="20"/>
          <w:szCs w:val="20"/>
          <w:color w:val="auto"/>
        </w:rPr>
        <w:t xml:space="preserve"> means the Chief Human Resources Officer or a designee of the Chief Human Resources Officer.</w:t>
      </w:r>
    </w:p>
    <w:p>
      <w:pPr>
        <w:spacing w:after="0" w:line="216"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 xml:space="preserve">Board </w:t>
      </w:r>
      <w:r>
        <w:rPr>
          <w:rFonts w:ascii="Arial" w:cs="Arial" w:eastAsia="Arial" w:hAnsi="Arial"/>
          <w:sz w:val="18"/>
          <w:szCs w:val="18"/>
          <w:color w:val="auto"/>
        </w:rPr>
        <w:t>— means the Board of Directors of Priority.</w:t>
      </w:r>
    </w:p>
    <w:p>
      <w:pPr>
        <w:spacing w:after="0" w:line="283"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u w:val="single" w:color="auto"/>
          <w:color w:val="auto"/>
        </w:rPr>
        <w:t xml:space="preserve">Committee </w:t>
      </w:r>
      <w:r>
        <w:rPr>
          <w:rFonts w:ascii="Arial" w:cs="Arial" w:eastAsia="Arial" w:hAnsi="Arial"/>
          <w:sz w:val="16"/>
          <w:szCs w:val="16"/>
          <w:color w:val="auto"/>
        </w:rPr>
        <w:t>— means the Compensation Committee of the Board.</w:t>
      </w:r>
    </w:p>
    <w:p>
      <w:pPr>
        <w:spacing w:after="0" w:line="297"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u w:val="single" w:color="auto"/>
          <w:color w:val="auto"/>
        </w:rPr>
        <w:t xml:space="preserve">Covered Person </w:t>
      </w:r>
      <w:r>
        <w:rPr>
          <w:rFonts w:ascii="Arial" w:cs="Arial" w:eastAsia="Arial" w:hAnsi="Arial"/>
          <w:sz w:val="16"/>
          <w:szCs w:val="16"/>
          <w:color w:val="auto"/>
        </w:rPr>
        <w:t>— means all employees who receive Incentive Compensation from</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Priority.</w:t>
      </w:r>
    </w:p>
    <w:p>
      <w:pPr>
        <w:spacing w:after="0" w:line="283"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6"/>
          <w:szCs w:val="16"/>
          <w:u w:val="single" w:color="auto"/>
          <w:color w:val="auto"/>
        </w:rPr>
        <w:t xml:space="preserve">Date on which an issuer is required to prepare an Accounting Restatement </w:t>
      </w:r>
      <w:r>
        <w:rPr>
          <w:rFonts w:ascii="Arial" w:cs="Arial" w:eastAsia="Arial" w:hAnsi="Arial"/>
          <w:sz w:val="16"/>
          <w:szCs w:val="16"/>
          <w:color w:val="auto"/>
        </w:rPr>
        <w:t>— means the</w:t>
      </w:r>
    </w:p>
    <w:p>
      <w:pPr>
        <w:spacing w:after="0" w:line="20"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date on which an issuer is required to prepare an Accounting Restatement and is the earlier to occur of: (i) the date Priority's board of directors, a committee of the board of directors, or the officer or officers of Priority authorized to take such action if board action is not required, concludes, or reasonably should have concluded, that Priority's previously issued financial statements contain a material error; or</w:t>
      </w:r>
    </w:p>
    <w:p>
      <w:pPr>
        <w:jc w:val="both"/>
        <w:ind w:firstLine="8"/>
        <w:spacing w:after="0" w:line="285" w:lineRule="auto"/>
        <w:tabs>
          <w:tab w:leader="none" w:pos="296"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the date a court, regulator or other legally authorized body directs Priority to restate its previously issued financial statements to correct a material error; such generally is expected to coincide with the occurrence of the event described under Item 4.02(a) of Exchange Act Form 8-K </w:t>
      </w:r>
      <w:r>
        <w:rPr>
          <w:rFonts w:ascii="Arial" w:cs="Arial" w:eastAsia="Arial" w:hAnsi="Arial"/>
          <w:sz w:val="20"/>
          <w:szCs w:val="20"/>
          <w:u w:val="single" w:color="auto"/>
          <w:color w:val="auto"/>
        </w:rPr>
        <w:t>(17 CFR 249.308),</w:t>
      </w:r>
      <w:r>
        <w:rPr>
          <w:rFonts w:ascii="Arial" w:cs="Arial" w:eastAsia="Arial" w:hAnsi="Arial"/>
          <w:sz w:val="20"/>
          <w:szCs w:val="20"/>
          <w:color w:val="auto"/>
        </w:rPr>
        <w:t xml:space="preserve"> but is not predicated on if or when a Form 8-K is actually filed.</w:t>
      </w:r>
    </w:p>
    <w:p>
      <w:pPr>
        <w:spacing w:after="0" w:line="234"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u w:val="single" w:color="auto"/>
          <w:color w:val="auto"/>
        </w:rPr>
        <w:t xml:space="preserve">Exchange Act </w:t>
      </w:r>
      <w:r>
        <w:rPr>
          <w:rFonts w:ascii="Arial" w:cs="Arial" w:eastAsia="Arial" w:hAnsi="Arial"/>
          <w:sz w:val="16"/>
          <w:szCs w:val="16"/>
          <w:color w:val="auto"/>
        </w:rPr>
        <w:t>— means the Securities Exchange Act of 1934, as amended.</w:t>
      </w:r>
    </w:p>
    <w:p>
      <w:pPr>
        <w:sectPr>
          <w:pgSz w:w="11900" w:h="16838" w:orient="portrait"/>
          <w:cols w:equalWidth="0" w:num="1">
            <w:col w:w="11240"/>
          </w:cols>
          <w:pgMar w:left="320" w:top="108" w:right="339" w:bottom="1440" w:gutter="0" w:footer="0" w:header="0"/>
        </w:sectPr>
      </w:pPr>
    </w:p>
    <w:bookmarkStart w:id="40" w:name="page41"/>
    <w:bookmarkEnd w:id="40"/>
    <w:p>
      <w:pPr>
        <w:ind w:left="9960"/>
        <w:spacing w:after="0"/>
        <w:rPr>
          <w:sz w:val="20"/>
          <w:szCs w:val="20"/>
          <w:color w:val="auto"/>
        </w:rPr>
      </w:pPr>
      <w:r>
        <w:rPr>
          <w:rFonts w:ascii="Arial" w:cs="Arial" w:eastAsia="Arial" w:hAnsi="Arial"/>
          <w:sz w:val="19"/>
          <w:szCs w:val="19"/>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325" w:lineRule="auto"/>
        <w:rPr>
          <w:sz w:val="20"/>
          <w:szCs w:val="20"/>
          <w:color w:val="auto"/>
        </w:rPr>
      </w:pPr>
      <w:r>
        <w:rPr>
          <w:sz w:val="1"/>
          <w:szCs w:val="1"/>
          <w:color w:val="auto"/>
        </w:rPr>
        <w:drawing>
          <wp:inline distT="0" distB="0" distL="0" distR="0">
            <wp:extent cx="154305" cy="1117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extLst>
                    </a:blip>
                    <a:srcRect/>
                    <a:stretch>
                      <a:fillRect/>
                    </a:stretch>
                  </pic:blipFill>
                  <pic:spPr bwMode="auto">
                    <a:xfrm>
                      <a:off x="0" y="0"/>
                      <a:ext cx="154305" cy="111760"/>
                    </a:xfrm>
                    <a:prstGeom prst="rect">
                      <a:avLst/>
                    </a:prstGeom>
                    <a:noFill/>
                    <a:ln>
                      <a:noFill/>
                    </a:ln>
                  </pic:spPr>
                </pic:pic>
              </a:graphicData>
            </a:graphic>
          </wp:inline>
        </w:drawing>
      </w:r>
      <w:r>
        <w:rPr>
          <w:rFonts w:ascii="Arial" w:cs="Arial" w:eastAsia="Arial" w:hAnsi="Arial"/>
          <w:sz w:val="18"/>
          <w:szCs w:val="18"/>
          <w:color w:val="auto"/>
        </w:rPr>
        <w:t>the president, principal financial officer, principal accounting officer, any vice-president of Priority in charge of a principal business unit, division or function (such as sales, administration or finance), any other officer who performs a policy-making function, or any other person who performs similar policy-making functions for Priority. Officers of Subsidiaries shall be deemed executive officers if they perform such policy making functions for the Priority. "Policy-making function" is not intended to include policy-making functions that are not significant.</w:t>
      </w:r>
    </w:p>
    <w:p>
      <w:pPr>
        <w:spacing w:after="0" w:line="219" w:lineRule="exact"/>
        <w:rPr>
          <w:sz w:val="20"/>
          <w:szCs w:val="20"/>
          <w:color w:val="auto"/>
        </w:rPr>
      </w:pPr>
    </w:p>
    <w:p>
      <w:pPr>
        <w:ind w:right="2920" w:firstLine="648"/>
        <w:spacing w:after="0" w:line="332"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xml:space="preserve"> means any compensation that is granted, earned or vested based wholly or in part upon the attainment of a financial reporting measure awarded to any Priority employee.</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0"/>
          <w:szCs w:val="20"/>
          <w:color w:val="auto"/>
        </w:rPr>
        <w:t xml:space="preserve">2.10 </w:t>
      </w:r>
      <w:r>
        <w:rPr>
          <w:rFonts w:ascii="Arial" w:cs="Arial" w:eastAsia="Arial" w:hAnsi="Arial"/>
          <w:sz w:val="20"/>
          <w:szCs w:val="20"/>
          <w:u w:val="single" w:color="auto"/>
          <w:color w:val="auto"/>
        </w:rPr>
        <w:t>Financial reporting measures</w:t>
      </w:r>
      <w:r>
        <w:rPr>
          <w:rFonts w:ascii="Arial" w:cs="Arial" w:eastAsia="Arial" w:hAnsi="Arial"/>
          <w:sz w:val="20"/>
          <w:szCs w:val="20"/>
          <w:color w:val="auto"/>
        </w:rPr>
        <w:t xml:space="preserve"> are measures that are determined and presented in accordance with the accounting principles used in preparing Priority's financial statements, any measures that are derived wholly or in part from such measures, and stock price and total shareholder return. A financial reporting measure need not be presented within the financial statements or included in a filing with the Commission.</w:t>
      </w:r>
    </w:p>
    <w:p>
      <w:pPr>
        <w:spacing w:after="0" w:line="26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u w:val="single" w:color="auto"/>
          <w:color w:val="auto"/>
        </w:rPr>
        <w:t xml:space="preserve">Grant </w:t>
      </w:r>
      <w:r>
        <w:rPr>
          <w:rFonts w:ascii="Arial" w:cs="Arial" w:eastAsia="Arial" w:hAnsi="Arial"/>
          <w:sz w:val="16"/>
          <w:szCs w:val="16"/>
          <w:color w:val="auto"/>
        </w:rPr>
        <w:t>means any specific award of incentive compensation.</w:t>
      </w:r>
    </w:p>
    <w:p>
      <w:pPr>
        <w:spacing w:after="0" w:line="29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6"/>
          <w:szCs w:val="16"/>
          <w:u w:val="single" w:color="auto"/>
          <w:color w:val="auto"/>
        </w:rPr>
        <w:t xml:space="preserve">Grantee </w:t>
      </w:r>
      <w:r>
        <w:rPr>
          <w:rFonts w:ascii="Arial" w:cs="Arial" w:eastAsia="Arial" w:hAnsi="Arial"/>
          <w:sz w:val="16"/>
          <w:szCs w:val="16"/>
          <w:color w:val="auto"/>
        </w:rPr>
        <w:t>means the recipient of a Grant.</w:t>
      </w:r>
    </w:p>
    <w:p>
      <w:pPr>
        <w:spacing w:after="0" w:line="28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 xml:space="preserve">Material noncompliance </w:t>
      </w:r>
      <w:r>
        <w:rPr>
          <w:rFonts w:ascii="Arial" w:cs="Arial" w:eastAsia="Arial" w:hAnsi="Arial"/>
          <w:sz w:val="16"/>
          <w:szCs w:val="16"/>
          <w:color w:val="auto"/>
        </w:rPr>
        <w:t>means a restatement to correct an error that is material to</w:t>
      </w:r>
    </w:p>
    <w:p>
      <w:pPr>
        <w:spacing w:after="0" w:line="20" w:lineRule="exact"/>
        <w:rPr>
          <w:sz w:val="20"/>
          <w:szCs w:val="20"/>
          <w:color w:val="auto"/>
        </w:rPr>
      </w:pPr>
    </w:p>
    <w:p>
      <w:pPr>
        <w:jc w:val="both"/>
        <w:spacing w:after="0" w:line="295" w:lineRule="auto"/>
        <w:rPr>
          <w:sz w:val="20"/>
          <w:szCs w:val="20"/>
          <w:color w:val="auto"/>
        </w:rPr>
      </w:pPr>
      <w:r>
        <w:rPr>
          <w:rFonts w:ascii="Arial" w:cs="Arial" w:eastAsia="Arial" w:hAnsi="Arial"/>
          <w:sz w:val="20"/>
          <w:szCs w:val="20"/>
          <w:color w:val="auto"/>
        </w:rPr>
        <w:t>previously issued financial statements shall be deemed to result from material noncompliance of Priority with a financial reporting requirement under the securities laws.</w:t>
      </w:r>
    </w:p>
    <w:p>
      <w:pPr>
        <w:spacing w:after="0" w:line="23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u w:val="single" w:color="auto"/>
          <w:color w:val="auto"/>
        </w:rPr>
        <w:t xml:space="preserve">NASDAQ </w:t>
      </w:r>
      <w:r>
        <w:rPr>
          <w:rFonts w:ascii="Arial" w:cs="Arial" w:eastAsia="Arial" w:hAnsi="Arial"/>
          <w:sz w:val="18"/>
          <w:szCs w:val="18"/>
          <w:color w:val="auto"/>
        </w:rPr>
        <w:t>means the National Association of Securities Dealers Automated Quotations.</w:t>
      </w:r>
    </w:p>
    <w:p>
      <w:pPr>
        <w:spacing w:after="0" w:line="29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6"/>
          <w:szCs w:val="16"/>
          <w:u w:val="single" w:color="auto"/>
          <w:color w:val="auto"/>
        </w:rPr>
        <w:t xml:space="preserve">Received. </w:t>
      </w:r>
      <w:r>
        <w:rPr>
          <w:rFonts w:ascii="Arial" w:cs="Arial" w:eastAsia="Arial" w:hAnsi="Arial"/>
          <w:sz w:val="16"/>
          <w:szCs w:val="16"/>
          <w:color w:val="auto"/>
        </w:rPr>
        <w:t>Incentive-based compensation is deemed received in Priority's fiscal period</w:t>
      </w:r>
    </w:p>
    <w:p>
      <w:pPr>
        <w:spacing w:after="0" w:line="2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during which the financial reporting measure specified in the Incentive Compensation award is attained, even if the payment or grant of the Incentive Compensation occurs after the end of that period.</w:t>
      </w:r>
    </w:p>
    <w:p>
      <w:pPr>
        <w:spacing w:after="0" w:line="25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 xml:space="preserve">Subsidiary </w:t>
      </w:r>
      <w:r>
        <w:rPr>
          <w:rFonts w:ascii="Arial" w:cs="Arial" w:eastAsia="Arial" w:hAnsi="Arial"/>
          <w:sz w:val="18"/>
          <w:szCs w:val="18"/>
          <w:color w:val="auto"/>
        </w:rPr>
        <w:t>— means any corporation which is a subsidiary corporation (within the</w:t>
      </w:r>
    </w:p>
    <w:p>
      <w:pPr>
        <w:spacing w:after="0" w:line="2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meaning of Code Section 424(f)) of Priority, except for a corporation which has subsidiary corporation status under Code Section 424(f) solely as a result of Priority or a Priority subsidiary holding stock in such corporation as a fiduciary with respect to any trust, estate, conservatorship, guardianship or agency.</w:t>
      </w:r>
    </w:p>
    <w:p>
      <w:pPr>
        <w:spacing w:after="0" w:line="251" w:lineRule="exact"/>
        <w:rPr>
          <w:sz w:val="20"/>
          <w:szCs w:val="20"/>
          <w:color w:val="auto"/>
        </w:rPr>
      </w:pPr>
    </w:p>
    <w:p>
      <w:pPr>
        <w:ind w:right="420" w:firstLine="648"/>
        <w:spacing w:after="0" w:line="260" w:lineRule="auto"/>
        <w:rPr>
          <w:sz w:val="20"/>
          <w:szCs w:val="20"/>
          <w:color w:val="auto"/>
        </w:rPr>
      </w:pPr>
      <w:r>
        <w:rPr>
          <w:rFonts w:ascii="Arial" w:cs="Arial" w:eastAsia="Arial" w:hAnsi="Arial"/>
          <w:sz w:val="20"/>
          <w:szCs w:val="20"/>
          <w:color w:val="auto"/>
        </w:rPr>
        <w:t xml:space="preserve">2.17 </w:t>
      </w:r>
      <w:r>
        <w:rPr>
          <w:rFonts w:ascii="Arial" w:cs="Arial" w:eastAsia="Arial" w:hAnsi="Arial"/>
          <w:sz w:val="20"/>
          <w:szCs w:val="20"/>
          <w:u w:val="single" w:color="auto"/>
          <w:color w:val="auto"/>
        </w:rPr>
        <w:t>Priority</w:t>
      </w:r>
      <w:r>
        <w:rPr>
          <w:rFonts w:ascii="Arial" w:cs="Arial" w:eastAsia="Arial" w:hAnsi="Arial"/>
          <w:sz w:val="20"/>
          <w:szCs w:val="20"/>
          <w:color w:val="auto"/>
        </w:rPr>
        <w:t xml:space="preserve"> means Priority Technology Holdings, Inc., a Delaware corporation, and its subsidiaries and any successor to such corporation.</w:t>
      </w:r>
    </w:p>
    <w:p>
      <w:pPr>
        <w:spacing w:after="0" w:line="244" w:lineRule="exact"/>
        <w:rPr>
          <w:sz w:val="20"/>
          <w:szCs w:val="20"/>
          <w:color w:val="auto"/>
        </w:rPr>
      </w:pPr>
    </w:p>
    <w:p>
      <w:pPr>
        <w:ind w:left="680" w:hanging="348"/>
        <w:spacing w:after="0"/>
        <w:tabs>
          <w:tab w:leader="none" w:pos="68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Scope.</w:t>
      </w:r>
      <w:r>
        <w:rPr>
          <w:rFonts w:ascii="Arial" w:cs="Arial" w:eastAsia="Arial" w:hAnsi="Arial"/>
          <w:sz w:val="20"/>
          <w:szCs w:val="20"/>
          <w:color w:val="auto"/>
        </w:rPr>
        <w:t xml:space="preserve"> Unless specifically excepted by the Committee or in writing by an Authorized Person, this</w:t>
      </w:r>
    </w:p>
    <w:p>
      <w:pPr>
        <w:spacing w:after="0" w:line="20" w:lineRule="exact"/>
        <w:rPr>
          <w:sz w:val="20"/>
          <w:szCs w:val="20"/>
          <w:color w:val="auto"/>
        </w:rPr>
      </w:pPr>
    </w:p>
    <w:p>
      <w:pPr>
        <w:spacing w:after="0" w:line="295" w:lineRule="auto"/>
        <w:rPr>
          <w:sz w:val="20"/>
          <w:szCs w:val="20"/>
          <w:color w:val="auto"/>
        </w:rPr>
      </w:pPr>
      <w:r>
        <w:rPr>
          <w:rFonts w:ascii="Arial" w:cs="Arial" w:eastAsia="Arial" w:hAnsi="Arial"/>
          <w:sz w:val="20"/>
          <w:szCs w:val="20"/>
          <w:color w:val="auto"/>
        </w:rPr>
        <w:t>Policy shall apply to all employees of Priority Technology Holdings, Inc. and its Subsidiaries who receive incentive compensation from Priority.</w:t>
      </w:r>
    </w:p>
    <w:p>
      <w:pPr>
        <w:sectPr>
          <w:pgSz w:w="11900" w:h="16838" w:orient="portrait"/>
          <w:cols w:equalWidth="0" w:num="1">
            <w:col w:w="11240"/>
          </w:cols>
          <w:pgMar w:left="320" w:top="108" w:right="339" w:bottom="1440" w:gutter="0" w:footer="0" w:header="0"/>
        </w:sectPr>
      </w:pPr>
    </w:p>
    <w:bookmarkStart w:id="41" w:name="page42"/>
    <w:bookmarkEnd w:id="41"/>
    <w:p>
      <w:pPr>
        <w:ind w:left="9960"/>
        <w:spacing w:after="0"/>
        <w:rPr>
          <w:sz w:val="20"/>
          <w:szCs w:val="20"/>
          <w:color w:val="auto"/>
        </w:rPr>
      </w:pPr>
      <w:r>
        <w:rPr>
          <w:rFonts w:ascii="Arial" w:cs="Arial" w:eastAsia="Arial" w:hAnsi="Arial"/>
          <w:sz w:val="19"/>
          <w:szCs w:val="19"/>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324"/>
        <w:spacing w:after="0" w:line="297" w:lineRule="auto"/>
        <w:rPr>
          <w:sz w:val="20"/>
          <w:szCs w:val="20"/>
          <w:color w:val="auto"/>
        </w:rPr>
      </w:pPr>
      <w:r>
        <w:rPr>
          <w:sz w:val="1"/>
          <w:szCs w:val="1"/>
          <w:color w:val="auto"/>
        </w:rPr>
        <w:drawing>
          <wp:inline distT="0" distB="0" distL="0" distR="0">
            <wp:extent cx="145415" cy="1111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145415" cy="111125"/>
                    </a:xfrm>
                    <a:prstGeom prst="rect">
                      <a:avLst/>
                    </a:prstGeom>
                    <a:noFill/>
                    <a:ln>
                      <a:noFill/>
                    </a:ln>
                  </pic:spPr>
                </pic:pic>
              </a:graphicData>
            </a:graphic>
          </wp:inline>
        </w:drawing>
      </w:r>
      <w:r>
        <w:rPr>
          <w:rFonts w:ascii="Arial" w:cs="Arial" w:eastAsia="Arial" w:hAnsi="Arial"/>
          <w:sz w:val="20"/>
          <w:szCs w:val="20"/>
          <w:color w:val="auto"/>
        </w:rPr>
        <w:t xml:space="preserve">4. </w:t>
      </w:r>
      <w:r>
        <w:rPr>
          <w:rFonts w:ascii="Arial" w:cs="Arial" w:eastAsia="Arial" w:hAnsi="Arial"/>
          <w:sz w:val="20"/>
          <w:szCs w:val="20"/>
          <w:u w:val="single" w:color="auto"/>
          <w:color w:val="auto"/>
        </w:rPr>
        <w:t>Authority to Recoup Incentive Compensation.</w:t>
      </w:r>
      <w:r>
        <w:rPr>
          <w:rFonts w:ascii="Arial" w:cs="Arial" w:eastAsia="Arial" w:hAnsi="Arial"/>
          <w:sz w:val="20"/>
          <w:szCs w:val="20"/>
          <w:color w:val="auto"/>
        </w:rPr>
        <w:t xml:space="preserve"> Except as provided in Section 3, every Incentive Compensation Plan or Incentive Compensation award agreement, and every time-vested incentive compensation award, shall authorize the Committee to recoup from all employees in the following circumstances:</w:t>
      </w:r>
    </w:p>
    <w:p>
      <w:pPr>
        <w:spacing w:after="0" w:line="223" w:lineRule="exact"/>
        <w:rPr>
          <w:sz w:val="20"/>
          <w:szCs w:val="20"/>
          <w:color w:val="auto"/>
        </w:rPr>
      </w:pPr>
    </w:p>
    <w:p>
      <w:pPr>
        <w:jc w:val="both"/>
        <w:ind w:firstLine="656"/>
        <w:spacing w:after="0" w:line="305" w:lineRule="auto"/>
        <w:tabs>
          <w:tab w:leader="none" w:pos="1296"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Miscalculation of Performance Metric. </w:t>
      </w:r>
      <w:r>
        <w:rPr>
          <w:rFonts w:ascii="Arial" w:cs="Arial" w:eastAsia="Arial" w:hAnsi="Arial"/>
          <w:sz w:val="18"/>
          <w:szCs w:val="18"/>
          <w:color w:val="auto"/>
        </w:rPr>
        <w:t>If the Committee determines that a financial metric used to determine vesting of a</w:t>
      </w:r>
      <w:r>
        <w:rPr>
          <w:rFonts w:ascii="Arial" w:cs="Arial" w:eastAsia="Arial" w:hAnsi="Arial"/>
          <w:sz w:val="18"/>
          <w:szCs w:val="18"/>
          <w:i w:val="1"/>
          <w:iCs w:val="1"/>
          <w:color w:val="auto"/>
        </w:rPr>
        <w:t xml:space="preserve"> </w:t>
      </w:r>
      <w:r>
        <w:rPr>
          <w:rFonts w:ascii="Arial" w:cs="Arial" w:eastAsia="Arial" w:hAnsi="Arial"/>
          <w:sz w:val="18"/>
          <w:szCs w:val="18"/>
          <w:color w:val="auto"/>
        </w:rPr>
        <w:t>Grant was calculated incorrectly, whether or not Priority is required to restate its financial statements and without regard to whether such</w:t>
      </w:r>
    </w:p>
    <w:p>
      <w:pPr>
        <w:jc w:val="both"/>
        <w:spacing w:after="0" w:line="305" w:lineRule="auto"/>
        <w:rPr>
          <w:rFonts w:ascii="Arial" w:cs="Arial" w:eastAsia="Arial" w:hAnsi="Arial"/>
          <w:sz w:val="18"/>
          <w:szCs w:val="18"/>
          <w:i w:val="1"/>
          <w:iCs w:val="1"/>
          <w:color w:val="auto"/>
        </w:rPr>
      </w:pPr>
      <w:r>
        <w:rPr>
          <w:rFonts w:ascii="Arial" w:cs="Arial" w:eastAsia="Arial" w:hAnsi="Arial"/>
          <w:sz w:val="18"/>
          <w:szCs w:val="18"/>
          <w:color w:val="auto"/>
        </w:rPr>
        <w:t>miscalculation was due to fraud or intentional misconduct, then the Committee may require reimbursement of all or part of a Grant previously vested or paid to Grantee and/or authorize the cancellation of unpaid or unvested Grants in the amount by which any such Grant</w:t>
      </w:r>
    </w:p>
    <w:p>
      <w:pPr>
        <w:jc w:val="both"/>
        <w:spacing w:after="0" w:line="305" w:lineRule="auto"/>
        <w:rPr>
          <w:rFonts w:ascii="Arial" w:cs="Arial" w:eastAsia="Arial" w:hAnsi="Arial"/>
          <w:sz w:val="18"/>
          <w:szCs w:val="18"/>
          <w:i w:val="1"/>
          <w:iCs w:val="1"/>
          <w:color w:val="auto"/>
        </w:rPr>
      </w:pPr>
      <w:r>
        <w:rPr>
          <w:rFonts w:ascii="Arial" w:cs="Arial" w:eastAsia="Arial" w:hAnsi="Arial"/>
          <w:sz w:val="18"/>
          <w:szCs w:val="18"/>
          <w:color w:val="auto"/>
        </w:rPr>
        <w:t>exceeded a lower payment that would have been made based on the correctly calculated financial metric. In addition, the Grant shall be subject to the clawback requirements of (i) §954 of the Dodd-Frank Wall Street Reform and Consumer Protection Act (regarding recoupment</w:t>
      </w:r>
    </w:p>
    <w:p>
      <w:pPr>
        <w:jc w:val="both"/>
        <w:spacing w:after="0" w:line="285" w:lineRule="auto"/>
        <w:rPr>
          <w:rFonts w:ascii="Arial" w:cs="Arial" w:eastAsia="Arial" w:hAnsi="Arial"/>
          <w:sz w:val="18"/>
          <w:szCs w:val="18"/>
          <w:i w:val="1"/>
          <w:iCs w:val="1"/>
          <w:color w:val="auto"/>
        </w:rPr>
      </w:pPr>
      <w:r>
        <w:rPr>
          <w:rFonts w:ascii="Arial" w:cs="Arial" w:eastAsia="Arial" w:hAnsi="Arial"/>
          <w:sz w:val="20"/>
          <w:szCs w:val="20"/>
          <w:color w:val="auto"/>
        </w:rPr>
        <w:t>of erroneously awarded compensation) and implementing rules and regulations thereunder, (ii) similar rules under the laws of other jurisdictions and (iii) policies adopted by Priority to implement such requirements, all to the extent determined by the Committee to be applicable to Grantee.</w:t>
      </w:r>
    </w:p>
    <w:p>
      <w:pPr>
        <w:spacing w:after="0" w:line="233" w:lineRule="exact"/>
        <w:rPr>
          <w:rFonts w:ascii="Arial" w:cs="Arial" w:eastAsia="Arial" w:hAnsi="Arial"/>
          <w:sz w:val="18"/>
          <w:szCs w:val="18"/>
          <w:i w:val="1"/>
          <w:iCs w:val="1"/>
          <w:color w:val="auto"/>
        </w:rPr>
      </w:pPr>
    </w:p>
    <w:p>
      <w:pPr>
        <w:jc w:val="both"/>
        <w:ind w:firstLine="656"/>
        <w:spacing w:after="0" w:line="285" w:lineRule="auto"/>
        <w:tabs>
          <w:tab w:leader="none" w:pos="1296" w:val="left"/>
        </w:tabs>
        <w:numPr>
          <w:ilvl w:val="0"/>
          <w:numId w:val="23"/>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Detrimental Conduct. </w:t>
      </w:r>
      <w:r>
        <w:rPr>
          <w:rFonts w:ascii="Arial" w:cs="Arial" w:eastAsia="Arial" w:hAnsi="Arial"/>
          <w:sz w:val="20"/>
          <w:szCs w:val="20"/>
          <w:color w:val="auto"/>
        </w:rPr>
        <w:t>If the Committee determines that Grantee has engaged in Detrimental Conduct, then the Committee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may require Grantee to reimburse Priority all or a portion of the Grant previously vested or paid and/or will be subject to cancellation of unvested or unpaid Grant. </w:t>
      </w:r>
      <w:r>
        <w:rPr>
          <w:rFonts w:ascii="Arial" w:cs="Arial" w:eastAsia="Arial" w:hAnsi="Arial"/>
          <w:sz w:val="20"/>
          <w:szCs w:val="20"/>
          <w:u w:val="single" w:color="auto"/>
          <w:color w:val="auto"/>
        </w:rPr>
        <w:t>"Detrimental Conduct"</w:t>
      </w:r>
      <w:r>
        <w:rPr>
          <w:rFonts w:ascii="Arial" w:cs="Arial" w:eastAsia="Arial" w:hAnsi="Arial"/>
          <w:sz w:val="20"/>
          <w:szCs w:val="20"/>
          <w:color w:val="auto"/>
        </w:rPr>
        <w:t xml:space="preserve"> means any one of the following:</w:t>
      </w:r>
    </w:p>
    <w:p>
      <w:pPr>
        <w:spacing w:after="0" w:line="247" w:lineRule="exact"/>
        <w:rPr>
          <w:rFonts w:ascii="Arial" w:cs="Arial" w:eastAsia="Arial" w:hAnsi="Arial"/>
          <w:sz w:val="20"/>
          <w:szCs w:val="20"/>
          <w:i w:val="1"/>
          <w:iCs w:val="1"/>
          <w:color w:val="auto"/>
        </w:rPr>
      </w:pPr>
    </w:p>
    <w:p>
      <w:pPr>
        <w:ind w:left="1360" w:hanging="315"/>
        <w:spacing w:after="0" w:line="287" w:lineRule="auto"/>
        <w:tabs>
          <w:tab w:leader="none" w:pos="1360"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commission of an act constituting fraud, embezzlement, breach of any fiduciary duty owed to Priority or its clients or shareholders, or other material dishonesty with respect to Priority in the course of Grantee's employment;</w:t>
      </w:r>
    </w:p>
    <w:p>
      <w:pPr>
        <w:spacing w:after="0" w:line="206" w:lineRule="exact"/>
        <w:rPr>
          <w:rFonts w:ascii="Arial" w:cs="Arial" w:eastAsia="Arial" w:hAnsi="Arial"/>
          <w:sz w:val="19"/>
          <w:szCs w:val="19"/>
          <w:color w:val="auto"/>
        </w:rPr>
      </w:pPr>
    </w:p>
    <w:p>
      <w:pPr>
        <w:jc w:val="both"/>
        <w:ind w:left="1360" w:hanging="315"/>
        <w:spacing w:after="0" w:line="305" w:lineRule="auto"/>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improper conduct by Grantee that is materially injurious to Priority (whether from a monetary perspective or otherwise) including, but not limited to, unethical conduct, falsification of Priority's records, unauthorized removal of Priority property</w:t>
      </w:r>
    </w:p>
    <w:p>
      <w:pPr>
        <w:jc w:val="both"/>
        <w:ind w:left="1360"/>
        <w:spacing w:after="0" w:line="285" w:lineRule="auto"/>
        <w:rPr>
          <w:rFonts w:ascii="Arial" w:cs="Arial" w:eastAsia="Arial" w:hAnsi="Arial"/>
          <w:sz w:val="18"/>
          <w:szCs w:val="18"/>
          <w:color w:val="auto"/>
        </w:rPr>
      </w:pPr>
      <w:r>
        <w:rPr>
          <w:rFonts w:ascii="Arial" w:cs="Arial" w:eastAsia="Arial" w:hAnsi="Arial"/>
          <w:sz w:val="20"/>
          <w:szCs w:val="20"/>
          <w:color w:val="auto"/>
        </w:rPr>
        <w:t>or information, theft, violent acts or threats of violence, unauthorized possession of controlled substances on the property of Priority, conduct causing reputational harm to Priority or its clients, or the use of Priority property, facilities or services for unauthorized or illegal purposes;</w:t>
      </w:r>
    </w:p>
    <w:p>
      <w:pPr>
        <w:spacing w:after="0" w:line="233" w:lineRule="exact"/>
        <w:rPr>
          <w:rFonts w:ascii="Arial" w:cs="Arial" w:eastAsia="Arial" w:hAnsi="Arial"/>
          <w:sz w:val="18"/>
          <w:szCs w:val="18"/>
          <w:color w:val="auto"/>
        </w:rPr>
      </w:pPr>
    </w:p>
    <w:p>
      <w:pPr>
        <w:ind w:left="1360" w:hanging="315"/>
        <w:spacing w:after="0" w:line="288" w:lineRule="auto"/>
        <w:tabs>
          <w:tab w:leader="none" w:pos="13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Employee’s conviction of, or the filing of a plea of nolo contendere or its equivalent, with respect to a felony or any other crime involving dishonesty or moral turpitude; or</w:t>
      </w:r>
    </w:p>
    <w:p>
      <w:pPr>
        <w:spacing w:after="0" w:line="231" w:lineRule="exact"/>
        <w:rPr>
          <w:rFonts w:ascii="Arial" w:cs="Arial" w:eastAsia="Arial" w:hAnsi="Arial"/>
          <w:sz w:val="20"/>
          <w:szCs w:val="20"/>
          <w:color w:val="auto"/>
        </w:rPr>
      </w:pPr>
    </w:p>
    <w:p>
      <w:pPr>
        <w:jc w:val="both"/>
        <w:ind w:left="1360" w:hanging="315"/>
        <w:spacing w:after="0" w:line="278" w:lineRule="auto"/>
        <w:tabs>
          <w:tab w:leader="none" w:pos="13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commission of an act or omission which causes Grantee or Priority to be in material violation of federal or state securities laws, rules or regulations, and/or the rules of any exchange or association of which Priority is a member, including statutory disqualification;</w:t>
      </w:r>
    </w:p>
    <w:p>
      <w:pPr>
        <w:sectPr>
          <w:pgSz w:w="11900" w:h="16838" w:orient="portrait"/>
          <w:cols w:equalWidth="0" w:num="1">
            <w:col w:w="11240"/>
          </w:cols>
          <w:pgMar w:left="320" w:top="108" w:right="339" w:bottom="1440" w:gutter="0" w:footer="0" w:header="0"/>
        </w:sectPr>
      </w:pPr>
    </w:p>
    <w:bookmarkStart w:id="42" w:name="page43"/>
    <w:bookmarkEnd w:id="42"/>
    <w:p>
      <w:pPr>
        <w:ind w:left="9960"/>
        <w:spacing w:after="0"/>
        <w:rPr>
          <w:sz w:val="20"/>
          <w:szCs w:val="20"/>
          <w:color w:val="auto"/>
        </w:rPr>
      </w:pPr>
      <w:r>
        <w:rPr>
          <w:rFonts w:ascii="Arial" w:cs="Arial" w:eastAsia="Arial" w:hAnsi="Arial"/>
          <w:sz w:val="19"/>
          <w:szCs w:val="19"/>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332"/>
        <w:spacing w:after="0" w:line="279" w:lineRule="auto"/>
        <w:tabs>
          <w:tab w:leader="none" w:pos="561"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Mandatory Recoupment of Erroneously Awarded Compensation.</w:t>
      </w:r>
      <w:r>
        <w:rPr>
          <w:rFonts w:ascii="Arial" w:cs="Arial" w:eastAsia="Arial" w:hAnsi="Arial"/>
          <w:sz w:val="20"/>
          <w:szCs w:val="20"/>
          <w:color w:val="auto"/>
        </w:rPr>
        <w:t xml:space="preserve"> In the event that Priority is required to prepare an Accounting Restatement due to its material noncompliance with any financial reporting requirement under federal securities laws, then Priority shall recoup the amount of erroneously awarded Incentive Compensation paid to any Executive Officer or former Executive Officer, as provided below.</w:t>
      </w:r>
    </w:p>
    <w:p>
      <w:pPr>
        <w:spacing w:after="0" w:line="254"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Amount to be Recouped. </w:t>
      </w:r>
      <w:r>
        <w:rPr>
          <w:rFonts w:ascii="Arial" w:cs="Arial" w:eastAsia="Arial" w:hAnsi="Arial"/>
          <w:sz w:val="20"/>
          <w:szCs w:val="20"/>
          <w:color w:val="auto"/>
        </w:rPr>
        <w:t>The amount of Incentive Compensation subject to Priority's</w:t>
      </w:r>
    </w:p>
    <w:p>
      <w:pPr>
        <w:spacing w:after="0" w:line="16"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recoupment policy (the "erroneously awarded compensation") shall be the amount of Incentive Compensation received that exceeds the amount of Incentive Compensation that otherwise would have been received by a current or former Executive Officer had it been determined based on the Accounting Restatement, and shall be computed without regard to any taxes paid. For Incentive Compensation based on stock price or total shareholder return, where the amount of erroneously awarded compensation is not subject to mathematical recalculation directly from the information in an Accounting Restatement, the amount shall be based on the Committee's reasonable estimate of the effect of the Accounting Restatement on the stock price or total shareholder return upon which the Incentive Compensation was received. Priority shall maintain documentation of the determination of that reasonable estimate and provide such documentation to NASDAQ.</w:t>
      </w:r>
    </w:p>
    <w:p>
      <w:pPr>
        <w:sectPr>
          <w:pgSz w:w="11900" w:h="16838" w:orient="portrait"/>
          <w:cols w:equalWidth="0" w:num="1">
            <w:col w:w="11240"/>
          </w:cols>
          <w:pgMar w:left="320" w:top="108" w:right="339" w:bottom="1440" w:gutter="0" w:footer="0" w:header="0"/>
        </w:sectPr>
      </w:pPr>
    </w:p>
    <w:bookmarkStart w:id="43" w:name="page44"/>
    <w:bookmarkEnd w:id="43"/>
    <w:p>
      <w:pPr>
        <w:ind w:left="9960"/>
        <w:spacing w:after="0"/>
        <w:rPr>
          <w:sz w:val="20"/>
          <w:szCs w:val="20"/>
          <w:color w:val="auto"/>
        </w:rPr>
      </w:pPr>
      <w:r>
        <w:rPr>
          <w:rFonts w:ascii="Arial" w:cs="Arial" w:eastAsia="Arial" w:hAnsi="Arial"/>
          <w:sz w:val="19"/>
          <w:szCs w:val="19"/>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i w:val="1"/>
          <w:iCs w:val="1"/>
          <w:color w:val="auto"/>
        </w:rPr>
        <w:t>(b)</w:t>
      </w:r>
      <w:r>
        <w:rPr>
          <w:sz w:val="1"/>
          <w:szCs w:val="1"/>
          <w:color w:val="auto"/>
        </w:rPr>
        <w:drawing>
          <wp:inline distT="0" distB="0" distL="0" distR="0">
            <wp:extent cx="146050" cy="1117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a:extLst>
                        <a:ext uri="{28A0092B-C50C-407E-A947-70E740481C1C}"/>
                      </a:extLst>
                    </a:blip>
                    <a:srcRect/>
                    <a:stretch>
                      <a:fillRect/>
                    </a:stretch>
                  </pic:blipFill>
                  <pic:spPr bwMode="auto">
                    <a:xfrm>
                      <a:off x="0" y="0"/>
                      <a:ext cx="146050" cy="111760"/>
                    </a:xfrm>
                    <a:prstGeom prst="rect">
                      <a:avLst/>
                    </a:prstGeom>
                    <a:noFill/>
                    <a:ln>
                      <a:noFill/>
                    </a:ln>
                  </pic:spPr>
                </pic:pic>
              </a:graphicData>
            </a:graphic>
          </wp:inline>
        </w:drawing>
      </w:r>
      <w:r>
        <w:rPr>
          <w:rFonts w:ascii="Arial" w:cs="Arial" w:eastAsia="Arial" w:hAnsi="Arial"/>
          <w:sz w:val="19"/>
          <w:szCs w:val="19"/>
          <w:i w:val="1"/>
          <w:iCs w:val="1"/>
          <w:color w:val="auto"/>
        </w:rPr>
        <w:t xml:space="preserve"> Incentive Compensation Performance Periods Subject to Recoupment. </w:t>
      </w:r>
      <w:r>
        <w:rPr>
          <w:rFonts w:ascii="Arial" w:cs="Arial" w:eastAsia="Arial" w:hAnsi="Arial"/>
          <w:sz w:val="19"/>
          <w:szCs w:val="19"/>
          <w:color w:val="auto"/>
        </w:rPr>
        <w:t>The requirements of this Section 5 shall apply to</w:t>
      </w:r>
      <w:r>
        <w:rPr>
          <w:rFonts w:ascii="Arial" w:cs="Arial" w:eastAsia="Arial" w:hAnsi="Arial"/>
          <w:sz w:val="19"/>
          <w:szCs w:val="19"/>
          <w:i w:val="1"/>
          <w:iCs w:val="1"/>
          <w:color w:val="auto"/>
        </w:rPr>
        <w:t xml:space="preserve"> </w:t>
      </w:r>
      <w:r>
        <w:rPr>
          <w:rFonts w:ascii="Arial" w:cs="Arial" w:eastAsia="Arial" w:hAnsi="Arial"/>
          <w:sz w:val="19"/>
          <w:szCs w:val="19"/>
          <w:color w:val="auto"/>
        </w:rPr>
        <w:t>all Incentive Compensation received during the three completed fiscal years immediately preceding the date that Priority is required to prepare a restatement of its previously issued financial statements to correct a material error, as well as to any stub period or transition period (that results from a change in Priority's fiscal year) within or immediately following those three completed fiscal years (except that a transition period that comprises a period of at least nine months shall count as a completed fiscal year).</w:t>
      </w:r>
    </w:p>
    <w:p>
      <w:pPr>
        <w:spacing w:after="0" w:line="224" w:lineRule="exact"/>
        <w:rPr>
          <w:sz w:val="20"/>
          <w:szCs w:val="20"/>
          <w:color w:val="auto"/>
        </w:rPr>
      </w:pPr>
    </w:p>
    <w:p>
      <w:pPr>
        <w:jc w:val="both"/>
        <w:ind w:firstLine="656"/>
        <w:spacing w:after="0" w:line="305" w:lineRule="auto"/>
        <w:tabs>
          <w:tab w:leader="none" w:pos="1296" w:val="left"/>
        </w:tabs>
        <w:numPr>
          <w:ilvl w:val="1"/>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Effect of Impracticability of Recoupment. </w:t>
      </w:r>
      <w:r>
        <w:rPr>
          <w:rFonts w:ascii="Arial" w:cs="Arial" w:eastAsia="Arial" w:hAnsi="Arial"/>
          <w:sz w:val="18"/>
          <w:szCs w:val="18"/>
          <w:color w:val="auto"/>
        </w:rPr>
        <w:t>Priority must recoup erroneously awarded compensation in compliance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Recoupment Policy except to the extent that it would be impracticable to do so. Recoupment would be impracticable only if the Committee</w:t>
      </w:r>
    </w:p>
    <w:p>
      <w:pPr>
        <w:jc w:val="both"/>
        <w:spacing w:after="0" w:line="279" w:lineRule="auto"/>
        <w:rPr>
          <w:rFonts w:ascii="Arial" w:cs="Arial" w:eastAsia="Arial" w:hAnsi="Arial"/>
          <w:sz w:val="18"/>
          <w:szCs w:val="18"/>
          <w:i w:val="1"/>
          <w:iCs w:val="1"/>
          <w:color w:val="auto"/>
        </w:rPr>
      </w:pPr>
      <w:r>
        <w:rPr>
          <w:rFonts w:ascii="Arial" w:cs="Arial" w:eastAsia="Arial" w:hAnsi="Arial"/>
          <w:sz w:val="20"/>
          <w:szCs w:val="20"/>
          <w:color w:val="auto"/>
        </w:rPr>
        <w:t>determines that the direct expense paid to a third party to assist in enforcing the policy would exceed the amount to be recouped. Before concluding that it would be impracticable to recoup any amount of erroneously awarded compensation based on expense of enforcement, Priority must first make a reasonable attempt to recoup that erroneously awarded compensation. Priority shall preserve a record of each such attempt(s) to recoup.</w:t>
      </w:r>
    </w:p>
    <w:p>
      <w:pPr>
        <w:spacing w:after="0" w:line="226" w:lineRule="exact"/>
        <w:rPr>
          <w:rFonts w:ascii="Arial" w:cs="Arial" w:eastAsia="Arial" w:hAnsi="Arial"/>
          <w:sz w:val="18"/>
          <w:szCs w:val="18"/>
          <w:i w:val="1"/>
          <w:iCs w:val="1"/>
          <w:color w:val="auto"/>
        </w:rPr>
      </w:pPr>
    </w:p>
    <w:p>
      <w:pPr>
        <w:ind w:firstLine="656"/>
        <w:spacing w:after="0" w:line="303" w:lineRule="auto"/>
        <w:tabs>
          <w:tab w:leader="none" w:pos="1296" w:val="left"/>
        </w:tabs>
        <w:numPr>
          <w:ilvl w:val="1"/>
          <w:numId w:val="26"/>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Prohibition on Indemnification. </w:t>
      </w:r>
      <w:r>
        <w:rPr>
          <w:rFonts w:ascii="Arial" w:cs="Arial" w:eastAsia="Arial" w:hAnsi="Arial"/>
          <w:sz w:val="20"/>
          <w:szCs w:val="20"/>
          <w:color w:val="auto"/>
        </w:rPr>
        <w:t>Priority shall not indemnify any Executive Officer or former Executive Officer against the</w:t>
      </w:r>
      <w:r>
        <w:rPr>
          <w:rFonts w:ascii="Arial" w:cs="Arial" w:eastAsia="Arial" w:hAnsi="Arial"/>
          <w:sz w:val="20"/>
          <w:szCs w:val="20"/>
          <w:i w:val="1"/>
          <w:iCs w:val="1"/>
          <w:color w:val="auto"/>
        </w:rPr>
        <w:t xml:space="preserve"> </w:t>
      </w:r>
      <w:r>
        <w:rPr>
          <w:rFonts w:ascii="Arial" w:cs="Arial" w:eastAsia="Arial" w:hAnsi="Arial"/>
          <w:sz w:val="20"/>
          <w:szCs w:val="20"/>
          <w:color w:val="auto"/>
        </w:rPr>
        <w:t>loss of erroneously awarded compensation.</w:t>
      </w:r>
    </w:p>
    <w:p>
      <w:pPr>
        <w:spacing w:after="0" w:line="215" w:lineRule="exact"/>
        <w:rPr>
          <w:rFonts w:ascii="Arial" w:cs="Arial" w:eastAsia="Arial" w:hAnsi="Arial"/>
          <w:sz w:val="20"/>
          <w:szCs w:val="20"/>
          <w:i w:val="1"/>
          <w:iCs w:val="1"/>
          <w:color w:val="auto"/>
        </w:rPr>
      </w:pPr>
    </w:p>
    <w:p>
      <w:pPr>
        <w:jc w:val="both"/>
        <w:ind w:firstLine="656"/>
        <w:spacing w:after="0" w:line="322" w:lineRule="auto"/>
        <w:tabs>
          <w:tab w:leader="none" w:pos="1296" w:val="left"/>
        </w:tabs>
        <w:numPr>
          <w:ilvl w:val="1"/>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Requirements. </w:t>
      </w:r>
      <w:r>
        <w:rPr>
          <w:rFonts w:ascii="Arial" w:cs="Arial" w:eastAsia="Arial" w:hAnsi="Arial"/>
          <w:sz w:val="18"/>
          <w:szCs w:val="18"/>
          <w:color w:val="auto"/>
        </w:rPr>
        <w:t>The requirements of this Section 5 shall not apply to Incentive Compensation (1) received while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did not have a class of securities listed on a national securities exchange or a national securities association; and (2) received by an individual who did not serve as an Executive Officer of Priority any time during the performance period for that Incentive Compensation.</w:t>
      </w:r>
    </w:p>
    <w:p>
      <w:pPr>
        <w:spacing w:after="0" w:line="233" w:lineRule="exact"/>
        <w:rPr>
          <w:rFonts w:ascii="Arial" w:cs="Arial" w:eastAsia="Arial" w:hAnsi="Arial"/>
          <w:sz w:val="18"/>
          <w:szCs w:val="18"/>
          <w:i w:val="1"/>
          <w:iCs w:val="1"/>
          <w:color w:val="auto"/>
        </w:rPr>
      </w:pPr>
    </w:p>
    <w:p>
      <w:pPr>
        <w:ind w:left="680" w:hanging="348"/>
        <w:spacing w:after="0"/>
        <w:tabs>
          <w:tab w:leader="none" w:pos="68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Recoupment of Compensation under Other Circumstances.</w:t>
      </w:r>
    </w:p>
    <w:p>
      <w:pPr>
        <w:spacing w:after="0" w:line="269" w:lineRule="exact"/>
        <w:rPr>
          <w:rFonts w:ascii="Arial" w:cs="Arial" w:eastAsia="Arial" w:hAnsi="Arial"/>
          <w:sz w:val="20"/>
          <w:szCs w:val="20"/>
          <w:color w:val="auto"/>
        </w:rPr>
      </w:pPr>
    </w:p>
    <w:p>
      <w:pPr>
        <w:jc w:val="both"/>
        <w:ind w:firstLine="656"/>
        <w:spacing w:after="0" w:line="305" w:lineRule="auto"/>
        <w:tabs>
          <w:tab w:leader="none" w:pos="1296" w:val="left"/>
        </w:tabs>
        <w:numPr>
          <w:ilvl w:val="1"/>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Events Tracking. </w:t>
      </w:r>
      <w:r>
        <w:rPr>
          <w:rFonts w:ascii="Arial" w:cs="Arial" w:eastAsia="Arial" w:hAnsi="Arial"/>
          <w:sz w:val="18"/>
          <w:szCs w:val="18"/>
          <w:color w:val="auto"/>
        </w:rPr>
        <w:t>Priority's Events Tracking Discussion Group, comprised of internal management, shall monitor whether any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circumstances described in either Section 4(a) or Section 4(b) occur with respect to any employee who received a Grant subject to</w:t>
      </w:r>
    </w:p>
    <w:p>
      <w:pPr>
        <w:spacing w:after="0" w:line="316" w:lineRule="auto"/>
        <w:rPr>
          <w:rFonts w:ascii="Arial" w:cs="Arial" w:eastAsia="Arial" w:hAnsi="Arial"/>
          <w:sz w:val="18"/>
          <w:szCs w:val="18"/>
          <w:i w:val="1"/>
          <w:iCs w:val="1"/>
          <w:color w:val="auto"/>
        </w:rPr>
      </w:pPr>
      <w:r>
        <w:rPr>
          <w:rFonts w:ascii="Arial" w:cs="Arial" w:eastAsia="Arial" w:hAnsi="Arial"/>
          <w:sz w:val="19"/>
          <w:szCs w:val="19"/>
          <w:color w:val="auto"/>
        </w:rPr>
        <w:t>Section 4 of this Policy (that is, both time-vested and performance vested grants that were granted pursuant to award agreements that authorize the Committee to recoup compensation), and shall make regular reports thereof to the Committee when applicable.</w:t>
      </w:r>
    </w:p>
    <w:p>
      <w:pPr>
        <w:spacing w:after="0" w:line="207" w:lineRule="exact"/>
        <w:rPr>
          <w:rFonts w:ascii="Arial" w:cs="Arial" w:eastAsia="Arial" w:hAnsi="Arial"/>
          <w:sz w:val="18"/>
          <w:szCs w:val="18"/>
          <w:i w:val="1"/>
          <w:iCs w:val="1"/>
          <w:color w:val="auto"/>
        </w:rPr>
      </w:pPr>
    </w:p>
    <w:p>
      <w:pPr>
        <w:ind w:firstLine="656"/>
        <w:spacing w:after="0" w:line="303" w:lineRule="auto"/>
        <w:tabs>
          <w:tab w:leader="none" w:pos="1296" w:val="left"/>
        </w:tabs>
        <w:numPr>
          <w:ilvl w:val="1"/>
          <w:numId w:val="2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Amount to be Recouped. </w:t>
      </w:r>
      <w:r>
        <w:rPr>
          <w:rFonts w:ascii="Arial" w:cs="Arial" w:eastAsia="Arial" w:hAnsi="Arial"/>
          <w:sz w:val="20"/>
          <w:szCs w:val="20"/>
          <w:color w:val="auto"/>
        </w:rPr>
        <w:t>The Committee shall determine the amount of incentive compensation to recoup and, except for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matters subject to Section 5, </w:t>
      </w:r>
      <w:r>
        <w:rPr>
          <w:rFonts w:ascii="Arial" w:cs="Arial" w:eastAsia="Arial" w:hAnsi="Arial"/>
          <w:sz w:val="20"/>
          <w:szCs w:val="20"/>
          <w:i w:val="1"/>
          <w:iCs w:val="1"/>
          <w:color w:val="auto"/>
        </w:rPr>
        <w:t>may</w:t>
      </w:r>
      <w:r>
        <w:rPr>
          <w:rFonts w:ascii="Arial" w:cs="Arial" w:eastAsia="Arial" w:hAnsi="Arial"/>
          <w:sz w:val="20"/>
          <w:szCs w:val="20"/>
          <w:color w:val="auto"/>
        </w:rPr>
        <w:t xml:space="preserve"> consider the following:</w:t>
      </w:r>
    </w:p>
    <w:p>
      <w:pPr>
        <w:spacing w:after="0" w:line="202" w:lineRule="exact"/>
        <w:rPr>
          <w:rFonts w:ascii="Arial" w:cs="Arial" w:eastAsia="Arial" w:hAnsi="Arial"/>
          <w:sz w:val="20"/>
          <w:szCs w:val="20"/>
          <w:i w:val="1"/>
          <w:iCs w:val="1"/>
          <w:color w:val="auto"/>
        </w:rPr>
      </w:pPr>
    </w:p>
    <w:p>
      <w:pPr>
        <w:ind w:left="1500" w:hanging="455"/>
        <w:spacing w:after="0" w:line="331" w:lineRule="auto"/>
        <w:tabs>
          <w:tab w:leader="none" w:pos="1500" w:val="left"/>
        </w:tabs>
        <w:numPr>
          <w:ilvl w:val="2"/>
          <w:numId w:val="27"/>
        </w:numPr>
        <w:rPr>
          <w:rFonts w:ascii="Arial" w:cs="Arial" w:eastAsia="Arial" w:hAnsi="Arial"/>
          <w:sz w:val="19"/>
          <w:szCs w:val="19"/>
          <w:color w:val="auto"/>
        </w:rPr>
      </w:pPr>
      <w:r>
        <w:rPr>
          <w:rFonts w:ascii="Arial" w:cs="Arial" w:eastAsia="Arial" w:hAnsi="Arial"/>
          <w:sz w:val="19"/>
          <w:szCs w:val="19"/>
          <w:color w:val="auto"/>
        </w:rPr>
        <w:t>the amount of Incentive compensation received that exceeds the amount of incentive compensation that otherwise would have been received but for the circumstances described in either Section 4(a) or Section 4(b);</w:t>
      </w:r>
    </w:p>
    <w:p>
      <w:pPr>
        <w:spacing w:after="0" w:line="180" w:lineRule="exact"/>
        <w:rPr>
          <w:rFonts w:ascii="Arial" w:cs="Arial" w:eastAsia="Arial" w:hAnsi="Arial"/>
          <w:sz w:val="19"/>
          <w:szCs w:val="19"/>
          <w:color w:val="auto"/>
        </w:rPr>
      </w:pPr>
    </w:p>
    <w:p>
      <w:pPr>
        <w:ind w:left="1500" w:hanging="455"/>
        <w:spacing w:after="0" w:line="288" w:lineRule="auto"/>
        <w:tabs>
          <w:tab w:leader="none" w:pos="1500" w:val="left"/>
        </w:tabs>
        <w:numPr>
          <w:ilvl w:val="2"/>
          <w:numId w:val="27"/>
        </w:numPr>
        <w:rPr>
          <w:rFonts w:ascii="Arial" w:cs="Arial" w:eastAsia="Arial" w:hAnsi="Arial"/>
          <w:sz w:val="20"/>
          <w:szCs w:val="20"/>
          <w:color w:val="auto"/>
        </w:rPr>
      </w:pPr>
      <w:r>
        <w:rPr>
          <w:rFonts w:ascii="Arial" w:cs="Arial" w:eastAsia="Arial" w:hAnsi="Arial"/>
          <w:sz w:val="20"/>
          <w:szCs w:val="20"/>
          <w:color w:val="auto"/>
        </w:rPr>
        <w:t>the cost or difficulty of obtaining recoupment, including but not limited to whether Grantee has any outstanding grants that may be cancelled, whether Grantee continues</w:t>
      </w:r>
    </w:p>
    <w:p>
      <w:pPr>
        <w:sectPr>
          <w:pgSz w:w="11900" w:h="16838" w:orient="portrait"/>
          <w:cols w:equalWidth="0" w:num="1">
            <w:col w:w="11240"/>
          </w:cols>
          <w:pgMar w:left="320" w:top="108" w:right="339" w:bottom="1440" w:gutter="0" w:footer="0" w:header="0"/>
        </w:sectPr>
      </w:pPr>
    </w:p>
    <w:bookmarkStart w:id="44" w:name="page45"/>
    <w:bookmarkEnd w:id="44"/>
    <w:p>
      <w:pPr>
        <w:ind w:left="9960"/>
        <w:spacing w:after="0"/>
        <w:rPr>
          <w:sz w:val="20"/>
          <w:szCs w:val="20"/>
          <w:color w:val="auto"/>
        </w:rPr>
      </w:pPr>
      <w:r>
        <w:rPr>
          <w:rFonts w:ascii="Arial" w:cs="Arial" w:eastAsia="Arial" w:hAnsi="Arial"/>
          <w:sz w:val="19"/>
          <w:szCs w:val="19"/>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500"/>
        <w:spacing w:after="0"/>
        <w:rPr>
          <w:sz w:val="20"/>
          <w:szCs w:val="20"/>
          <w:color w:val="auto"/>
        </w:rPr>
      </w:pPr>
      <w:r>
        <w:rPr>
          <w:sz w:val="1"/>
          <w:szCs w:val="1"/>
          <w:color w:val="auto"/>
        </w:rPr>
        <w:drawing>
          <wp:inline distT="0" distB="0" distL="0" distR="0">
            <wp:extent cx="154305" cy="1117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154305" cy="111760"/>
                    </a:xfrm>
                    <a:prstGeom prst="rect">
                      <a:avLst/>
                    </a:prstGeom>
                    <a:noFill/>
                    <a:ln>
                      <a:noFill/>
                    </a:ln>
                  </pic:spPr>
                </pic:pic>
              </a:graphicData>
            </a:graphic>
          </wp:inline>
        </w:drawing>
      </w:r>
      <w:r>
        <w:rPr>
          <w:rFonts w:ascii="Arial" w:cs="Arial" w:eastAsia="Arial" w:hAnsi="Arial"/>
          <w:sz w:val="19"/>
          <w:szCs w:val="19"/>
          <w:color w:val="auto"/>
        </w:rPr>
        <w:t>to be employed by Priority, and the language of this Recoupment Policy in effect on the relevant date of Grant;</w:t>
      </w:r>
    </w:p>
    <w:p>
      <w:pPr>
        <w:spacing w:after="0" w:line="332" w:lineRule="exact"/>
        <w:rPr>
          <w:sz w:val="20"/>
          <w:szCs w:val="20"/>
          <w:color w:val="auto"/>
        </w:rPr>
      </w:pPr>
    </w:p>
    <w:p>
      <w:pPr>
        <w:jc w:val="both"/>
        <w:ind w:left="1500" w:hanging="520"/>
        <w:spacing w:after="0" w:line="285" w:lineRule="auto"/>
        <w:tabs>
          <w:tab w:leader="none" w:pos="1500" w:val="left"/>
        </w:tabs>
        <w:numPr>
          <w:ilvl w:val="2"/>
          <w:numId w:val="28"/>
        </w:numPr>
        <w:rPr>
          <w:rFonts w:ascii="Arial" w:cs="Arial" w:eastAsia="Arial" w:hAnsi="Arial"/>
          <w:sz w:val="20"/>
          <w:szCs w:val="20"/>
          <w:color w:val="auto"/>
        </w:rPr>
      </w:pPr>
      <w:r>
        <w:rPr>
          <w:rFonts w:ascii="Arial" w:cs="Arial" w:eastAsia="Arial" w:hAnsi="Arial"/>
          <w:sz w:val="20"/>
          <w:szCs w:val="20"/>
          <w:color w:val="auto"/>
        </w:rPr>
        <w:t>Grantee's relative fault or degree of involvement, (including such factors as Grantee's current or former leadership role with respect to Priority or the relevant line of business, and the degree to which Grantee was involved in decisions that are determined to have contributed to the loss);</w:t>
      </w:r>
    </w:p>
    <w:p>
      <w:pPr>
        <w:spacing w:after="0" w:line="247" w:lineRule="exact"/>
        <w:rPr>
          <w:rFonts w:ascii="Arial" w:cs="Arial" w:eastAsia="Arial" w:hAnsi="Arial"/>
          <w:sz w:val="20"/>
          <w:szCs w:val="20"/>
          <w:color w:val="auto"/>
        </w:rPr>
      </w:pPr>
    </w:p>
    <w:p>
      <w:pPr>
        <w:ind w:left="1500" w:hanging="520"/>
        <w:spacing w:after="0"/>
        <w:tabs>
          <w:tab w:leader="none" w:pos="1500" w:val="left"/>
        </w:tabs>
        <w:numPr>
          <w:ilvl w:val="2"/>
          <w:numId w:val="28"/>
        </w:numPr>
        <w:rPr>
          <w:rFonts w:ascii="Arial" w:cs="Arial" w:eastAsia="Arial" w:hAnsi="Arial"/>
          <w:sz w:val="20"/>
          <w:szCs w:val="20"/>
          <w:color w:val="auto"/>
        </w:rPr>
      </w:pPr>
      <w:r>
        <w:rPr>
          <w:rFonts w:ascii="Arial" w:cs="Arial" w:eastAsia="Arial" w:hAnsi="Arial"/>
          <w:sz w:val="20"/>
          <w:szCs w:val="20"/>
          <w:color w:val="auto"/>
        </w:rPr>
        <w:t>Grantee's general performance;</w:t>
      </w:r>
    </w:p>
    <w:p>
      <w:pPr>
        <w:spacing w:after="0" w:line="269" w:lineRule="exact"/>
        <w:rPr>
          <w:rFonts w:ascii="Arial" w:cs="Arial" w:eastAsia="Arial" w:hAnsi="Arial"/>
          <w:sz w:val="20"/>
          <w:szCs w:val="20"/>
          <w:color w:val="auto"/>
        </w:rPr>
      </w:pPr>
    </w:p>
    <w:p>
      <w:pPr>
        <w:ind w:left="1500" w:hanging="520"/>
        <w:spacing w:after="0"/>
        <w:tabs>
          <w:tab w:leader="none" w:pos="1500" w:val="left"/>
        </w:tabs>
        <w:numPr>
          <w:ilvl w:val="2"/>
          <w:numId w:val="28"/>
        </w:numPr>
        <w:rPr>
          <w:rFonts w:ascii="Arial" w:cs="Arial" w:eastAsia="Arial" w:hAnsi="Arial"/>
          <w:sz w:val="20"/>
          <w:szCs w:val="20"/>
          <w:color w:val="auto"/>
        </w:rPr>
      </w:pPr>
      <w:r>
        <w:rPr>
          <w:rFonts w:ascii="Arial" w:cs="Arial" w:eastAsia="Arial" w:hAnsi="Arial"/>
          <w:sz w:val="20"/>
          <w:szCs w:val="20"/>
          <w:color w:val="auto"/>
        </w:rPr>
        <w:t>the impact of Grantee's conduct on Priority, and the magnitude of any loss or variance from plan;</w:t>
      </w:r>
    </w:p>
    <w:p>
      <w:pPr>
        <w:spacing w:after="0" w:line="323" w:lineRule="exact"/>
        <w:rPr>
          <w:rFonts w:ascii="Arial" w:cs="Arial" w:eastAsia="Arial" w:hAnsi="Arial"/>
          <w:sz w:val="20"/>
          <w:szCs w:val="20"/>
          <w:color w:val="auto"/>
        </w:rPr>
      </w:pPr>
    </w:p>
    <w:p>
      <w:pPr>
        <w:ind w:left="1500" w:hanging="520"/>
        <w:spacing w:after="0"/>
        <w:tabs>
          <w:tab w:leader="none" w:pos="1500" w:val="left"/>
        </w:tabs>
        <w:numPr>
          <w:ilvl w:val="2"/>
          <w:numId w:val="28"/>
        </w:numPr>
        <w:rPr>
          <w:rFonts w:ascii="Arial" w:cs="Arial" w:eastAsia="Arial" w:hAnsi="Arial"/>
          <w:sz w:val="20"/>
          <w:szCs w:val="20"/>
          <w:color w:val="auto"/>
        </w:rPr>
      </w:pPr>
      <w:r>
        <w:rPr>
          <w:rFonts w:ascii="Arial" w:cs="Arial" w:eastAsia="Arial" w:hAnsi="Arial"/>
          <w:sz w:val="20"/>
          <w:szCs w:val="20"/>
          <w:color w:val="auto"/>
        </w:rPr>
        <w:t>other employment discipline that may have been applied;</w:t>
      </w:r>
    </w:p>
    <w:p>
      <w:pPr>
        <w:spacing w:after="0" w:line="296" w:lineRule="exact"/>
        <w:rPr>
          <w:rFonts w:ascii="Arial" w:cs="Arial" w:eastAsia="Arial" w:hAnsi="Arial"/>
          <w:sz w:val="20"/>
          <w:szCs w:val="20"/>
          <w:color w:val="auto"/>
        </w:rPr>
      </w:pPr>
    </w:p>
    <w:p>
      <w:pPr>
        <w:ind w:left="1500" w:hanging="520"/>
        <w:spacing w:after="0"/>
        <w:tabs>
          <w:tab w:leader="none" w:pos="1500" w:val="left"/>
        </w:tabs>
        <w:numPr>
          <w:ilvl w:val="2"/>
          <w:numId w:val="28"/>
        </w:numPr>
        <w:rPr>
          <w:rFonts w:ascii="Arial" w:cs="Arial" w:eastAsia="Arial" w:hAnsi="Arial"/>
          <w:sz w:val="20"/>
          <w:szCs w:val="20"/>
          <w:color w:val="auto"/>
        </w:rPr>
      </w:pPr>
      <w:r>
        <w:rPr>
          <w:rFonts w:ascii="Arial" w:cs="Arial" w:eastAsia="Arial" w:hAnsi="Arial"/>
          <w:sz w:val="20"/>
          <w:szCs w:val="20"/>
          <w:color w:val="auto"/>
        </w:rPr>
        <w:t>any other relevant facts and circumstances.</w:t>
      </w:r>
    </w:p>
    <w:p>
      <w:pPr>
        <w:spacing w:after="0" w:line="269" w:lineRule="exact"/>
        <w:rPr>
          <w:rFonts w:ascii="Arial" w:cs="Arial" w:eastAsia="Arial" w:hAnsi="Arial"/>
          <w:sz w:val="20"/>
          <w:szCs w:val="20"/>
          <w:color w:val="auto"/>
        </w:rPr>
      </w:pPr>
    </w:p>
    <w:p>
      <w:pPr>
        <w:ind w:firstLine="656"/>
        <w:spacing w:after="0" w:line="303" w:lineRule="auto"/>
        <w:tabs>
          <w:tab w:leader="none" w:pos="1109"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provisions of Section 5(b), Section 5(c), Section 5(d), and Section 5(e) shall not apply to discretionary recoupment under this Section 6.</w:t>
      </w:r>
    </w:p>
    <w:p>
      <w:pPr>
        <w:spacing w:after="0" w:line="202" w:lineRule="exact"/>
        <w:rPr>
          <w:rFonts w:ascii="Arial" w:cs="Arial" w:eastAsia="Arial" w:hAnsi="Arial"/>
          <w:sz w:val="20"/>
          <w:szCs w:val="20"/>
          <w:color w:val="auto"/>
        </w:rPr>
      </w:pPr>
    </w:p>
    <w:p>
      <w:pPr>
        <w:ind w:left="660" w:hanging="328"/>
        <w:spacing w:after="0"/>
        <w:tabs>
          <w:tab w:leader="none" w:pos="660" w:val="left"/>
        </w:tabs>
        <w:numPr>
          <w:ilvl w:val="0"/>
          <w:numId w:val="3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Method of Recoupment.</w:t>
      </w:r>
      <w:r>
        <w:rPr>
          <w:rFonts w:ascii="Arial" w:cs="Arial" w:eastAsia="Arial" w:hAnsi="Arial"/>
          <w:sz w:val="18"/>
          <w:szCs w:val="18"/>
          <w:color w:val="auto"/>
        </w:rPr>
        <w:t xml:space="preserve"> The Committee may effect reimbursement or recoupment in any manner consistent with applicable law</w:t>
      </w:r>
    </w:p>
    <w:p>
      <w:pPr>
        <w:spacing w:after="0" w:line="63" w:lineRule="exact"/>
        <w:rPr>
          <w:rFonts w:ascii="Arial" w:cs="Arial" w:eastAsia="Arial" w:hAnsi="Arial"/>
          <w:sz w:val="18"/>
          <w:szCs w:val="18"/>
          <w:u w:val="single" w:color="auto"/>
          <w:color w:val="auto"/>
        </w:rPr>
      </w:pPr>
    </w:p>
    <w:p>
      <w:pPr>
        <w:jc w:val="both"/>
        <w:spacing w:after="0" w:line="285" w:lineRule="auto"/>
        <w:rPr>
          <w:rFonts w:ascii="Arial" w:cs="Arial" w:eastAsia="Arial" w:hAnsi="Arial"/>
          <w:sz w:val="18"/>
          <w:szCs w:val="18"/>
          <w:u w:val="single" w:color="auto"/>
          <w:color w:val="auto"/>
        </w:rPr>
      </w:pPr>
      <w:r>
        <w:rPr>
          <w:rFonts w:ascii="Arial" w:cs="Arial" w:eastAsia="Arial" w:hAnsi="Arial"/>
          <w:sz w:val="20"/>
          <w:szCs w:val="20"/>
          <w:color w:val="auto"/>
        </w:rPr>
        <w:t>including, but not limited to, (a) seeking reimbursement of all or part of a Grant previously paid to Grantee, (b) cancelling prior Grants, whether vested or unvested or paid or unpaid, (c) cancelling or setting-off against planned future grants, and (d) any other method authorized by applicable law or contract.</w:t>
      </w:r>
    </w:p>
    <w:p>
      <w:pPr>
        <w:spacing w:after="0" w:line="220" w:lineRule="exact"/>
        <w:rPr>
          <w:rFonts w:ascii="Arial" w:cs="Arial" w:eastAsia="Arial" w:hAnsi="Arial"/>
          <w:sz w:val="18"/>
          <w:szCs w:val="18"/>
          <w:u w:val="single" w:color="auto"/>
          <w:color w:val="auto"/>
        </w:rPr>
      </w:pPr>
    </w:p>
    <w:p>
      <w:pPr>
        <w:ind w:left="660" w:hanging="328"/>
        <w:spacing w:after="0"/>
        <w:tabs>
          <w:tab w:leader="none" w:pos="660" w:val="left"/>
        </w:tabs>
        <w:numPr>
          <w:ilvl w:val="0"/>
          <w:numId w:val="3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Disclosure.</w:t>
      </w:r>
    </w:p>
    <w:p>
      <w:pPr>
        <w:spacing w:after="0" w:line="283" w:lineRule="exact"/>
        <w:rPr>
          <w:rFonts w:ascii="Arial" w:cs="Arial" w:eastAsia="Arial" w:hAnsi="Arial"/>
          <w:sz w:val="20"/>
          <w:szCs w:val="20"/>
          <w:u w:val="single" w:color="auto"/>
          <w:color w:val="auto"/>
        </w:rPr>
      </w:pPr>
    </w:p>
    <w:p>
      <w:pPr>
        <w:ind w:firstLine="656"/>
        <w:spacing w:after="0" w:line="303" w:lineRule="auto"/>
        <w:tabs>
          <w:tab w:leader="none" w:pos="1296"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Publication of Recoupment Policy.</w:t>
      </w:r>
      <w:r>
        <w:rPr>
          <w:rFonts w:ascii="Arial" w:cs="Arial" w:eastAsia="Arial" w:hAnsi="Arial"/>
          <w:sz w:val="20"/>
          <w:szCs w:val="20"/>
          <w:color w:val="auto"/>
        </w:rPr>
        <w:t xml:space="preserve"> Priority shall publish a copy of this Recoupment Policy on its external website and shall file a copy as an exhibit to its annual report on Form 10-K.</w:t>
      </w:r>
    </w:p>
    <w:p>
      <w:pPr>
        <w:spacing w:after="0" w:line="215" w:lineRule="exact"/>
        <w:rPr>
          <w:rFonts w:ascii="Arial" w:cs="Arial" w:eastAsia="Arial" w:hAnsi="Arial"/>
          <w:sz w:val="20"/>
          <w:szCs w:val="20"/>
          <w:color w:val="auto"/>
        </w:rPr>
      </w:pPr>
    </w:p>
    <w:p>
      <w:pPr>
        <w:jc w:val="both"/>
        <w:ind w:firstLine="656"/>
        <w:spacing w:after="0" w:line="305" w:lineRule="auto"/>
        <w:tabs>
          <w:tab w:leader="none" w:pos="129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Disclosure of Recoupment from Executive Officers.</w:t>
      </w:r>
      <w:r>
        <w:rPr>
          <w:rFonts w:ascii="Arial" w:cs="Arial" w:eastAsia="Arial" w:hAnsi="Arial"/>
          <w:sz w:val="18"/>
          <w:szCs w:val="18"/>
          <w:color w:val="auto"/>
        </w:rPr>
        <w:t xml:space="preserve"> In the event the Committee recoups any incentive compensation from an Executive Officer or former Executive Officer pursuant to this Policy, then Priority shall disclose the aggregate amount that the Committee</w:t>
      </w:r>
    </w:p>
    <w:p>
      <w:pPr>
        <w:jc w:val="both"/>
        <w:spacing w:after="0" w:line="302" w:lineRule="auto"/>
        <w:rPr>
          <w:rFonts w:ascii="Arial" w:cs="Arial" w:eastAsia="Arial" w:hAnsi="Arial"/>
          <w:sz w:val="18"/>
          <w:szCs w:val="18"/>
          <w:color w:val="auto"/>
        </w:rPr>
      </w:pPr>
      <w:r>
        <w:rPr>
          <w:rFonts w:ascii="Arial" w:cs="Arial" w:eastAsia="Arial" w:hAnsi="Arial"/>
          <w:sz w:val="18"/>
          <w:szCs w:val="18"/>
          <w:color w:val="auto"/>
        </w:rPr>
        <w:t xml:space="preserve">has determined to recoup or adjust, specifying (1) the amount for each event if there is more than one applicable event, and (2) a general description of the circumstances giving rise to the incentive compensation recoupment or adjustment, including items such as number of employees, seniority of employees, and line of business impacted,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all cases, the underlying event has already been publicly</w:t>
      </w:r>
    </w:p>
    <w:p>
      <w:pPr>
        <w:spacing w:after="0" w:line="1" w:lineRule="exact"/>
        <w:rPr>
          <w:rFonts w:ascii="Arial" w:cs="Arial" w:eastAsia="Arial" w:hAnsi="Arial"/>
          <w:sz w:val="18"/>
          <w:szCs w:val="18"/>
          <w:color w:val="auto"/>
        </w:rPr>
      </w:pPr>
    </w:p>
    <w:p>
      <w:pPr>
        <w:jc w:val="both"/>
        <w:spacing w:after="0" w:line="305" w:lineRule="auto"/>
        <w:rPr>
          <w:rFonts w:ascii="Arial" w:cs="Arial" w:eastAsia="Arial" w:hAnsi="Arial"/>
          <w:sz w:val="18"/>
          <w:szCs w:val="18"/>
          <w:color w:val="auto"/>
        </w:rPr>
      </w:pPr>
      <w:r>
        <w:rPr>
          <w:rFonts w:ascii="Arial" w:cs="Arial" w:eastAsia="Arial" w:hAnsi="Arial"/>
          <w:sz w:val="18"/>
          <w:szCs w:val="18"/>
          <w:color w:val="auto"/>
        </w:rPr>
        <w:t>disclosed by Priority in a filing with the SEC, (2) in disclosure that would otherwise meet the requirements for public disclosure by Priority under the SEC's Regulation FD, or (3) are disclosed by a third party in a publicly available court or administrative filing. Priority shall make</w:t>
      </w:r>
    </w:p>
    <w:p>
      <w:pPr>
        <w:jc w:val="both"/>
        <w:spacing w:after="0" w:line="278" w:lineRule="auto"/>
        <w:rPr>
          <w:rFonts w:ascii="Arial" w:cs="Arial" w:eastAsia="Arial" w:hAnsi="Arial"/>
          <w:sz w:val="18"/>
          <w:szCs w:val="18"/>
          <w:color w:val="auto"/>
        </w:rPr>
      </w:pPr>
      <w:r>
        <w:rPr>
          <w:rFonts w:ascii="Arial" w:cs="Arial" w:eastAsia="Arial" w:hAnsi="Arial"/>
          <w:sz w:val="20"/>
          <w:szCs w:val="20"/>
          <w:color w:val="auto"/>
        </w:rPr>
        <w:t>such disclosure following such a determination by the Committee in its proxy statement for the annual election of directors, in a current report on Form 8-K or other public filing made by it with the SEC, or in a posting at a clearly identifiable location in the investor relations section of its corporate website. Priority may limit such disclosure if it</w:t>
      </w:r>
    </w:p>
    <w:p>
      <w:pPr>
        <w:sectPr>
          <w:pgSz w:w="11900" w:h="16838" w:orient="portrait"/>
          <w:cols w:equalWidth="0" w:num="1">
            <w:col w:w="11240"/>
          </w:cols>
          <w:pgMar w:left="320" w:top="10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spacing w:after="0" w:line="313" w:lineRule="auto"/>
        <w:rPr>
          <w:sz w:val="20"/>
          <w:szCs w:val="20"/>
          <w:color w:val="auto"/>
        </w:rPr>
      </w:pPr>
      <w:r>
        <w:rPr>
          <w:sz w:val="1"/>
          <w:szCs w:val="1"/>
          <w:color w:val="auto"/>
        </w:rPr>
        <w:drawing>
          <wp:inline distT="0" distB="0" distL="0" distR="0">
            <wp:extent cx="154305" cy="1117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154305" cy="111760"/>
                    </a:xfrm>
                    <a:prstGeom prst="rect">
                      <a:avLst/>
                    </a:prstGeom>
                    <a:noFill/>
                    <a:ln>
                      <a:noFill/>
                    </a:ln>
                  </pic:spPr>
                </pic:pic>
              </a:graphicData>
            </a:graphic>
          </wp:inline>
        </w:drawing>
      </w:r>
      <w:r>
        <w:rPr>
          <w:rFonts w:ascii="Arial" w:cs="Arial" w:eastAsia="Arial" w:hAnsi="Arial"/>
          <w:sz w:val="20"/>
          <w:szCs w:val="20"/>
          <w:color w:val="auto"/>
        </w:rPr>
        <w:t>would be likely to result in, or exacerbate, any existing or threatened, employee, shareholder or other litigation, arbitration or proceeding against Priority or its officers or directors.</w:t>
      </w:r>
    </w:p>
    <w:p>
      <w:pPr>
        <w:spacing w:after="0" w:line="207" w:lineRule="exact"/>
        <w:rPr>
          <w:sz w:val="20"/>
          <w:szCs w:val="20"/>
          <w:color w:val="auto"/>
        </w:rPr>
      </w:pPr>
    </w:p>
    <w:p>
      <w:pPr>
        <w:ind w:left="1140" w:hanging="419"/>
        <w:spacing w:after="0"/>
        <w:tabs>
          <w:tab w:leader="none" w:pos="114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Disclosure of Recoupment in Connection With an Accounting Restatement.</w:t>
      </w:r>
      <w:r>
        <w:rPr>
          <w:rFonts w:ascii="Arial" w:cs="Arial" w:eastAsia="Arial" w:hAnsi="Arial"/>
          <w:sz w:val="20"/>
          <w:szCs w:val="20"/>
          <w:color w:val="auto"/>
        </w:rPr>
        <w:t xml:space="preserve"> In addition to</w:t>
      </w:r>
    </w:p>
    <w:p>
      <w:pPr>
        <w:spacing w:after="0" w:line="20" w:lineRule="exact"/>
        <w:rPr>
          <w:sz w:val="20"/>
          <w:szCs w:val="20"/>
          <w:color w:val="auto"/>
        </w:rPr>
      </w:pPr>
    </w:p>
    <w:p>
      <w:pPr>
        <w:jc w:val="both"/>
        <w:ind w:right="60"/>
        <w:spacing w:after="0" w:line="302" w:lineRule="auto"/>
        <w:rPr>
          <w:sz w:val="20"/>
          <w:szCs w:val="20"/>
          <w:color w:val="auto"/>
        </w:rPr>
      </w:pPr>
      <w:r>
        <w:rPr>
          <w:rFonts w:ascii="Arial" w:cs="Arial" w:eastAsia="Arial" w:hAnsi="Arial"/>
          <w:sz w:val="19"/>
          <w:szCs w:val="19"/>
          <w:color w:val="auto"/>
        </w:rPr>
        <w:t>the foregoing, in the event that Priority is required to prepare an Accounting Restatement due to its material noncompliance with any financial reporting requirement under federal securities laws, then Priority shall disclose in any proxy or information statements that calls for SEC Regulation SK Item 402 disclosure, and its annual report on Form 10-K, the following information:</w:t>
      </w:r>
    </w:p>
    <w:p>
      <w:pPr>
        <w:spacing w:after="0" w:line="167" w:lineRule="exact"/>
        <w:rPr>
          <w:sz w:val="20"/>
          <w:szCs w:val="20"/>
          <w:color w:val="auto"/>
        </w:rPr>
      </w:pPr>
    </w:p>
    <w:p>
      <w:pPr>
        <w:ind w:left="1960" w:hanging="591"/>
        <w:spacing w:after="0"/>
        <w:tabs>
          <w:tab w:leader="none" w:pos="1960" w:val="left"/>
        </w:tabs>
        <w:numPr>
          <w:ilvl w:val="2"/>
          <w:numId w:val="32"/>
        </w:numPr>
        <w:rPr>
          <w:rFonts w:ascii="Arial" w:cs="Arial" w:eastAsia="Arial" w:hAnsi="Arial"/>
          <w:sz w:val="20"/>
          <w:szCs w:val="20"/>
          <w:color w:val="auto"/>
        </w:rPr>
      </w:pPr>
      <w:r>
        <w:rPr>
          <w:rFonts w:ascii="Arial" w:cs="Arial" w:eastAsia="Arial" w:hAnsi="Arial"/>
          <w:sz w:val="20"/>
          <w:szCs w:val="20"/>
          <w:color w:val="auto"/>
        </w:rPr>
        <w:t>the date on which it was required to prepare an Accounting Restatement;</w:t>
      </w:r>
    </w:p>
    <w:p>
      <w:pPr>
        <w:spacing w:after="0" w:line="188" w:lineRule="exact"/>
        <w:rPr>
          <w:rFonts w:ascii="Arial" w:cs="Arial" w:eastAsia="Arial" w:hAnsi="Arial"/>
          <w:sz w:val="20"/>
          <w:szCs w:val="20"/>
          <w:color w:val="auto"/>
        </w:rPr>
      </w:pPr>
    </w:p>
    <w:p>
      <w:pPr>
        <w:ind w:left="1960" w:hanging="591"/>
        <w:spacing w:after="0"/>
        <w:tabs>
          <w:tab w:leader="none" w:pos="1960" w:val="left"/>
        </w:tabs>
        <w:numPr>
          <w:ilvl w:val="2"/>
          <w:numId w:val="32"/>
        </w:numPr>
        <w:rPr>
          <w:rFonts w:ascii="Arial" w:cs="Arial" w:eastAsia="Arial" w:hAnsi="Arial"/>
          <w:sz w:val="19"/>
          <w:szCs w:val="19"/>
          <w:color w:val="auto"/>
        </w:rPr>
      </w:pPr>
      <w:r>
        <w:rPr>
          <w:rFonts w:ascii="Arial" w:cs="Arial" w:eastAsia="Arial" w:hAnsi="Arial"/>
          <w:sz w:val="19"/>
          <w:szCs w:val="19"/>
          <w:color w:val="auto"/>
        </w:rPr>
        <w:t>the aggregate dollar amount of excess Incentive Compensation attributable to such Accounting Restatement;</w:t>
      </w:r>
    </w:p>
    <w:p>
      <w:pPr>
        <w:spacing w:after="0" w:line="227" w:lineRule="exact"/>
        <w:rPr>
          <w:rFonts w:ascii="Arial" w:cs="Arial" w:eastAsia="Arial" w:hAnsi="Arial"/>
          <w:sz w:val="19"/>
          <w:szCs w:val="19"/>
          <w:color w:val="auto"/>
        </w:rPr>
      </w:pPr>
    </w:p>
    <w:p>
      <w:pPr>
        <w:ind w:left="1960" w:hanging="591"/>
        <w:spacing w:after="0"/>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estimates that were used in determining the excess Incentive Compensation attributable to such Accounting</w:t>
      </w:r>
    </w:p>
    <w:p>
      <w:pPr>
        <w:spacing w:after="0" w:line="4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20"/>
          <w:szCs w:val="20"/>
          <w:color w:val="auto"/>
        </w:rPr>
        <w:t>Restatement;</w:t>
      </w:r>
    </w:p>
    <w:p>
      <w:pPr>
        <w:spacing w:after="0" w:line="215" w:lineRule="exact"/>
        <w:rPr>
          <w:rFonts w:ascii="Arial" w:cs="Arial" w:eastAsia="Arial" w:hAnsi="Arial"/>
          <w:sz w:val="18"/>
          <w:szCs w:val="18"/>
          <w:color w:val="auto"/>
        </w:rPr>
      </w:pPr>
    </w:p>
    <w:p>
      <w:pPr>
        <w:jc w:val="both"/>
        <w:ind w:left="720" w:right="60" w:firstLine="649"/>
        <w:spacing w:after="0" w:line="305" w:lineRule="auto"/>
        <w:tabs>
          <w:tab w:leader="none" w:pos="1951"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aggregate dollar amount of excess Incentive Compensation that remains outstanding at the end of the last completed fiscal year; the name of each Executive Officer from whom, as of the end of the last completed fiscal year, excess</w:t>
      </w:r>
    </w:p>
    <w:p>
      <w:pPr>
        <w:ind w:left="720" w:right="60"/>
        <w:spacing w:after="0" w:line="347" w:lineRule="auto"/>
        <w:rPr>
          <w:rFonts w:ascii="Arial" w:cs="Arial" w:eastAsia="Arial" w:hAnsi="Arial"/>
          <w:sz w:val="18"/>
          <w:szCs w:val="18"/>
          <w:color w:val="auto"/>
        </w:rPr>
      </w:pPr>
      <w:r>
        <w:rPr>
          <w:rFonts w:ascii="Arial" w:cs="Arial" w:eastAsia="Arial" w:hAnsi="Arial"/>
          <w:sz w:val="18"/>
          <w:szCs w:val="18"/>
          <w:color w:val="auto"/>
        </w:rPr>
        <w:t>Incentive Compensation had been outstanding for 180 days or longer since the date Priority determined the amount the Executive Officer owed, and the dollar amount of outstanding excess Incentive Compensation due from each such individual; and</w:t>
      </w:r>
    </w:p>
    <w:p>
      <w:pPr>
        <w:spacing w:after="0" w:line="103" w:lineRule="exact"/>
        <w:rPr>
          <w:rFonts w:ascii="Arial" w:cs="Arial" w:eastAsia="Arial" w:hAnsi="Arial"/>
          <w:sz w:val="18"/>
          <w:szCs w:val="18"/>
          <w:color w:val="auto"/>
        </w:rPr>
      </w:pPr>
    </w:p>
    <w:p>
      <w:pPr>
        <w:jc w:val="both"/>
        <w:ind w:left="720" w:right="60" w:firstLine="649"/>
        <w:spacing w:after="0" w:line="330" w:lineRule="auto"/>
        <w:tabs>
          <w:tab w:leader="none" w:pos="1951" w:val="left"/>
        </w:tabs>
        <w:numPr>
          <w:ilvl w:val="2"/>
          <w:numId w:val="32"/>
        </w:numPr>
        <w:rPr>
          <w:rFonts w:ascii="Arial" w:cs="Arial" w:eastAsia="Arial" w:hAnsi="Arial"/>
          <w:sz w:val="18"/>
          <w:szCs w:val="18"/>
          <w:color w:val="auto"/>
        </w:rPr>
      </w:pPr>
      <w:r>
        <w:rPr>
          <w:rFonts w:ascii="Arial" w:cs="Arial" w:eastAsia="Arial" w:hAnsi="Arial"/>
          <w:sz w:val="18"/>
          <w:szCs w:val="18"/>
          <w:color w:val="auto"/>
        </w:rPr>
        <w:t>if, during the last completed fiscal year Priority decided not to pursue Recoupment from any Executive Officer or former Executive Officer pursuant to Section 5(c) of this policy, then for each such Executive Officers Priority shall disclose the name and amount forgone and a brief description of the reason in each case Priority decided not to pursue recoupment.</w:t>
      </w:r>
    </w:p>
    <w:p>
      <w:pPr>
        <w:spacing w:after="0" w:line="131" w:lineRule="exact"/>
        <w:rPr>
          <w:rFonts w:ascii="Arial" w:cs="Arial" w:eastAsia="Arial" w:hAnsi="Arial"/>
          <w:sz w:val="18"/>
          <w:szCs w:val="18"/>
          <w:color w:val="auto"/>
        </w:rPr>
      </w:pPr>
    </w:p>
    <w:p>
      <w:pPr>
        <w:ind w:left="520" w:hanging="188"/>
        <w:spacing w:after="0"/>
        <w:tabs>
          <w:tab w:leader="none" w:pos="52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Interpretation.</w:t>
      </w:r>
    </w:p>
    <w:p>
      <w:pPr>
        <w:spacing w:after="0" w:line="269" w:lineRule="exact"/>
        <w:rPr>
          <w:rFonts w:ascii="Arial" w:cs="Arial" w:eastAsia="Arial" w:hAnsi="Arial"/>
          <w:sz w:val="20"/>
          <w:szCs w:val="20"/>
          <w:color w:val="auto"/>
        </w:rPr>
      </w:pPr>
    </w:p>
    <w:p>
      <w:pPr>
        <w:ind w:left="1300" w:hanging="579"/>
        <w:spacing w:after="0"/>
        <w:tabs>
          <w:tab w:leader="none" w:pos="1300" w:val="left"/>
        </w:tabs>
        <w:numPr>
          <w:ilvl w:val="1"/>
          <w:numId w:val="3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Authority of Committee.</w:t>
      </w:r>
      <w:r>
        <w:rPr>
          <w:rFonts w:ascii="Arial" w:cs="Arial" w:eastAsia="Arial" w:hAnsi="Arial"/>
          <w:sz w:val="18"/>
          <w:szCs w:val="18"/>
          <w:color w:val="auto"/>
        </w:rPr>
        <w:t xml:space="preserve"> This Policy shall be administered by the Committee. Except as limited by law, or by the Articles of</w:t>
      </w:r>
    </w:p>
    <w:p>
      <w:pPr>
        <w:spacing w:after="0" w:line="63" w:lineRule="exact"/>
        <w:rPr>
          <w:rFonts w:ascii="Arial" w:cs="Arial" w:eastAsia="Arial" w:hAnsi="Arial"/>
          <w:sz w:val="18"/>
          <w:szCs w:val="18"/>
          <w:u w:val="single" w:color="auto"/>
          <w:color w:val="auto"/>
        </w:rPr>
      </w:pPr>
    </w:p>
    <w:p>
      <w:pPr>
        <w:jc w:val="both"/>
        <w:ind w:right="60"/>
        <w:spacing w:after="0" w:line="305" w:lineRule="auto"/>
        <w:rPr>
          <w:rFonts w:ascii="Arial" w:cs="Arial" w:eastAsia="Arial" w:hAnsi="Arial"/>
          <w:sz w:val="18"/>
          <w:szCs w:val="18"/>
          <w:u w:val="single" w:color="auto"/>
          <w:color w:val="auto"/>
        </w:rPr>
      </w:pPr>
      <w:r>
        <w:rPr>
          <w:rFonts w:ascii="Arial" w:cs="Arial" w:eastAsia="Arial" w:hAnsi="Arial"/>
          <w:sz w:val="18"/>
          <w:szCs w:val="18"/>
          <w:color w:val="auto"/>
        </w:rPr>
        <w:t>Incorporation or Bylaws of Priority, and subject to the provisions of this Policy, the Committee shall have full power, authority, and sole and exclusive discretion to construe, interpret and administer this Policy. In addition, the Committee shall have full and exclusive power to adopt</w:t>
      </w:r>
    </w:p>
    <w:p>
      <w:pPr>
        <w:ind w:right="60"/>
        <w:spacing w:after="0" w:line="288" w:lineRule="auto"/>
        <w:rPr>
          <w:rFonts w:ascii="Arial" w:cs="Arial" w:eastAsia="Arial" w:hAnsi="Arial"/>
          <w:sz w:val="18"/>
          <w:szCs w:val="18"/>
          <w:u w:val="single" w:color="auto"/>
          <w:color w:val="auto"/>
        </w:rPr>
      </w:pPr>
      <w:r>
        <w:rPr>
          <w:rFonts w:ascii="Arial" w:cs="Arial" w:eastAsia="Arial" w:hAnsi="Arial"/>
          <w:sz w:val="20"/>
          <w:szCs w:val="20"/>
          <w:color w:val="auto"/>
        </w:rPr>
        <w:t>such rules, regulations and guidelines for carrying out this Policy as it may deem necessary or proper, all of which power shall be executed in the best interests of Priority and in keeping with the objectives of this Policy.</w:t>
      </w:r>
    </w:p>
    <w:p>
      <w:pPr>
        <w:spacing w:after="0" w:line="231" w:lineRule="exact"/>
        <w:rPr>
          <w:rFonts w:ascii="Arial" w:cs="Arial" w:eastAsia="Arial" w:hAnsi="Arial"/>
          <w:sz w:val="18"/>
          <w:szCs w:val="18"/>
          <w:u w:val="single" w:color="auto"/>
          <w:color w:val="auto"/>
        </w:rPr>
      </w:pPr>
    </w:p>
    <w:p>
      <w:pPr>
        <w:ind w:right="60" w:firstLine="721"/>
        <w:spacing w:after="0" w:line="347" w:lineRule="auto"/>
        <w:tabs>
          <w:tab w:leader="none" w:pos="1296" w:val="left"/>
        </w:tabs>
        <w:numPr>
          <w:ilvl w:val="1"/>
          <w:numId w:val="3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Delegation.</w:t>
      </w:r>
      <w:r>
        <w:rPr>
          <w:rFonts w:ascii="Arial" w:cs="Arial" w:eastAsia="Arial" w:hAnsi="Arial"/>
          <w:sz w:val="18"/>
          <w:szCs w:val="18"/>
          <w:color w:val="auto"/>
        </w:rPr>
        <w:t xml:space="preserve"> To the extent permitted by applicable law, the Committee may delegate its authority as identified herein to one or more Authorized Persons. Any such delegate shall serve at the pleasure of, and may be removed at any time by, the Committee.</w:t>
      </w:r>
    </w:p>
    <w:p>
      <w:pPr>
        <w:spacing w:after="0" w:line="184" w:lineRule="exact"/>
        <w:rPr>
          <w:rFonts w:ascii="Arial" w:cs="Arial" w:eastAsia="Arial" w:hAnsi="Arial"/>
          <w:sz w:val="18"/>
          <w:szCs w:val="18"/>
          <w:u w:val="single" w:color="auto"/>
          <w:color w:val="auto"/>
        </w:rPr>
      </w:pPr>
    </w:p>
    <w:p>
      <w:pPr>
        <w:jc w:val="both"/>
        <w:ind w:right="60" w:firstLine="721"/>
        <w:spacing w:after="0" w:line="285" w:lineRule="auto"/>
        <w:tabs>
          <w:tab w:leader="none" w:pos="1296" w:val="left"/>
        </w:tabs>
        <w:numPr>
          <w:ilvl w:val="1"/>
          <w:numId w:val="3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Decisions Binding.</w:t>
      </w:r>
      <w:r>
        <w:rPr>
          <w:rFonts w:ascii="Arial" w:cs="Arial" w:eastAsia="Arial" w:hAnsi="Arial"/>
          <w:sz w:val="20"/>
          <w:szCs w:val="20"/>
          <w:color w:val="auto"/>
        </w:rPr>
        <w:t xml:space="preserve"> In making any determination or in taking or not taking any action under this Policy, the Committee or its delegate(s) may obtain and may rely on the advice of experts, including employees of and professional advisors to Priority. Any action taken by, or inaction of, the</w:t>
      </w:r>
    </w:p>
    <w:p>
      <w:pPr>
        <w:sectPr>
          <w:pgSz w:w="11900" w:h="16838" w:orient="portrait"/>
          <w:cols w:equalWidth="0" w:num="1">
            <w:col w:w="11240"/>
          </w:cols>
          <w:pgMar w:left="320" w:top="10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Committee or its delegate(s) relating to or pursuant to this Policy shall be within the absolute discretion of the Committee or its delegate. Such action or inaction of the Committee or its delegate(s) shall be conclusive and binding on Priority, on each affected Employee and Director and on each other person directly or indirectly affected by such action.</w:t>
      </w:r>
    </w:p>
    <w:p>
      <w:pPr>
        <w:sectPr>
          <w:pgSz w:w="11900" w:h="16838" w:orient="portrait"/>
          <w:cols w:equalWidth="0" w:num="1">
            <w:col w:w="11240"/>
          </w:cols>
          <w:pgMar w:left="320" w:top="10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Adopted March 22, 2023</w:t>
      </w:r>
    </w:p>
    <w:p>
      <w:pPr>
        <w:sectPr>
          <w:pgSz w:w="11900" w:h="16838" w:orient="portrait"/>
          <w:cols w:equalWidth="0" w:num="1">
            <w:col w:w="11240"/>
          </w:cols>
          <w:pgMar w:left="320" w:top="10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40" w:hanging="324"/>
        <w:spacing w:after="0" w:line="255"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1020"/>
        <w:spacing w:after="0"/>
        <w:tabs>
          <w:tab w:leader="none" w:pos="6420" w:val="left"/>
        </w:tabs>
        <w:rPr>
          <w:sz w:val="20"/>
          <w:szCs w:val="20"/>
          <w:color w:val="auto"/>
        </w:rPr>
      </w:pPr>
      <w:r>
        <w:rPr>
          <w:rFonts w:ascii="Arial" w:cs="Arial" w:eastAsia="Arial" w:hAnsi="Arial"/>
          <w:sz w:val="18"/>
          <w:szCs w:val="18"/>
          <w:color w:val="auto"/>
        </w:rPr>
        <w:t>May 11, 2023</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36944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4">
                      <a:extLst>
                        <a:ext uri="{28A0092B-C50C-407E-A947-70E740481C1C}"/>
                      </a:extLst>
                    </a:blip>
                    <a:srcRect/>
                    <a:stretch>
                      <a:fillRect/>
                    </a:stretch>
                  </pic:blipFill>
                  <pic:spPr bwMode="auto">
                    <a:xfrm>
                      <a:off x="0" y="0"/>
                      <a:ext cx="3694430" cy="17145"/>
                    </a:xfrm>
                    <a:prstGeom prst="rect">
                      <a:avLst/>
                    </a:prstGeom>
                    <a:noFill/>
                  </pic:spPr>
                </pic:pic>
              </a:graphicData>
            </a:graphic>
          </wp:anchor>
        </w:drawing>
      </w:r>
    </w:p>
    <w:p>
      <w:pPr>
        <w:spacing w:after="0" w:line="30"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Timothy M. O’Leary, certify that:</w:t>
      </w:r>
    </w:p>
    <w:p>
      <w:pPr>
        <w:spacing w:after="0" w:line="25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40" w:hanging="324"/>
        <w:spacing w:after="0" w:line="255"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100"/>
        <w:spacing w:after="0"/>
        <w:tabs>
          <w:tab w:leader="none" w:pos="7660" w:val="left"/>
        </w:tabs>
        <w:rPr>
          <w:sz w:val="20"/>
          <w:szCs w:val="20"/>
          <w:color w:val="auto"/>
        </w:rPr>
      </w:pPr>
      <w:r>
        <w:rPr>
          <w:rFonts w:ascii="Arial" w:cs="Arial" w:eastAsia="Arial" w:hAnsi="Arial"/>
          <w:sz w:val="18"/>
          <w:szCs w:val="18"/>
          <w:color w:val="auto"/>
        </w:rPr>
        <w:t>May 11, 2023</w:t>
      </w:r>
      <w:r>
        <w:rPr>
          <w:sz w:val="20"/>
          <w:szCs w:val="20"/>
          <w:color w:val="auto"/>
        </w:rPr>
        <w:tab/>
      </w:r>
      <w:r>
        <w:rPr>
          <w:rFonts w:ascii="Arial" w:cs="Arial" w:eastAsia="Arial" w:hAnsi="Arial"/>
          <w:sz w:val="17"/>
          <w:szCs w:val="17"/>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23495</wp:posOffset>
            </wp:positionV>
            <wp:extent cx="3068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43"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Timothy M. O’Leary</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Priority Technology Holdings, Inc. (the "Company") for the quarter ended March 31, 2023 as filed with the Securities and Exchange Commission (the "Report"), each of the undersigned, on the dates indicated below, hereby certifies pursuant to 18 U.S.C. Section 1350, as adopted pursuant to Section 906 of the Sarbanes-Oxley Act of 2002, that:</w:t>
      </w:r>
    </w:p>
    <w:p>
      <w:pPr>
        <w:spacing w:after="0" w:line="21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May 11, 2023</w:t>
            </w:r>
          </w:p>
        </w:tc>
        <w:tc>
          <w:tcPr>
            <w:tcW w:w="6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C. PRIORE</w:t>
            </w:r>
          </w:p>
        </w:tc>
      </w:tr>
      <w:tr>
        <w:trPr>
          <w:trHeight w:val="229"/>
        </w:trPr>
        <w:tc>
          <w:tcPr>
            <w:tcW w:w="4580" w:type="dxa"/>
            <w:vAlign w:val="bottom"/>
          </w:tcPr>
          <w:p>
            <w:pPr>
              <w:spacing w:after="0"/>
              <w:rPr>
                <w:sz w:val="19"/>
                <w:szCs w:val="19"/>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Thomas C. Priore</w:t>
            </w:r>
          </w:p>
        </w:tc>
      </w:tr>
      <w:tr>
        <w:trPr>
          <w:trHeight w:val="230"/>
        </w:trPr>
        <w:tc>
          <w:tcPr>
            <w:tcW w:w="4580" w:type="dxa"/>
            <w:vAlign w:val="bottom"/>
          </w:tcPr>
          <w:p>
            <w:pPr>
              <w:spacing w:after="0"/>
              <w:rPr>
                <w:sz w:val="20"/>
                <w:szCs w:val="20"/>
                <w:color w:val="auto"/>
              </w:rPr>
            </w:pPr>
          </w:p>
        </w:tc>
        <w:tc>
          <w:tcPr>
            <w:tcW w:w="6600" w:type="dxa"/>
            <w:vAlign w:val="bottom"/>
          </w:tcPr>
          <w:p>
            <w:pPr>
              <w:ind w:left="60"/>
              <w:spacing w:after="0"/>
              <w:rPr>
                <w:sz w:val="20"/>
                <w:szCs w:val="20"/>
                <w:color w:val="auto"/>
              </w:rPr>
            </w:pPr>
            <w:r>
              <w:rPr>
                <w:rFonts w:ascii="Arial" w:cs="Arial" w:eastAsia="Arial" w:hAnsi="Arial"/>
                <w:sz w:val="18"/>
                <w:szCs w:val="18"/>
                <w:i w:val="1"/>
                <w:iCs w:val="1"/>
                <w:color w:val="auto"/>
              </w:rPr>
              <w:t>Chief Executive Officer and Chairman</w:t>
            </w:r>
          </w:p>
        </w:tc>
      </w:tr>
      <w:tr>
        <w:trPr>
          <w:trHeight w:val="243"/>
        </w:trPr>
        <w:tc>
          <w:tcPr>
            <w:tcW w:w="4580" w:type="dxa"/>
            <w:vAlign w:val="bottom"/>
          </w:tcPr>
          <w:p>
            <w:pPr>
              <w:spacing w:after="0"/>
              <w:rPr>
                <w:sz w:val="21"/>
                <w:szCs w:val="21"/>
                <w:color w:val="auto"/>
              </w:rPr>
            </w:pPr>
          </w:p>
        </w:tc>
        <w:tc>
          <w:tcPr>
            <w:tcW w:w="660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51"/>
        </w:trPr>
        <w:tc>
          <w:tcPr>
            <w:tcW w:w="4580" w:type="dxa"/>
            <w:vAlign w:val="bottom"/>
          </w:tcPr>
          <w:p>
            <w:pPr>
              <w:spacing w:after="0"/>
              <w:rPr>
                <w:sz w:val="20"/>
                <w:szCs w:val="20"/>
                <w:color w:val="auto"/>
              </w:rPr>
            </w:pPr>
            <w:r>
              <w:rPr>
                <w:rFonts w:ascii="Arial" w:cs="Arial" w:eastAsia="Arial" w:hAnsi="Arial"/>
                <w:sz w:val="18"/>
                <w:szCs w:val="18"/>
                <w:color w:val="auto"/>
              </w:rPr>
              <w:t>May 11, 2023</w:t>
            </w:r>
          </w:p>
        </w:tc>
        <w:tc>
          <w:tcPr>
            <w:tcW w:w="6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TIMOTHY M. O’LEARY</w:t>
            </w:r>
          </w:p>
        </w:tc>
      </w:tr>
      <w:tr>
        <w:trPr>
          <w:trHeight w:val="229"/>
        </w:trPr>
        <w:tc>
          <w:tcPr>
            <w:tcW w:w="4580" w:type="dxa"/>
            <w:vAlign w:val="bottom"/>
          </w:tcPr>
          <w:p>
            <w:pPr>
              <w:spacing w:after="0"/>
              <w:rPr>
                <w:sz w:val="19"/>
                <w:szCs w:val="19"/>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Timothy M. O’Leary</w:t>
            </w:r>
          </w:p>
        </w:tc>
      </w:tr>
      <w:tr>
        <w:trPr>
          <w:trHeight w:val="230"/>
        </w:trPr>
        <w:tc>
          <w:tcPr>
            <w:tcW w:w="4580" w:type="dxa"/>
            <w:vAlign w:val="bottom"/>
          </w:tcPr>
          <w:p>
            <w:pPr>
              <w:spacing w:after="0"/>
              <w:rPr>
                <w:sz w:val="19"/>
                <w:szCs w:val="19"/>
                <w:color w:val="auto"/>
              </w:rPr>
            </w:pPr>
          </w:p>
        </w:tc>
        <w:tc>
          <w:tcPr>
            <w:tcW w:w="6600" w:type="dxa"/>
            <w:vAlign w:val="bottom"/>
          </w:tcPr>
          <w:p>
            <w:pPr>
              <w:ind w:left="6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4580" w:type="dxa"/>
            <w:vAlign w:val="bottom"/>
          </w:tcPr>
          <w:p>
            <w:pPr>
              <w:spacing w:after="0"/>
              <w:rPr>
                <w:sz w:val="20"/>
                <w:szCs w:val="20"/>
                <w:color w:val="auto"/>
              </w:rPr>
            </w:pPr>
          </w:p>
        </w:tc>
        <w:tc>
          <w:tcPr>
            <w:tcW w:w="660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2"/>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lvl w:ilvl="1">
      <w:lvlJc w:val="left"/>
      <w:lvlText w:val="(%2)"/>
      <w:numFmt w:val="decimal"/>
      <w:start w:val="1"/>
    </w:lvl>
  </w:abstractNum>
  <w:abstractNum w:abstractNumId="6">
    <w:nsid w:val="333AB105"/>
    <w:multiLevelType w:val="hybridMultilevel"/>
    <w:lvl w:ilvl="0">
      <w:lvlJc w:val="left"/>
      <w:lvlText w:val="%1."/>
      <w:numFmt w:val="decimal"/>
      <w:start w:val="5"/>
    </w:lvl>
    <w:lvl w:ilvl="1">
      <w:lvlJc w:val="left"/>
      <w:lvlText w:val="%2"/>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1"/>
    </w:lvl>
  </w:abstractNum>
  <w:abstractNum w:abstractNumId="11">
    <w:nsid w:val="75A2A8D4"/>
    <w:multiLevelType w:val="hybridMultilevel"/>
    <w:lvl w:ilvl="0">
      <w:lvlJc w:val="left"/>
      <w:lvlText w:val="%1"/>
      <w:numFmt w:val="decimal"/>
      <w:start w:val="1"/>
    </w:lvl>
    <w:lvl w:ilvl="1">
      <w:lvlJc w:val="left"/>
      <w:lvlText w:val="(%2)"/>
      <w:numFmt w:val="decimal"/>
      <w:start w:val="1"/>
    </w:lvl>
  </w:abstractNum>
  <w:abstractNum w:abstractNumId="12">
    <w:nsid w:val="8EDBDAB"/>
    <w:multiLevelType w:val="hybridMultilevel"/>
    <w:lvl w:ilvl="0">
      <w:lvlJc w:val="left"/>
      <w:lvlText w:val="%1."/>
      <w:numFmt w:val="decimal"/>
      <w:start w:val="12"/>
    </w:lvl>
    <w:lvl w:ilvl="1">
      <w:lvlJc w:val="left"/>
      <w:lvlText w:val="%2"/>
      <w:numFmt w:val="decimal"/>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lowerRoman"/>
      <w:start w:val="2"/>
    </w:lvl>
  </w:abstractNum>
  <w:abstractNum w:abstractNumId="21">
    <w:nsid w:val="2901D82"/>
    <w:multiLevelType w:val="hybridMultilevel"/>
    <w:lvl w:ilvl="0">
      <w:lvlJc w:val="left"/>
      <w:lvlText w:val="%1."/>
      <w:numFmt w:val="decimal"/>
      <w:start w:val="3"/>
    </w:lvl>
  </w:abstractNum>
  <w:abstractNum w:abstractNumId="22">
    <w:nsid w:val="3A95F874"/>
    <w:multiLevelType w:val="hybridMultilevel"/>
    <w:lvl w:ilvl="0">
      <w:lvlJc w:val="left"/>
      <w:lvlText w:val="(%1)"/>
      <w:numFmt w:val="lowerLetter"/>
      <w:start w:val="1"/>
    </w:lvl>
    <w:lvl w:ilvl="1">
      <w:lvlJc w:val="left"/>
      <w:lvlText w:val="(%2)"/>
      <w:numFmt w:val="decimal"/>
      <w:start w:val="1"/>
    </w:lvl>
  </w:abstractNum>
  <w:abstractNum w:abstractNumId="23">
    <w:nsid w:val="8138641"/>
    <w:multiLevelType w:val="hybridMultilevel"/>
    <w:lvl w:ilvl="0">
      <w:lvlJc w:val="left"/>
      <w:lvlText w:val="%1."/>
      <w:numFmt w:val="decimal"/>
      <w:start w:val="5"/>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6">
    <w:nsid w:val="737B8DD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7">
    <w:nsid w:val="6CEAF087"/>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8">
    <w:nsid w:val="22221A70"/>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9">
    <w:nsid w:val="4516DDE9"/>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0">
    <w:nsid w:val="3006C83E"/>
    <w:multiLevelType w:val="hybridMultilevel"/>
    <w:lvl w:ilvl="0">
      <w:lvlJc w:val="left"/>
      <w:lvlText w:val="(%1)"/>
      <w:numFmt w:val="lowerLetter"/>
      <w:start w:val="3"/>
    </w:lvl>
  </w:abstractNum>
  <w:abstractNum w:abstractNumId="31">
    <w:nsid w:val="614FD4A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2">
    <w:nsid w:val="419AC241"/>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70" Type="http://schemas.openxmlformats.org/officeDocument/2006/relationships/image" Target="media/image42.png"/><Relationship Id="rId78" Type="http://schemas.openxmlformats.org/officeDocument/2006/relationships/image" Target="media/image43.png"/><Relationship Id="rId79" Type="http://schemas.openxmlformats.org/officeDocument/2006/relationships/image" Target="media/image44.jpeg"/><Relationship Id="rId80" Type="http://schemas.openxmlformats.org/officeDocument/2006/relationships/image" Target="media/image45.jpeg"/><Relationship Id="rId81" Type="http://schemas.openxmlformats.org/officeDocument/2006/relationships/image" Target="media/image46.jpeg"/><Relationship Id="rId82" Type="http://schemas.openxmlformats.org/officeDocument/2006/relationships/image" Target="media/image47.jpeg"/><Relationship Id="rId83" Type="http://schemas.openxmlformats.org/officeDocument/2006/relationships/image" Target="media/image48.jpeg"/><Relationship Id="rId84" Type="http://schemas.openxmlformats.org/officeDocument/2006/relationships/image" Target="media/image49.png"/><Relationship Id="rId85" Type="http://schemas.openxmlformats.org/officeDocument/2006/relationships/image" Target="media/image50.png"/><Relationship Id="rId49" Type="http://schemas.openxmlformats.org/officeDocument/2006/relationships/hyperlink" Target="https://www.sec.gov/Archives/edgar/data/1653558/000161577418006226/s111183_defm14a.htm" TargetMode="External"/><Relationship Id="rId50" Type="http://schemas.openxmlformats.org/officeDocument/2006/relationships/hyperlink" Target="https://www.sec.gov/Archives/edgar/data/1653558/000165355821000031/projectwarriorfinxera-merg.htm" TargetMode="External"/><Relationship Id="rId51" Type="http://schemas.openxmlformats.org/officeDocument/2006/relationships/hyperlink" Target="https://www.sec.gov/Archives/edgar/data/1653558/000165355821000060/annex1certificateofamendme.htm" TargetMode="External"/><Relationship Id="rId52" Type="http://schemas.openxmlformats.org/officeDocument/2006/relationships/hyperlink" Target="https://www.sec.gov/Archives/edgar/data/0001653558/000165355821000031/projectwarriorfinxera-merg.htm" TargetMode="External"/><Relationship Id="rId53" Type="http://schemas.openxmlformats.org/officeDocument/2006/relationships/hyperlink" Target="http://www.sec.gov/Archives/edgar/data/1653558/000161577418007231/s111606_ex3-1.htm" TargetMode="External"/><Relationship Id="rId54" Type="http://schemas.openxmlformats.org/officeDocument/2006/relationships/hyperlink" Target="http://www.sec.gov/Archives/edgar/data/1653558/000161577418007231/s111606_ex3-2.htm" TargetMode="External"/><Relationship Id="rId55" Type="http://schemas.openxmlformats.org/officeDocument/2006/relationships/hyperlink" Target="https://www.sec.gov/Archives/edgar/data/0001653558/000165355821000065/exhibit31-priorityxcertifi.htm" TargetMode="External"/><Relationship Id="rId56" Type="http://schemas.openxmlformats.org/officeDocument/2006/relationships/hyperlink" Target="http://www.sec.gov/Archives/edgar/data/1653558/000161577416007233/s104127_ex4-1.htm" TargetMode="External"/><Relationship Id="rId57" Type="http://schemas.openxmlformats.org/officeDocument/2006/relationships/hyperlink" Target="http://www.sec.gov/Archives/edgar/data/1653558/000161577418007231/s111606_ex10-1.htm" TargetMode="External"/><Relationship Id="rId58" Type="http://schemas.openxmlformats.org/officeDocument/2006/relationships/hyperlink" Target="http://www.sec.gov/Archives/edgar/data/1653558/000161577418007231/s111606_ex10-2.htm" TargetMode="External"/><Relationship Id="rId59" Type="http://schemas.openxmlformats.org/officeDocument/2006/relationships/hyperlink" Target="https://www.sec.gov/Archives/edgar/data/0001653558/000165355821000101/ex1021prioritytechnologyq2.htm" TargetMode="External"/><Relationship Id="rId60" Type="http://schemas.openxmlformats.org/officeDocument/2006/relationships/hyperlink" Target="https://www.sec.gov/Archives/edgar/data/1653558/000165355822000028/prioritytechnology-ex1031x.htm" TargetMode="External"/><Relationship Id="rId61" Type="http://schemas.openxmlformats.org/officeDocument/2006/relationships/hyperlink" Target="https://www.sec.gov/Archives/edgar/data/0001653558/000165355821000065/exhibit103-prioritypayment.htm" TargetMode="External"/><Relationship Id="rId62" Type="http://schemas.openxmlformats.org/officeDocument/2006/relationships/hyperlink" Target="http://www.sec.gov/Archives/edgar/data/1653558/000161577418014981/s114881_ex10-6.htm" TargetMode="External"/><Relationship Id="rId63" Type="http://schemas.openxmlformats.org/officeDocument/2006/relationships/hyperlink" Target="http://www.sec.gov/Archives/edgar/data/1653558/000161577418014981/s114881_ex10-7.htm" TargetMode="External"/><Relationship Id="rId64" Type="http://schemas.openxmlformats.org/officeDocument/2006/relationships/hyperlink" Target="http://www.sec.gov/Archives/edgar/data/1653558/000161577418014966/s114910_ex10-1.htm" TargetMode="External"/><Relationship Id="rId65" Type="http://schemas.openxmlformats.org/officeDocument/2006/relationships/hyperlink" Target="http://www.sec.gov/Archives/edgar/data/1653558/000162828019003666/prioritytechnology-ex1013.htm" TargetMode="External"/><Relationship Id="rId66" Type="http://schemas.openxmlformats.org/officeDocument/2006/relationships/hyperlink" Target="http://www.sec.gov/Archives/edgar/data/1653558/000162828019003666/prioritytechnology-ex1019.htm" TargetMode="External"/><Relationship Id="rId67" Type="http://schemas.openxmlformats.org/officeDocument/2006/relationships/hyperlink" Target="https://www.sec.gov/Archives/edgar/data/1653558/000165355820000148/assetpurchaseagreement.htm" TargetMode="External"/><Relationship Id="rId68" Type="http://schemas.openxmlformats.org/officeDocument/2006/relationships/hyperlink" Target="https://www.sec.gov/Archives/edgar/data/0001653558/000165355821000031/exhibith-supportagreemente.htm" TargetMode="External"/><Relationship Id="rId69" Type="http://schemas.openxmlformats.org/officeDocument/2006/relationships/hyperlink" Target="https://www.sec.gov/Archives/edgar/data/0001653558/000165355821000031/priorityprojectwarrior-tru.htm" TargetMode="External"/><Relationship Id="rId71" Type="http://schemas.openxmlformats.org/officeDocument/2006/relationships/hyperlink" Target="https://www.sec.gov/Archives/edgar/data/0001653558/000165355821000031/priority-arespreferredcomm.htm" TargetMode="External"/><Relationship Id="rId72" Type="http://schemas.openxmlformats.org/officeDocument/2006/relationships/hyperlink" Target="https://www.sec.gov/Archives/edgar/data/0001653558/000165355821000065/exhibit101-priorityxpurcha.htm" TargetMode="External"/><Relationship Id="rId73" Type="http://schemas.openxmlformats.org/officeDocument/2006/relationships/hyperlink" Target="https://www.sec.gov/Archives/edgar/data/0001653558/000165355821000065/exhibit102-priorityxregist.htm" TargetMode="External"/><Relationship Id="rId74" Type="http://schemas.openxmlformats.org/officeDocument/2006/relationships/hyperlink" Target="https://www.sec.gov/Archives/edgar/data/0001653558/000165355821000114/prioritypayments-secondame.htm" TargetMode="External"/><Relationship Id="rId75" Type="http://schemas.openxmlformats.org/officeDocument/2006/relationships/hyperlink" Target="https://www.sec.gov/Archives/edgar/data/1653558/000165355822000094/ex1023formrestrictedstocku.htm" TargetMode="External"/><Relationship Id="rId76" Type="http://schemas.openxmlformats.org/officeDocument/2006/relationships/hyperlink" Target="https://www.sec.gov/Archives/edgar/data/1653558/000165355823000030/prioritytechnology-ex108.htm" TargetMode="External"/><Relationship Id="rId77" Type="http://schemas.openxmlformats.org/officeDocument/2006/relationships/hyperlink" Target="https://www.sec.gov/Archives/edgar/data/1653558/000165355822000028/prioritytechnology-ex211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2023-05-11T08:06:46Z</dcterms:created>
  <dcterms:modified xsi:type="dcterms:W3CDTF">2023-05-11T08:06:46Z</dcterms:modified>
</cp:coreProperties>
</file>