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10-Q</w:t>
      </w:r>
    </w:p>
    <w:p>
      <w:pPr>
        <w:spacing w:after="0" w:line="162" w:lineRule="exact"/>
        <w:rPr>
          <w:sz w:val="24"/>
          <w:szCs w:val="24"/>
          <w:color w:val="auto"/>
        </w:rPr>
      </w:pPr>
    </w:p>
    <w:p>
      <w:pPr>
        <w:jc w:val="center"/>
        <w:ind w:left="4560" w:right="2840" w:hanging="1730"/>
        <w:spacing w:after="0" w:line="320" w:lineRule="auto"/>
        <w:tabs>
          <w:tab w:leader="none" w:pos="2959"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 For the quarterly period ended March 31, 2025</w:t>
      </w: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6" w:lineRule="exact"/>
        <w:rPr>
          <w:sz w:val="24"/>
          <w:szCs w:val="24"/>
          <w:color w:val="auto"/>
        </w:rPr>
      </w:pPr>
    </w:p>
    <w:p>
      <w:pPr>
        <w:ind w:left="2960" w:hanging="128"/>
        <w:spacing w:after="0"/>
        <w:tabs>
          <w:tab w:leader="none" w:pos="296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36" w:lineRule="exact"/>
        <w:rPr>
          <w:sz w:val="24"/>
          <w:szCs w:val="24"/>
          <w:color w:val="auto"/>
        </w:rPr>
      </w:pPr>
    </w:p>
    <w:p>
      <w:pPr>
        <w:ind w:left="4620"/>
        <w:spacing w:after="0"/>
        <w:tabs>
          <w:tab w:leader="none" w:pos="65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116205</wp:posOffset>
            </wp:positionV>
            <wp:extent cx="1697355" cy="537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4060" w:type="dxa"/>
            <w:vAlign w:val="bottom"/>
          </w:tcPr>
          <w:p>
            <w:pPr>
              <w:spacing w:after="0"/>
              <w:rPr>
                <w:sz w:val="12"/>
                <w:szCs w:val="12"/>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Priority Technology Holdings, Inc.</w:t>
            </w:r>
          </w:p>
        </w:tc>
        <w:tc>
          <w:tcPr>
            <w:tcW w:w="3720" w:type="dxa"/>
            <w:vAlign w:val="bottom"/>
          </w:tcPr>
          <w:p>
            <w:pPr>
              <w:spacing w:after="0"/>
              <w:rPr>
                <w:sz w:val="12"/>
                <w:szCs w:val="12"/>
                <w:color w:val="auto"/>
              </w:rPr>
            </w:pPr>
          </w:p>
        </w:tc>
      </w:tr>
      <w:tr>
        <w:trPr>
          <w:trHeight w:val="155"/>
        </w:trPr>
        <w:tc>
          <w:tcPr>
            <w:tcW w:w="4060" w:type="dxa"/>
            <w:vAlign w:val="bottom"/>
          </w:tcPr>
          <w:p>
            <w:pPr>
              <w:spacing w:after="0"/>
              <w:rPr>
                <w:sz w:val="13"/>
                <w:szCs w:val="13"/>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20" w:type="dxa"/>
            <w:vAlign w:val="bottom"/>
          </w:tcPr>
          <w:p>
            <w:pPr>
              <w:spacing w:after="0"/>
              <w:rPr>
                <w:sz w:val="13"/>
                <w:szCs w:val="13"/>
                <w:color w:val="auto"/>
              </w:rPr>
            </w:pPr>
          </w:p>
        </w:tc>
      </w:tr>
      <w:tr>
        <w:trPr>
          <w:trHeight w:val="171"/>
        </w:trPr>
        <w:tc>
          <w:tcPr>
            <w:tcW w:w="4060" w:type="dxa"/>
            <w:vAlign w:val="bottom"/>
            <w:tcBorders>
              <w:bottom w:val="single" w:sz="8" w:color="auto"/>
            </w:tcBorders>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jc w:val="right"/>
              <w:ind w:right="2023"/>
              <w:spacing w:after="0"/>
              <w:rPr>
                <w:sz w:val="20"/>
                <w:szCs w:val="20"/>
                <w:color w:val="auto"/>
              </w:rPr>
            </w:pPr>
            <w:r>
              <w:rPr>
                <w:rFonts w:ascii="Times New Roman" w:cs="Times New Roman" w:eastAsia="Times New Roman" w:hAnsi="Times New Roman"/>
                <w:sz w:val="12"/>
                <w:szCs w:val="12"/>
                <w:b w:val="1"/>
                <w:bCs w:val="1"/>
                <w:color w:val="auto"/>
              </w:rPr>
              <w:t>47-4257046</w:t>
            </w:r>
          </w:p>
        </w:tc>
      </w:tr>
      <w:tr>
        <w:trPr>
          <w:trHeight w:val="97"/>
        </w:trPr>
        <w:tc>
          <w:tcPr>
            <w:tcW w:w="4060" w:type="dxa"/>
            <w:vAlign w:val="bottom"/>
          </w:tcPr>
          <w:p>
            <w:pPr>
              <w:jc w:val="center"/>
              <w:ind w:left="2482"/>
              <w:spacing w:after="0" w:line="97"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720" w:type="dxa"/>
            <w:vAlign w:val="bottom"/>
          </w:tcPr>
          <w:p>
            <w:pPr>
              <w:jc w:val="center"/>
              <w:ind w:right="963"/>
              <w:spacing w:after="0" w:line="97"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4060" w:type="dxa"/>
            <w:vAlign w:val="bottom"/>
          </w:tcPr>
          <w:p>
            <w:pPr>
              <w:jc w:val="center"/>
              <w:ind w:left="2462"/>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720" w:type="dxa"/>
            <w:vAlign w:val="bottom"/>
          </w:tcPr>
          <w:p>
            <w:pPr>
              <w:jc w:val="center"/>
              <w:ind w:right="96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86"/>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53"/>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9"/>
        </w:trPr>
        <w:tc>
          <w:tcPr>
            <w:tcW w:w="4060" w:type="dxa"/>
            <w:vAlign w:val="bottom"/>
            <w:tcBorders>
              <w:bottom w:val="single" w:sz="8" w:color="auto"/>
            </w:tcBorders>
          </w:tcPr>
          <w:p>
            <w:pPr>
              <w:jc w:val="center"/>
              <w:ind w:left="542"/>
              <w:spacing w:after="0"/>
              <w:rPr>
                <w:sz w:val="20"/>
                <w:szCs w:val="20"/>
                <w:color w:val="auto"/>
              </w:rPr>
            </w:pPr>
            <w:r>
              <w:rPr>
                <w:rFonts w:ascii="Times New Roman" w:cs="Times New Roman" w:eastAsia="Times New Roman" w:hAnsi="Times New Roman"/>
                <w:sz w:val="12"/>
                <w:szCs w:val="12"/>
                <w:b w:val="1"/>
                <w:bCs w:val="1"/>
                <w:color w:val="auto"/>
                <w:w w:val="98"/>
              </w:rPr>
              <w:t>Alpharetta,</w:t>
            </w:r>
          </w:p>
        </w:tc>
        <w:tc>
          <w:tcPr>
            <w:tcW w:w="7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720" w:type="dxa"/>
            <w:vAlign w:val="bottom"/>
            <w:tcBorders>
              <w:bottom w:val="single" w:sz="8" w:color="auto"/>
            </w:tcBorders>
          </w:tcPr>
          <w:p>
            <w:pPr>
              <w:jc w:val="right"/>
              <w:ind w:right="2163"/>
              <w:spacing w:after="0"/>
              <w:rPr>
                <w:sz w:val="20"/>
                <w:szCs w:val="20"/>
                <w:color w:val="auto"/>
              </w:rPr>
            </w:pPr>
            <w:r>
              <w:rPr>
                <w:rFonts w:ascii="Times New Roman" w:cs="Times New Roman" w:eastAsia="Times New Roman" w:hAnsi="Times New Roman"/>
                <w:sz w:val="12"/>
                <w:szCs w:val="12"/>
                <w:b w:val="1"/>
                <w:bCs w:val="1"/>
                <w:color w:val="auto"/>
              </w:rPr>
              <w:t>30004</w:t>
            </w:r>
          </w:p>
        </w:tc>
      </w:tr>
      <w:tr>
        <w:trPr>
          <w:trHeight w:val="129"/>
        </w:trPr>
        <w:tc>
          <w:tcPr>
            <w:tcW w:w="4060" w:type="dxa"/>
            <w:vAlign w:val="bottom"/>
          </w:tcPr>
          <w:p>
            <w:pPr>
              <w:jc w:val="center"/>
              <w:ind w:left="542"/>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720" w:type="dxa"/>
            <w:vAlign w:val="bottom"/>
          </w:tcPr>
          <w:p>
            <w:pPr>
              <w:jc w:val="center"/>
              <w:ind w:right="943"/>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326"/>
        </w:trPr>
        <w:tc>
          <w:tcPr>
            <w:tcW w:w="40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 (404) 952-2107</w:t>
            </w:r>
          </w:p>
        </w:tc>
        <w:tc>
          <w:tcPr>
            <w:tcW w:w="3720" w:type="dxa"/>
            <w:vAlign w:val="bottom"/>
            <w:tcBorders>
              <w:bottom w:val="single" w:sz="8" w:color="auto"/>
            </w:tcBorders>
          </w:tcPr>
          <w:p>
            <w:pPr>
              <w:spacing w:after="0"/>
              <w:rPr>
                <w:sz w:val="24"/>
                <w:szCs w:val="24"/>
                <w:color w:val="auto"/>
              </w:rPr>
            </w:pPr>
          </w:p>
        </w:tc>
      </w:tr>
      <w:tr>
        <w:trPr>
          <w:trHeight w:val="268"/>
        </w:trPr>
        <w:tc>
          <w:tcPr>
            <w:tcW w:w="40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1"/>
                <w:szCs w:val="11"/>
                <w:color w:val="auto"/>
                <w:w w:val="99"/>
              </w:rPr>
              <w:t>Not applicable</w:t>
            </w:r>
          </w:p>
        </w:tc>
        <w:tc>
          <w:tcPr>
            <w:tcW w:w="3720" w:type="dxa"/>
            <w:vAlign w:val="bottom"/>
            <w:tcBorders>
              <w:bottom w:val="single" w:sz="8" w:color="auto"/>
            </w:tcBorders>
          </w:tcPr>
          <w:p>
            <w:pPr>
              <w:spacing w:after="0"/>
              <w:rPr>
                <w:sz w:val="23"/>
                <w:szCs w:val="23"/>
                <w:color w:val="auto"/>
              </w:rPr>
            </w:pPr>
          </w:p>
        </w:tc>
      </w:tr>
      <w:tr>
        <w:trPr>
          <w:trHeight w:val="131"/>
        </w:trPr>
        <w:tc>
          <w:tcPr>
            <w:tcW w:w="7600" w:type="dxa"/>
            <w:vAlign w:val="bottom"/>
            <w:gridSpan w:val="4"/>
          </w:tcPr>
          <w:p>
            <w:pPr>
              <w:jc w:val="center"/>
              <w:ind w:left="3642"/>
              <w:spacing w:after="0"/>
              <w:rPr>
                <w:sz w:val="20"/>
                <w:szCs w:val="20"/>
                <w:color w:val="auto"/>
              </w:rPr>
            </w:pPr>
            <w:r>
              <w:rPr>
                <w:rFonts w:ascii="Times New Roman" w:cs="Times New Roman" w:eastAsia="Times New Roman" w:hAnsi="Times New Roman"/>
                <w:sz w:val="11"/>
                <w:szCs w:val="11"/>
                <w:color w:val="auto"/>
                <w:w w:val="98"/>
              </w:rPr>
              <w:t>(Former name, former address and former fiscal year, if changed since last report)</w:t>
            </w:r>
          </w:p>
        </w:tc>
        <w:tc>
          <w:tcPr>
            <w:tcW w:w="3720" w:type="dxa"/>
            <w:vAlign w:val="bottom"/>
          </w:tcPr>
          <w:p>
            <w:pPr>
              <w:spacing w:after="0"/>
              <w:rPr>
                <w:sz w:val="11"/>
                <w:szCs w:val="11"/>
                <w:color w:val="auto"/>
              </w:rPr>
            </w:pPr>
          </w:p>
        </w:tc>
      </w:tr>
      <w:tr>
        <w:trPr>
          <w:trHeight w:val="355"/>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2"/>
        </w:trPr>
        <w:tc>
          <w:tcPr>
            <w:tcW w:w="40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r>
      <w:tr>
        <w:trPr>
          <w:trHeight w:val="142"/>
        </w:trPr>
        <w:tc>
          <w:tcPr>
            <w:tcW w:w="4060" w:type="dxa"/>
            <w:vAlign w:val="bottom"/>
            <w:tcBorders>
              <w:left w:val="single" w:sz="8" w:color="auto"/>
              <w:bottom w:val="single" w:sz="8" w:color="auto"/>
            </w:tcBorders>
          </w:tcPr>
          <w:p>
            <w:pPr>
              <w:jc w:val="center"/>
              <w:ind w:left="662"/>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060" w:type="dxa"/>
            <w:vAlign w:val="bottom"/>
            <w:tcBorders>
              <w:left w:val="single" w:sz="8" w:color="auto"/>
              <w:bottom w:val="single" w:sz="8" w:color="auto"/>
            </w:tcBorders>
          </w:tcPr>
          <w:p>
            <w:pPr>
              <w:jc w:val="center"/>
              <w:ind w:left="682"/>
              <w:spacing w:after="0"/>
              <w:rPr>
                <w:sz w:val="20"/>
                <w:szCs w:val="20"/>
                <w:color w:val="auto"/>
              </w:rPr>
            </w:pPr>
            <w:r>
              <w:rPr>
                <w:rFonts w:ascii="Times New Roman" w:cs="Times New Roman" w:eastAsia="Times New Roman" w:hAnsi="Times New Roman"/>
                <w:sz w:val="12"/>
                <w:szCs w:val="12"/>
                <w:color w:val="auto"/>
                <w:w w:val="99"/>
              </w:rPr>
              <w:t>Common Stock, par value $0.001</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color w:val="auto"/>
                <w:w w:val="99"/>
              </w:rPr>
              <w:t>NASDAQ</w:t>
            </w:r>
          </w:p>
        </w:tc>
      </w:tr>
    </w:tbl>
    <w:p>
      <w:pPr>
        <w:spacing w:after="0" w:line="187"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w:t>
      </w:r>
    </w:p>
    <w:p>
      <w:pPr>
        <w:spacing w:after="0" w:line="122" w:lineRule="exact"/>
        <w:rPr>
          <w:sz w:val="24"/>
          <w:szCs w:val="24"/>
          <w:color w:val="auto"/>
        </w:rPr>
      </w:pPr>
    </w:p>
    <w:p>
      <w:pPr>
        <w:spacing w:after="0" w:line="138" w:lineRule="exact"/>
        <w:tabs>
          <w:tab w:leader="none" w:pos="8660" w:val="left"/>
          <w:tab w:leader="none" w:pos="9160" w:val="left"/>
        </w:tabs>
        <w:rPr>
          <w:sz w:val="20"/>
          <w:szCs w:val="20"/>
          <w:color w:val="auto"/>
        </w:rPr>
      </w:pPr>
      <w:r>
        <w:rPr>
          <w:rFonts w:ascii="Times New Roman" w:cs="Times New Roman" w:eastAsia="Times New Roman" w:hAnsi="Times New Roman"/>
          <w:sz w:val="12"/>
          <w:szCs w:val="12"/>
          <w:color w:val="auto"/>
        </w:rPr>
        <w:t>pursuant to Rule 405 of Regulation S-T (§232.405 of this chapter) during the preceding 12 months (or for such shorter period that the registrant was required to submit such files).</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66" w:lineRule="exact"/>
        <w:rPr>
          <w:sz w:val="24"/>
          <w:szCs w:val="24"/>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87" w:lineRule="exact"/>
        <w:rPr>
          <w:sz w:val="24"/>
          <w:szCs w:val="24"/>
          <w:color w:val="auto"/>
        </w:rPr>
      </w:pPr>
    </w:p>
    <w:p>
      <w:pPr>
        <w:ind w:right="8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122" w:lineRule="exact"/>
        <w:rPr>
          <w:sz w:val="24"/>
          <w:szCs w:val="24"/>
          <w:color w:val="auto"/>
        </w:rPr>
      </w:pPr>
    </w:p>
    <w:p>
      <w:pPr>
        <w:ind w:left="20"/>
        <w:spacing w:after="0" w:line="138" w:lineRule="exact"/>
        <w:tabs>
          <w:tab w:leader="none" w:pos="4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As of May 1, 2025, the number of the registrant's Common Stock outstanding was 79,753,476.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409575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color w:val="auto"/>
              </w:rPr>
              <w:t>Page</w:t>
            </w:r>
          </w:p>
        </w:tc>
      </w:tr>
      <w:tr>
        <w:trPr>
          <w:trHeight w:val="124"/>
        </w:trPr>
        <w:tc>
          <w:tcPr>
            <w:tcW w:w="1086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Commonly Used or Defined Terms</w:t>
            </w:r>
          </w:p>
        </w:tc>
        <w:tc>
          <w:tcPr>
            <w:tcW w:w="60" w:type="dxa"/>
            <w:vAlign w:val="bottom"/>
          </w:tcPr>
          <w:p>
            <w:pPr>
              <w:spacing w:after="0"/>
              <w:rPr>
                <w:sz w:val="10"/>
                <w:szCs w:val="10"/>
                <w:color w:val="auto"/>
              </w:rPr>
            </w:pPr>
          </w:p>
        </w:tc>
        <w:tc>
          <w:tcPr>
            <w:tcW w:w="16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u w:val="single" w:color="auto"/>
                <w:color w:val="0000FF"/>
                <w:w w:val="97"/>
              </w:rPr>
              <w:t>ii</w:t>
            </w: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740" w:type="dxa"/>
            <w:vAlign w:val="bottom"/>
            <w:tcBorders>
              <w:bottom w:val="single" w:sz="8" w:color="0000FF"/>
            </w:tcBorders>
            <w:gridSpan w:val="15"/>
          </w:tcPr>
          <w:p>
            <w:pPr>
              <w:spacing w:after="0" w:line="124" w:lineRule="exact"/>
              <w:rPr>
                <w:sz w:val="20"/>
                <w:szCs w:val="20"/>
                <w:color w:val="auto"/>
              </w:rPr>
            </w:pPr>
            <w:r>
              <w:rPr>
                <w:rFonts w:ascii="Times New Roman" w:cs="Times New Roman" w:eastAsia="Times New Roman" w:hAnsi="Times New Roman"/>
                <w:sz w:val="11"/>
                <w:szCs w:val="11"/>
                <w:color w:val="0000FF"/>
                <w:w w:val="96"/>
              </w:rPr>
              <w:t>PART I. FINANCIAL INFORMATION</w:t>
            </w:r>
          </w:p>
        </w:tc>
        <w:tc>
          <w:tcPr>
            <w:tcW w:w="9120" w:type="dxa"/>
            <w:vAlign w:val="bottom"/>
            <w:gridSpan w:val="1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180" w:type="dxa"/>
            <w:vAlign w:val="bottom"/>
            <w:tcBorders>
              <w:bottom w:val="single" w:sz="8" w:color="0000FF"/>
            </w:tcBorders>
            <w:gridSpan w:val="11"/>
          </w:tcPr>
          <w:p>
            <w:pPr>
              <w:spacing w:after="0" w:line="124" w:lineRule="exact"/>
              <w:rPr>
                <w:sz w:val="20"/>
                <w:szCs w:val="20"/>
                <w:color w:val="auto"/>
              </w:rPr>
            </w:pPr>
            <w:r>
              <w:rPr>
                <w:rFonts w:ascii="Times New Roman" w:cs="Times New Roman" w:eastAsia="Times New Roman" w:hAnsi="Times New Roman"/>
                <w:sz w:val="11"/>
                <w:szCs w:val="11"/>
                <w:color w:val="0000FF"/>
                <w:w w:val="92"/>
              </w:rPr>
              <w:t>Item 1. Financial Statements</w:t>
            </w:r>
          </w:p>
        </w:tc>
        <w:tc>
          <w:tcPr>
            <w:tcW w:w="9540" w:type="dxa"/>
            <w:vAlign w:val="bottom"/>
            <w:gridSpan w:val="17"/>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680" w:type="dxa"/>
            <w:vAlign w:val="bottom"/>
            <w:tcBorders>
              <w:bottom w:val="single" w:sz="8" w:color="0000FF"/>
            </w:tcBorders>
            <w:gridSpan w:val="16"/>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Balance Sheets</w:t>
            </w:r>
          </w:p>
        </w:tc>
        <w:tc>
          <w:tcPr>
            <w:tcW w:w="9040" w:type="dxa"/>
            <w:vAlign w:val="bottom"/>
            <w:gridSpan w:val="12"/>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8"/>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Operations and Comprehensive Income (Loss)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2</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8"/>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Changes in Stockholders' Deficit and Non-Controlling Interest</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3</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19"/>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Statements of Cash Flows</w:t>
            </w:r>
          </w:p>
        </w:tc>
        <w:tc>
          <w:tcPr>
            <w:tcW w:w="2180" w:type="dxa"/>
            <w:vAlign w:val="bottom"/>
            <w:tcBorders>
              <w:top w:val="single" w:sz="8" w:color="0000FF"/>
            </w:tcBorders>
            <w:gridSpan w:val="8"/>
          </w:tcPr>
          <w:p>
            <w:pPr>
              <w:spacing w:after="0"/>
              <w:rPr>
                <w:sz w:val="10"/>
                <w:szCs w:val="10"/>
                <w:color w:val="auto"/>
              </w:rPr>
            </w:pPr>
          </w:p>
        </w:tc>
        <w:tc>
          <w:tcPr>
            <w:tcW w:w="6400" w:type="dxa"/>
            <w:vAlign w:val="bottom"/>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4</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8"/>
          </w:tcPr>
          <w:p>
            <w:pPr>
              <w:spacing w:after="0" w:line="124" w:lineRule="exact"/>
              <w:rPr>
                <w:sz w:val="20"/>
                <w:szCs w:val="20"/>
                <w:color w:val="auto"/>
              </w:rPr>
            </w:pPr>
            <w:r>
              <w:rPr>
                <w:rFonts w:ascii="Times New Roman" w:cs="Times New Roman" w:eastAsia="Times New Roman" w:hAnsi="Times New Roman"/>
                <w:sz w:val="11"/>
                <w:szCs w:val="11"/>
                <w:color w:val="0000FF"/>
              </w:rPr>
              <w:t>Notes to Unaudited Consolidated Financial Statements</w:t>
            </w:r>
            <w:r>
              <w:rPr>
                <w:rFonts w:ascii="Times New Roman" w:cs="Times New Roman" w:eastAsia="Times New Roman" w:hAnsi="Times New Roman"/>
                <w:sz w:val="11"/>
                <w:szCs w:val="11"/>
                <w:color w:val="000000"/>
              </w:rPr>
              <w:t>:</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Borders>
              <w:bottom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1.</w:t>
            </w:r>
          </w:p>
        </w:tc>
        <w:tc>
          <w:tcPr>
            <w:tcW w:w="2520" w:type="dxa"/>
            <w:vAlign w:val="bottom"/>
            <w:tcBorders>
              <w:bottom w:val="single" w:sz="8" w:color="0000FF"/>
            </w:tcBorders>
            <w:gridSpan w:val="20"/>
          </w:tcPr>
          <w:p>
            <w:pPr>
              <w:ind w:left="20"/>
              <w:spacing w:after="0" w:line="124" w:lineRule="exact"/>
              <w:rPr>
                <w:sz w:val="20"/>
                <w:szCs w:val="20"/>
                <w:color w:val="auto"/>
              </w:rPr>
            </w:pPr>
            <w:r>
              <w:rPr>
                <w:rFonts w:ascii="Times New Roman" w:cs="Times New Roman" w:eastAsia="Times New Roman" w:hAnsi="Times New Roman"/>
                <w:sz w:val="11"/>
                <w:szCs w:val="11"/>
                <w:color w:val="0000FF"/>
                <w:w w:val="97"/>
              </w:rPr>
              <w:t>Basis of Presentation and Significant Accounting Policies</w:t>
            </w:r>
          </w:p>
        </w:tc>
        <w:tc>
          <w:tcPr>
            <w:tcW w:w="8100" w:type="dxa"/>
            <w:vAlign w:val="bottom"/>
            <w:gridSpan w:val="7"/>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6</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2.</w:t>
            </w:r>
          </w:p>
        </w:tc>
        <w:tc>
          <w:tcPr>
            <w:tcW w:w="10620" w:type="dxa"/>
            <w:vAlign w:val="bottom"/>
            <w:gridSpan w:val="27"/>
          </w:tcPr>
          <w:p>
            <w:pPr>
              <w:ind w:left="20"/>
              <w:spacing w:after="0" w:line="124" w:lineRule="exact"/>
              <w:rPr>
                <w:sz w:val="20"/>
                <w:szCs w:val="20"/>
                <w:color w:val="auto"/>
              </w:rPr>
            </w:pPr>
            <w:r>
              <w:rPr>
                <w:rFonts w:ascii="Times New Roman" w:cs="Times New Roman" w:eastAsia="Times New Roman" w:hAnsi="Times New Roman"/>
                <w:sz w:val="11"/>
                <w:szCs w:val="11"/>
                <w:color w:val="0000FF"/>
              </w:rPr>
              <w:t>Acquisitions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7</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Borders>
              <w:top w:val="single" w:sz="8" w:color="0000FF"/>
              <w:bottom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3.</w:t>
            </w:r>
          </w:p>
        </w:tc>
        <w:tc>
          <w:tcPr>
            <w:tcW w:w="440" w:type="dxa"/>
            <w:vAlign w:val="bottom"/>
            <w:tcBorders>
              <w:top w:val="single" w:sz="8" w:color="0000FF"/>
              <w:bottom w:val="single" w:sz="8" w:color="0000FF"/>
            </w:tcBorders>
            <w:gridSpan w:val="2"/>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Revenues</w:t>
            </w:r>
          </w:p>
        </w:tc>
        <w:tc>
          <w:tcPr>
            <w:tcW w:w="120" w:type="dxa"/>
            <w:vAlign w:val="bottom"/>
            <w:tcBorders>
              <w:top w:val="single" w:sz="8" w:color="0000FF"/>
            </w:tcBorders>
            <w:gridSpan w:val="2"/>
          </w:tcPr>
          <w:p>
            <w:pPr>
              <w:spacing w:after="0"/>
              <w:rPr>
                <w:sz w:val="10"/>
                <w:szCs w:val="10"/>
                <w:color w:val="auto"/>
              </w:rPr>
            </w:pPr>
          </w:p>
        </w:tc>
        <w:tc>
          <w:tcPr>
            <w:tcW w:w="10060" w:type="dxa"/>
            <w:vAlign w:val="bottom"/>
            <w:gridSpan w:val="2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8</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Borders>
              <w:bottom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4.</w:t>
            </w:r>
          </w:p>
        </w:tc>
        <w:tc>
          <w:tcPr>
            <w:tcW w:w="2840" w:type="dxa"/>
            <w:vAlign w:val="bottom"/>
            <w:tcBorders>
              <w:bottom w:val="single" w:sz="8" w:color="0000FF"/>
            </w:tcBorders>
            <w:gridSpan w:val="23"/>
          </w:tcPr>
          <w:p>
            <w:pPr>
              <w:ind w:left="20"/>
              <w:spacing w:after="0" w:line="124" w:lineRule="exact"/>
              <w:rPr>
                <w:sz w:val="20"/>
                <w:szCs w:val="20"/>
                <w:color w:val="auto"/>
              </w:rPr>
            </w:pPr>
            <w:r>
              <w:rPr>
                <w:rFonts w:ascii="Times New Roman" w:cs="Times New Roman" w:eastAsia="Times New Roman" w:hAnsi="Times New Roman"/>
                <w:sz w:val="11"/>
                <w:szCs w:val="11"/>
                <w:color w:val="0000FF"/>
                <w:w w:val="97"/>
              </w:rPr>
              <w:t>Settlement Assets and Customer/Subscriber Account Obligations</w:t>
            </w:r>
          </w:p>
        </w:tc>
        <w:tc>
          <w:tcPr>
            <w:tcW w:w="7780" w:type="dxa"/>
            <w:vAlign w:val="bottom"/>
            <w:gridSpan w:val="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9</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5.</w:t>
            </w:r>
          </w:p>
        </w:tc>
        <w:tc>
          <w:tcPr>
            <w:tcW w:w="780" w:type="dxa"/>
            <w:vAlign w:val="bottom"/>
            <w:gridSpan w:val="7"/>
          </w:tcPr>
          <w:p>
            <w:pPr>
              <w:ind w:left="20"/>
              <w:spacing w:after="0" w:line="124" w:lineRule="exact"/>
              <w:rPr>
                <w:sz w:val="20"/>
                <w:szCs w:val="20"/>
                <w:color w:val="auto"/>
              </w:rPr>
            </w:pPr>
            <w:r>
              <w:rPr>
                <w:rFonts w:ascii="Times New Roman" w:cs="Times New Roman" w:eastAsia="Times New Roman" w:hAnsi="Times New Roman"/>
                <w:sz w:val="11"/>
                <w:szCs w:val="11"/>
                <w:color w:val="0000FF"/>
                <w:w w:val="95"/>
              </w:rPr>
              <w:t>Notes Receivable</w:t>
            </w:r>
          </w:p>
        </w:tc>
        <w:tc>
          <w:tcPr>
            <w:tcW w:w="9840" w:type="dxa"/>
            <w:vAlign w:val="bottom"/>
            <w:gridSpan w:val="20"/>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11</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6.</w:t>
            </w:r>
          </w:p>
        </w:tc>
        <w:tc>
          <w:tcPr>
            <w:tcW w:w="10620" w:type="dxa"/>
            <w:vAlign w:val="bottom"/>
            <w:gridSpan w:val="27"/>
          </w:tcPr>
          <w:p>
            <w:pPr>
              <w:ind w:left="20"/>
              <w:spacing w:after="0" w:line="124" w:lineRule="exact"/>
              <w:rPr>
                <w:sz w:val="20"/>
                <w:szCs w:val="20"/>
                <w:color w:val="auto"/>
              </w:rPr>
            </w:pPr>
            <w:r>
              <w:rPr>
                <w:rFonts w:ascii="Times New Roman" w:cs="Times New Roman" w:eastAsia="Times New Roman" w:hAnsi="Times New Roman"/>
                <w:sz w:val="11"/>
                <w:szCs w:val="11"/>
                <w:color w:val="0000FF"/>
              </w:rPr>
              <w:t>Property, Equipment and Software</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7.</w:t>
            </w:r>
          </w:p>
        </w:tc>
        <w:tc>
          <w:tcPr>
            <w:tcW w:w="1660" w:type="dxa"/>
            <w:vAlign w:val="bottom"/>
            <w:gridSpan w:val="17"/>
          </w:tcPr>
          <w:p>
            <w:pPr>
              <w:ind w:left="20"/>
              <w:spacing w:after="0" w:line="124" w:lineRule="exact"/>
              <w:rPr>
                <w:sz w:val="20"/>
                <w:szCs w:val="20"/>
                <w:color w:val="auto"/>
              </w:rPr>
            </w:pPr>
            <w:r>
              <w:rPr>
                <w:rFonts w:ascii="Times New Roman" w:cs="Times New Roman" w:eastAsia="Times New Roman" w:hAnsi="Times New Roman"/>
                <w:sz w:val="11"/>
                <w:szCs w:val="11"/>
                <w:color w:val="0000FF"/>
                <w:w w:val="97"/>
              </w:rPr>
              <w:t>Goodwill and Other Intangible Assets</w:t>
            </w:r>
          </w:p>
        </w:tc>
        <w:tc>
          <w:tcPr>
            <w:tcW w:w="8960" w:type="dxa"/>
            <w:vAlign w:val="bottom"/>
            <w:gridSpan w:val="10"/>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8.</w:t>
            </w:r>
          </w:p>
        </w:tc>
        <w:tc>
          <w:tcPr>
            <w:tcW w:w="800" w:type="dxa"/>
            <w:vAlign w:val="bottom"/>
            <w:gridSpan w:val="8"/>
          </w:tcPr>
          <w:p>
            <w:pPr>
              <w:ind w:left="20"/>
              <w:spacing w:after="0" w:line="124" w:lineRule="exact"/>
              <w:rPr>
                <w:sz w:val="20"/>
                <w:szCs w:val="20"/>
                <w:color w:val="auto"/>
              </w:rPr>
            </w:pPr>
            <w:r>
              <w:rPr>
                <w:rFonts w:ascii="Times New Roman" w:cs="Times New Roman" w:eastAsia="Times New Roman" w:hAnsi="Times New Roman"/>
                <w:sz w:val="11"/>
                <w:szCs w:val="11"/>
                <w:color w:val="0000FF"/>
              </w:rPr>
              <w:t>Debt Obligations</w:t>
            </w:r>
          </w:p>
        </w:tc>
        <w:tc>
          <w:tcPr>
            <w:tcW w:w="860" w:type="dxa"/>
            <w:vAlign w:val="bottom"/>
            <w:gridSpan w:val="9"/>
          </w:tcPr>
          <w:p>
            <w:pPr>
              <w:spacing w:after="0"/>
              <w:rPr>
                <w:sz w:val="10"/>
                <w:szCs w:val="10"/>
                <w:color w:val="auto"/>
              </w:rPr>
            </w:pPr>
          </w:p>
        </w:tc>
        <w:tc>
          <w:tcPr>
            <w:tcW w:w="8960" w:type="dxa"/>
            <w:vAlign w:val="bottom"/>
            <w:gridSpan w:val="10"/>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14</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9.</w:t>
            </w:r>
          </w:p>
        </w:tc>
        <w:tc>
          <w:tcPr>
            <w:tcW w:w="620" w:type="dxa"/>
            <w:vAlign w:val="bottom"/>
            <w:gridSpan w:val="5"/>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Income Taxes</w:t>
            </w:r>
          </w:p>
        </w:tc>
        <w:tc>
          <w:tcPr>
            <w:tcW w:w="180" w:type="dxa"/>
            <w:vAlign w:val="bottom"/>
            <w:gridSpan w:val="3"/>
          </w:tcPr>
          <w:p>
            <w:pPr>
              <w:spacing w:after="0"/>
              <w:rPr>
                <w:sz w:val="10"/>
                <w:szCs w:val="10"/>
                <w:color w:val="auto"/>
              </w:rPr>
            </w:pPr>
          </w:p>
        </w:tc>
        <w:tc>
          <w:tcPr>
            <w:tcW w:w="9820" w:type="dxa"/>
            <w:vAlign w:val="bottom"/>
            <w:gridSpan w:val="19"/>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15</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8"/>
          </w:tcPr>
          <w:p>
            <w:pPr>
              <w:spacing w:after="0" w:line="124" w:lineRule="exact"/>
              <w:rPr>
                <w:sz w:val="20"/>
                <w:szCs w:val="20"/>
                <w:color w:val="auto"/>
              </w:rPr>
            </w:pPr>
            <w:r>
              <w:rPr>
                <w:rFonts w:ascii="Times New Roman" w:cs="Times New Roman" w:eastAsia="Times New Roman" w:hAnsi="Times New Roman"/>
                <w:sz w:val="11"/>
                <w:szCs w:val="11"/>
                <w:color w:val="0000FF"/>
              </w:rPr>
              <w:t>10. Stockholders' Deficit</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15</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5"/>
              </w:rPr>
              <w:t>11. Stock-based Compensation</w:t>
            </w:r>
          </w:p>
        </w:tc>
        <w:tc>
          <w:tcPr>
            <w:tcW w:w="9380" w:type="dxa"/>
            <w:vAlign w:val="bottom"/>
            <w:gridSpan w:val="1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16</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6"/>
              </w:rPr>
              <w:t>12. Related Party Transactions</w:t>
            </w:r>
          </w:p>
        </w:tc>
        <w:tc>
          <w:tcPr>
            <w:tcW w:w="9380" w:type="dxa"/>
            <w:vAlign w:val="bottom"/>
            <w:gridSpan w:val="1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17</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660" w:type="dxa"/>
            <w:vAlign w:val="bottom"/>
            <w:gridSpan w:val="15"/>
          </w:tcPr>
          <w:p>
            <w:pPr>
              <w:spacing w:after="0" w:line="124" w:lineRule="exact"/>
              <w:rPr>
                <w:sz w:val="20"/>
                <w:szCs w:val="20"/>
                <w:color w:val="auto"/>
              </w:rPr>
            </w:pPr>
            <w:r>
              <w:rPr>
                <w:rFonts w:ascii="Times New Roman" w:cs="Times New Roman" w:eastAsia="Times New Roman" w:hAnsi="Times New Roman"/>
                <w:sz w:val="11"/>
                <w:szCs w:val="11"/>
                <w:color w:val="0000FF"/>
              </w:rPr>
              <w:t>13. Commitments and Contingencies</w:t>
            </w:r>
          </w:p>
        </w:tc>
        <w:tc>
          <w:tcPr>
            <w:tcW w:w="906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17</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620" w:type="dxa"/>
            <w:vAlign w:val="bottom"/>
            <w:gridSpan w:val="4"/>
          </w:tcPr>
          <w:p>
            <w:pPr>
              <w:spacing w:after="0" w:line="124" w:lineRule="exact"/>
              <w:rPr>
                <w:sz w:val="20"/>
                <w:szCs w:val="20"/>
                <w:color w:val="auto"/>
              </w:rPr>
            </w:pPr>
            <w:r>
              <w:rPr>
                <w:rFonts w:ascii="Times New Roman" w:cs="Times New Roman" w:eastAsia="Times New Roman" w:hAnsi="Times New Roman"/>
                <w:sz w:val="11"/>
                <w:szCs w:val="11"/>
                <w:color w:val="0000FF"/>
                <w:w w:val="94"/>
              </w:rPr>
              <w:t>14. Fair Value</w:t>
            </w:r>
          </w:p>
        </w:tc>
        <w:tc>
          <w:tcPr>
            <w:tcW w:w="1040" w:type="dxa"/>
            <w:vAlign w:val="bottom"/>
            <w:gridSpan w:val="11"/>
          </w:tcPr>
          <w:p>
            <w:pPr>
              <w:spacing w:after="0"/>
              <w:rPr>
                <w:sz w:val="10"/>
                <w:szCs w:val="10"/>
                <w:color w:val="auto"/>
              </w:rPr>
            </w:pPr>
          </w:p>
        </w:tc>
        <w:tc>
          <w:tcPr>
            <w:tcW w:w="906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19</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92"/>
              </w:rPr>
              <w:t>15. Segment Information</w:t>
            </w:r>
          </w:p>
        </w:tc>
        <w:tc>
          <w:tcPr>
            <w:tcW w:w="9660" w:type="dxa"/>
            <w:vAlign w:val="bottom"/>
            <w:gridSpan w:val="18"/>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20</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8"/>
          </w:tcPr>
          <w:p>
            <w:pPr>
              <w:spacing w:after="0" w:line="124" w:lineRule="exact"/>
              <w:rPr>
                <w:sz w:val="20"/>
                <w:szCs w:val="20"/>
                <w:color w:val="auto"/>
              </w:rPr>
            </w:pPr>
            <w:r>
              <w:rPr>
                <w:rFonts w:ascii="Times New Roman" w:cs="Times New Roman" w:eastAsia="Times New Roman" w:hAnsi="Times New Roman"/>
                <w:sz w:val="11"/>
                <w:szCs w:val="11"/>
                <w:color w:val="0000FF"/>
              </w:rPr>
              <w:t>16. Earnings (Loss) per Common Share</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14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w w:val="96"/>
              </w:rPr>
              <w:t>Item 2. Management's Discussion and Analysis of Financial Condition and Results of Operations</w:t>
            </w:r>
          </w:p>
        </w:tc>
        <w:tc>
          <w:tcPr>
            <w:tcW w:w="6580" w:type="dxa"/>
            <w:vAlign w:val="bottom"/>
            <w:gridSpan w:val="2"/>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23</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3"/>
          </w:tcPr>
          <w:p>
            <w:pPr>
              <w:spacing w:after="0" w:line="124" w:lineRule="exact"/>
              <w:rPr>
                <w:sz w:val="20"/>
                <w:szCs w:val="20"/>
                <w:color w:val="auto"/>
              </w:rPr>
            </w:pPr>
            <w:r>
              <w:rPr>
                <w:rFonts w:ascii="Times New Roman" w:cs="Times New Roman" w:eastAsia="Times New Roman" w:hAnsi="Times New Roman"/>
                <w:sz w:val="11"/>
                <w:szCs w:val="11"/>
                <w:color w:val="0000FF"/>
                <w:w w:val="96"/>
              </w:rPr>
              <w:t>Item 3. Qualitative and Quantitative Disclosures about Market Risk</w:t>
            </w:r>
          </w:p>
        </w:tc>
        <w:tc>
          <w:tcPr>
            <w:tcW w:w="1260" w:type="dxa"/>
            <w:vAlign w:val="bottom"/>
            <w:gridSpan w:val="3"/>
          </w:tcPr>
          <w:p>
            <w:pPr>
              <w:spacing w:after="0"/>
              <w:rPr>
                <w:sz w:val="10"/>
                <w:szCs w:val="10"/>
                <w:color w:val="auto"/>
              </w:rPr>
            </w:pPr>
          </w:p>
        </w:tc>
        <w:tc>
          <w:tcPr>
            <w:tcW w:w="6580" w:type="dxa"/>
            <w:vAlign w:val="bottom"/>
            <w:gridSpan w:val="2"/>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32</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1"/>
              </w:rPr>
              <w:t>Item 4. Controls and Procedures</w:t>
            </w:r>
          </w:p>
        </w:tc>
        <w:tc>
          <w:tcPr>
            <w:tcW w:w="1540" w:type="dxa"/>
            <w:vAlign w:val="bottom"/>
            <w:gridSpan w:val="10"/>
          </w:tcPr>
          <w:p>
            <w:pPr>
              <w:spacing w:after="0"/>
              <w:rPr>
                <w:sz w:val="10"/>
                <w:szCs w:val="10"/>
                <w:color w:val="auto"/>
              </w:rPr>
            </w:pPr>
          </w:p>
        </w:tc>
        <w:tc>
          <w:tcPr>
            <w:tcW w:w="7840" w:type="dxa"/>
            <w:vAlign w:val="bottom"/>
            <w:gridSpan w:val="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33</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086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PART II. OTHER INFORMATION</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34</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rPr>
              <w:t>Item 1. Legal Proceedings</w:t>
            </w:r>
          </w:p>
        </w:tc>
        <w:tc>
          <w:tcPr>
            <w:tcW w:w="9380" w:type="dxa"/>
            <w:vAlign w:val="bottom"/>
            <w:gridSpan w:val="1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34</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900" w:type="dxa"/>
            <w:vAlign w:val="bottom"/>
            <w:gridSpan w:val="9"/>
          </w:tcPr>
          <w:p>
            <w:pPr>
              <w:spacing w:after="0" w:line="124" w:lineRule="exact"/>
              <w:rPr>
                <w:sz w:val="20"/>
                <w:szCs w:val="20"/>
                <w:color w:val="auto"/>
              </w:rPr>
            </w:pPr>
            <w:r>
              <w:rPr>
                <w:rFonts w:ascii="Times New Roman" w:cs="Times New Roman" w:eastAsia="Times New Roman" w:hAnsi="Times New Roman"/>
                <w:sz w:val="11"/>
                <w:szCs w:val="11"/>
                <w:color w:val="0000FF"/>
                <w:w w:val="90"/>
              </w:rPr>
              <w:t>Item 1A. Risk Factors</w:t>
            </w:r>
          </w:p>
        </w:tc>
        <w:tc>
          <w:tcPr>
            <w:tcW w:w="160" w:type="dxa"/>
            <w:vAlign w:val="bottom"/>
          </w:tcPr>
          <w:p>
            <w:pPr>
              <w:spacing w:after="0"/>
              <w:rPr>
                <w:sz w:val="10"/>
                <w:szCs w:val="10"/>
                <w:color w:val="auto"/>
              </w:rPr>
            </w:pPr>
          </w:p>
        </w:tc>
        <w:tc>
          <w:tcPr>
            <w:tcW w:w="9660" w:type="dxa"/>
            <w:vAlign w:val="bottom"/>
            <w:gridSpan w:val="18"/>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34</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8"/>
          </w:tcPr>
          <w:p>
            <w:pPr>
              <w:spacing w:after="0" w:line="124" w:lineRule="exact"/>
              <w:rPr>
                <w:sz w:val="20"/>
                <w:szCs w:val="20"/>
                <w:color w:val="auto"/>
              </w:rPr>
            </w:pPr>
            <w:r>
              <w:rPr>
                <w:rFonts w:ascii="Times New Roman" w:cs="Times New Roman" w:eastAsia="Times New Roman" w:hAnsi="Times New Roman"/>
                <w:sz w:val="11"/>
                <w:szCs w:val="11"/>
                <w:color w:val="0000FF"/>
              </w:rPr>
              <w:t>Item 2. Unregistered Sales of Equity Securities and Use of Proceeds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34</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9060" w:type="dxa"/>
            <w:vAlign w:val="bottom"/>
            <w:gridSpan w:val="1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8"/>
          </w:tcPr>
          <w:p>
            <w:pPr>
              <w:spacing w:after="0" w:line="124" w:lineRule="exact"/>
              <w:rPr>
                <w:sz w:val="20"/>
                <w:szCs w:val="20"/>
                <w:color w:val="auto"/>
              </w:rPr>
            </w:pPr>
            <w:r>
              <w:rPr>
                <w:rFonts w:ascii="Times New Roman" w:cs="Times New Roman" w:eastAsia="Times New Roman" w:hAnsi="Times New Roman"/>
                <w:sz w:val="11"/>
                <w:szCs w:val="11"/>
                <w:color w:val="0000FF"/>
              </w:rPr>
              <w:t>Item 3. Defaults Upon Senior Securities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34</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906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1"/>
              </w:rPr>
              <w:t>Item 4. Mine Safety Disclosures</w:t>
            </w:r>
          </w:p>
        </w:tc>
        <w:tc>
          <w:tcPr>
            <w:tcW w:w="320" w:type="dxa"/>
            <w:vAlign w:val="bottom"/>
            <w:gridSpan w:val="2"/>
          </w:tcPr>
          <w:p>
            <w:pPr>
              <w:spacing w:after="0"/>
              <w:rPr>
                <w:sz w:val="10"/>
                <w:szCs w:val="10"/>
                <w:color w:val="auto"/>
              </w:rPr>
            </w:pPr>
          </w:p>
        </w:tc>
        <w:tc>
          <w:tcPr>
            <w:tcW w:w="906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34</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938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89"/>
              </w:rPr>
              <w:t>Item 5. Other Information</w:t>
            </w:r>
          </w:p>
        </w:tc>
        <w:tc>
          <w:tcPr>
            <w:tcW w:w="280" w:type="dxa"/>
            <w:vAlign w:val="bottom"/>
            <w:gridSpan w:val="3"/>
          </w:tcPr>
          <w:p>
            <w:pPr>
              <w:spacing w:after="0"/>
              <w:rPr>
                <w:sz w:val="10"/>
                <w:szCs w:val="10"/>
                <w:color w:val="auto"/>
              </w:rPr>
            </w:pPr>
          </w:p>
        </w:tc>
        <w:tc>
          <w:tcPr>
            <w:tcW w:w="9380" w:type="dxa"/>
            <w:vAlign w:val="bottom"/>
            <w:gridSpan w:val="1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35</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9660" w:type="dxa"/>
            <w:vAlign w:val="bottom"/>
            <w:gridSpan w:val="1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rPr>
              <w:t>Item 6. Exhibits</w:t>
            </w:r>
          </w:p>
        </w:tc>
        <w:tc>
          <w:tcPr>
            <w:tcW w:w="9660" w:type="dxa"/>
            <w:vAlign w:val="bottom"/>
            <w:gridSpan w:val="18"/>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35</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100" w:type="dxa"/>
            <w:vAlign w:val="bottom"/>
            <w:gridSpan w:val="2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6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0000FF"/>
                <w:w w:val="94"/>
              </w:rPr>
              <w:t>Signatures</w:t>
            </w:r>
          </w:p>
        </w:tc>
        <w:tc>
          <w:tcPr>
            <w:tcW w:w="10400" w:type="dxa"/>
            <w:vAlign w:val="bottom"/>
            <w:gridSpan w:val="26"/>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1025"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Term</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Definition</w:t>
            </w:r>
          </w:p>
        </w:tc>
      </w:tr>
      <w:tr>
        <w:trPr>
          <w:trHeight w:val="142"/>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2018 Plan</w:t>
            </w:r>
          </w:p>
        </w:tc>
        <w:tc>
          <w:tcPr>
            <w:tcW w:w="60" w:type="dxa"/>
            <w:vAlign w:val="bottom"/>
            <w:tcBorders>
              <w:top w:val="single" w:sz="8" w:color="CCEEFF"/>
            </w:tcBorders>
            <w:shd w:val="clear" w:color="auto" w:fill="CCEEFF"/>
          </w:tcPr>
          <w:p>
            <w:pPr>
              <w:spacing w:after="0"/>
              <w:rPr>
                <w:sz w:val="12"/>
                <w:szCs w:val="12"/>
                <w:color w:val="auto"/>
              </w:rPr>
            </w:pPr>
          </w:p>
        </w:tc>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2018 Equity Incentive Plan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2021 Stock Purchase Plan</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Employee Stock Purchase Plan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 Share Repurchase Program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Share Repurchase Program</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AOCI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Accumulated other comprehensive income/loss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payable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Accounting Standards Codification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Additional paid-in capital</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ASU</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Accounting Standards Update</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B2B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Business-to-business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B2C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Business-to-consumer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CEO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CFO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Company's Common Stock, par value $0.001</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CODM</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operating decision maker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 Credit Agreement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Credit and Guaranty Agreement with Truist Bank dated as of May 16, 2024</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EAETR</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212529"/>
              </w:rPr>
              <w:t>Estimated annual effective tax rate</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ESPP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Act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Securities Exchange Act of 1934</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FASB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Financial Accounting Standards Board</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FDIC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Federal Deposit Insurance Corporation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FBO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 the benefit of</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Financial institution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Finxera</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Finxera Holdings, Inc.</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GAAP</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U.S. Generally Accepted Accounting Principles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Independent sales organization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ISV</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software vendor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LIBOR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London Interbank Offered Rate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MTL</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Money Transmission Licenses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NCI</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PHOT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Priority Hospitality Technology, LLC</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Plastiq</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assets of Plastiq, Inc. and certain of its affiliates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2024 Revolving credit facility</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$70.0 million line issued under the 2024 Credit Agreement</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Securities and Exchange Commission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SOX</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Sarbanes–Oxley Act of 2002</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SMB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Small to medium-sized businesses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Term facility</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Term loan facility issued under the 2024 Credit Agreement</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Wholesale Payments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Wholesale Payments,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20" w:type="dxa"/>
            <w:vAlign w:val="bottom"/>
          </w:tcPr>
          <w:p>
            <w:pPr>
              <w:spacing w:after="0"/>
              <w:rPr>
                <w:sz w:val="11"/>
                <w:szCs w:val="11"/>
                <w:color w:val="auto"/>
              </w:rPr>
            </w:pPr>
          </w:p>
        </w:tc>
        <w:tc>
          <w:tcPr>
            <w:tcW w:w="7280" w:type="dxa"/>
            <w:vAlign w:val="bottom"/>
            <w:tcBorders>
              <w:top w:val="single" w:sz="8" w:color="CCEEFF"/>
            </w:tcBorders>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4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1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420" w:type="dxa"/>
            <w:vAlign w:val="bottom"/>
            <w:shd w:val="clear" w:color="auto" w:fill="CCEEFF"/>
          </w:tcPr>
          <w:p>
            <w:pPr>
              <w:jc w:val="right"/>
              <w:ind w:right="12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47,587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58,600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receivable, net of allowances of $3,366 and $3,045, respectively</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80,280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67,969</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19,962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22,990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Current portion of notes receivable, net of allowance of $0 and $0, respectively</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2"/>
                <w:szCs w:val="12"/>
                <w:color w:val="auto"/>
              </w:rPr>
              <w:t>Settlement assets and customer/subscriber account balances</w:t>
            </w:r>
          </w:p>
        </w:tc>
        <w:tc>
          <w:tcPr>
            <w:tcW w:w="1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1,003,034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940,798</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14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1,164,584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1,105,085</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53,718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52,477</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386,822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231,560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240,874</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Deferred income taxes, net</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26,933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24,697</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14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21,568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22,717</w:t>
            </w:r>
          </w:p>
        </w:tc>
        <w:tc>
          <w:tcPr>
            <w:tcW w:w="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420" w:type="dxa"/>
            <w:vAlign w:val="bottom"/>
            <w:tcBorders>
              <w:bottom w:val="single" w:sz="8" w:color="auto"/>
            </w:tcBorders>
          </w:tcPr>
          <w:p>
            <w:pPr>
              <w:jc w:val="right"/>
              <w:ind w:right="12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1,891,658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72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Stockholders' Deficit and NCI</w:t>
            </w:r>
          </w:p>
        </w:tc>
        <w:tc>
          <w:tcPr>
            <w:tcW w:w="1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1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420" w:type="dxa"/>
            <w:vAlign w:val="bottom"/>
            <w:shd w:val="clear" w:color="auto" w:fill="CCEEFF"/>
          </w:tcPr>
          <w:p>
            <w:pPr>
              <w:jc w:val="right"/>
              <w:ind w:right="12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54,414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62,149</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40,478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Settlement and customer/subscriber account obligations</w:t>
            </w:r>
          </w:p>
        </w:tc>
        <w:tc>
          <w:tcPr>
            <w:tcW w:w="14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1,003,395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940,213</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14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1,102,672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1,051,671</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918,944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920,888</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26,467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19,326</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4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2,048,083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1,991,885</w:t>
            </w:r>
          </w:p>
        </w:tc>
        <w:tc>
          <w:tcPr>
            <w:tcW w:w="40" w:type="dxa"/>
            <w:vAlign w:val="bottom"/>
          </w:tcPr>
          <w:p>
            <w:pPr>
              <w:spacing w:after="0"/>
              <w:rPr>
                <w:sz w:val="12"/>
                <w:szCs w:val="12"/>
                <w:color w:val="auto"/>
              </w:rPr>
            </w:pPr>
          </w:p>
        </w:tc>
      </w:tr>
      <w:tr>
        <w:trPr>
          <w:trHeight w:val="113"/>
        </w:trPr>
        <w:tc>
          <w:tcPr>
            <w:tcW w:w="20" w:type="dxa"/>
            <w:vAlign w:val="bottom"/>
          </w:tcPr>
          <w:p>
            <w:pPr>
              <w:spacing w:after="0"/>
              <w:rPr>
                <w:sz w:val="9"/>
                <w:szCs w:val="9"/>
                <w:color w:val="auto"/>
              </w:rPr>
            </w:pPr>
          </w:p>
        </w:tc>
        <w:tc>
          <w:tcPr>
            <w:tcW w:w="728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2"/>
                <w:szCs w:val="12"/>
                <w:color w:val="auto"/>
              </w:rPr>
              <w:t>Commitments and contingencies (</w:t>
            </w:r>
            <w:r>
              <w:rPr>
                <w:rFonts w:ascii="Times New Roman" w:cs="Times New Roman" w:eastAsia="Times New Roman" w:hAnsi="Times New Roman"/>
                <w:sz w:val="12"/>
                <w:szCs w:val="12"/>
                <w:color w:val="0000FF"/>
              </w:rPr>
              <w:t>Note 13</w:t>
            </w:r>
            <w:r>
              <w:rPr>
                <w:rFonts w:ascii="Times New Roman" w:cs="Times New Roman" w:eastAsia="Times New Roman" w:hAnsi="Times New Roman"/>
                <w:sz w:val="12"/>
                <w:szCs w:val="12"/>
                <w:color w:val="auto"/>
              </w:rPr>
              <w:t>)</w:t>
            </w:r>
          </w:p>
        </w:tc>
        <w:tc>
          <w:tcPr>
            <w:tcW w:w="1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3"/>
        </w:trPr>
        <w:tc>
          <w:tcPr>
            <w:tcW w:w="20" w:type="dxa"/>
            <w:vAlign w:val="bottom"/>
          </w:tcPr>
          <w:p>
            <w:pPr>
              <w:spacing w:after="0"/>
              <w:rPr>
                <w:sz w:val="13"/>
                <w:szCs w:val="13"/>
                <w:color w:val="auto"/>
              </w:rPr>
            </w:pP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deficit:</w:t>
            </w:r>
          </w:p>
        </w:tc>
        <w:tc>
          <w:tcPr>
            <w:tcW w:w="380" w:type="dxa"/>
            <w:vAlign w:val="bottom"/>
            <w:tcBorders>
              <w:top w:val="single" w:sz="8" w:color="0000FF"/>
            </w:tcBorders>
            <w:shd w:val="clear" w:color="auto" w:fill="CCEEFF"/>
          </w:tcPr>
          <w:p>
            <w:pPr>
              <w:spacing w:after="0"/>
              <w:rPr>
                <w:sz w:val="13"/>
                <w:szCs w:val="13"/>
                <w:color w:val="auto"/>
              </w:rPr>
            </w:pPr>
          </w:p>
        </w:tc>
        <w:tc>
          <w:tcPr>
            <w:tcW w:w="5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Preferred stock, $0.001; 100,000,000 shares authorized; 0 issued or outstanding at March 31, 2025 and December 31, 2024</w:t>
            </w:r>
          </w:p>
        </w:tc>
        <w:tc>
          <w:tcPr>
            <w:tcW w:w="14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7280" w:type="dxa"/>
            <w:vAlign w:val="bottom"/>
            <w:gridSpan w:val="3"/>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Common Stock, $0.001 par value; 1,000,000,000 shares authorized; 84,219,962 and 81,866,711 shares issued at March 31, 2025 and December 31,</w:t>
            </w:r>
          </w:p>
        </w:tc>
        <w:tc>
          <w:tcPr>
            <w:tcW w:w="14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2024, respectively; and 79,711,642 and 77,479,908 shares outstanding at March 31, 2025 and December 31, 2024, respectively</w:t>
            </w:r>
          </w:p>
        </w:tc>
        <w:tc>
          <w:tcPr>
            <w:tcW w:w="14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4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Treasury stock at cost, 4,508,320 and 4,386,803 shares at March 31, 2025 and December 31, 2024, respectively</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(21,077)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(19,607)</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14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(138,866)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(147,134)</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w:t>
            </w:r>
          </w:p>
        </w:tc>
        <w:tc>
          <w:tcPr>
            <w:tcW w:w="14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(158,327)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(166,840)</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14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1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(156,425)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(165,025)</w:t>
            </w: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2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Total liabilities, stockholders' deficit and NCI</w:t>
            </w:r>
          </w:p>
        </w:tc>
        <w:tc>
          <w:tcPr>
            <w:tcW w:w="1420" w:type="dxa"/>
            <w:vAlign w:val="bottom"/>
            <w:tcBorders>
              <w:bottom w:val="single" w:sz="8" w:color="auto"/>
            </w:tcBorders>
            <w:shd w:val="clear" w:color="auto" w:fill="CCEEFF"/>
          </w:tcPr>
          <w:p>
            <w:pPr>
              <w:jc w:val="right"/>
              <w:ind w:right="12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1,891,658</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40" w:type="dxa"/>
            <w:vAlign w:val="bottom"/>
          </w:tcPr>
          <w:p>
            <w:pPr>
              <w:spacing w:after="0"/>
              <w:rPr>
                <w:sz w:val="14"/>
                <w:szCs w:val="14"/>
                <w:color w:val="auto"/>
              </w:rPr>
            </w:pPr>
          </w:p>
        </w:tc>
      </w:tr>
      <w:tr>
        <w:trPr>
          <w:trHeight w:val="671"/>
        </w:trPr>
        <w:tc>
          <w:tcPr>
            <w:tcW w:w="7300" w:type="dxa"/>
            <w:vAlign w:val="bottom"/>
            <w:gridSpan w:val="4"/>
          </w:tcPr>
          <w:p>
            <w:pPr>
              <w:jc w:val="right"/>
              <w:ind w:right="1620"/>
              <w:spacing w:after="0"/>
              <w:rPr>
                <w:sz w:val="20"/>
                <w:szCs w:val="20"/>
                <w:color w:val="auto"/>
              </w:rPr>
            </w:pPr>
            <w:r>
              <w:rPr>
                <w:rFonts w:ascii="Times New Roman" w:cs="Times New Roman" w:eastAsia="Times New Roman" w:hAnsi="Times New Roman"/>
                <w:sz w:val="12"/>
                <w:szCs w:val="12"/>
                <w:color w:val="auto"/>
              </w:rPr>
              <w:t>1</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24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Operating expenses</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Cost of revenue (excludes depreciation and amortization)</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Salary and employee benefits</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Selling, general and administrative</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Total operating expenses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Other (expense) income</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Interest expense</w:t>
      </w:r>
    </w:p>
    <w:p>
      <w:pPr>
        <w:spacing w:after="0" w:line="15" w:lineRule="exact"/>
        <w:rPr>
          <w:sz w:val="20"/>
          <w:szCs w:val="20"/>
          <w:color w:val="auto"/>
        </w:rPr>
      </w:pPr>
    </w:p>
    <w:p>
      <w:pPr>
        <w:ind w:left="80" w:right="640"/>
        <w:spacing w:after="0" w:line="281" w:lineRule="auto"/>
        <w:rPr>
          <w:sz w:val="20"/>
          <w:szCs w:val="20"/>
          <w:color w:val="auto"/>
        </w:rPr>
      </w:pPr>
      <w:r>
        <w:rPr>
          <w:rFonts w:ascii="Times New Roman" w:cs="Times New Roman" w:eastAsia="Times New Roman" w:hAnsi="Times New Roman"/>
          <w:sz w:val="12"/>
          <w:szCs w:val="12"/>
          <w:color w:val="auto"/>
        </w:rPr>
        <w:t>Debt extinguishment and modification costs Other income, net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1"/>
          <w:szCs w:val="11"/>
          <w:b w:val="1"/>
          <w:bCs w:val="1"/>
          <w:color w:val="auto"/>
        </w:rPr>
        <w:t>Unaudited Consolidated Statements of Operations and Comprehensive Income (Loss)</w:t>
      </w:r>
    </w:p>
    <w:p>
      <w:pPr>
        <w:spacing w:after="0" w:line="18"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859"/>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jc w:val="center"/>
        <w:ind w:left="-3859"/>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5" w:lineRule="exact"/>
        <w:rPr>
          <w:sz w:val="20"/>
          <w:szCs w:val="20"/>
          <w:color w:val="auto"/>
        </w:rPr>
      </w:pPr>
    </w:p>
    <w:tbl>
      <w:tblPr>
        <w:tblLayout w:type="fixed"/>
        <w:tblInd w:w="4160" w:type="dxa"/>
        <w:tblCellMar>
          <w:top w:w="0" w:type="dxa"/>
          <w:left w:w="0" w:type="dxa"/>
          <w:bottom w:w="0" w:type="dxa"/>
          <w:right w:w="0" w:type="dxa"/>
        </w:tblCellMar>
      </w:tblPr>
      <w:tr>
        <w:trPr>
          <w:trHeight w:val="151"/>
        </w:trPr>
        <w:tc>
          <w:tcPr>
            <w:tcW w:w="4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74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224,630</w:t>
            </w:r>
          </w:p>
        </w:tc>
        <w:tc>
          <w:tcPr>
            <w:tcW w:w="6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205,719</w:t>
            </w:r>
          </w:p>
        </w:tc>
      </w:tr>
      <w:tr>
        <w:trPr>
          <w:trHeight w:val="284"/>
        </w:trPr>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137,353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129,298</w:t>
            </w:r>
          </w:p>
        </w:tc>
      </w:tr>
      <w:tr>
        <w:trPr>
          <w:trHeight w:val="153"/>
        </w:trPr>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25,775</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22,150</w:t>
            </w:r>
          </w:p>
        </w:tc>
      </w:tr>
      <w:tr>
        <w:trPr>
          <w:trHeight w:val="153"/>
        </w:trPr>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13,777</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w:t>
            </w:r>
          </w:p>
        </w:tc>
      </w:tr>
      <w:tr>
        <w:trPr>
          <w:trHeight w:val="155"/>
        </w:trPr>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15,100</w:t>
            </w:r>
          </w:p>
        </w:tc>
        <w:tc>
          <w:tcPr>
            <w:tcW w:w="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10,995</w:t>
            </w:r>
          </w:p>
        </w:tc>
      </w:tr>
      <w:tr>
        <w:trPr>
          <w:trHeight w:val="142"/>
        </w:trPr>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192,005</w:t>
            </w: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177,696</w:t>
            </w:r>
          </w:p>
        </w:tc>
      </w:tr>
      <w:tr>
        <w:trPr>
          <w:trHeight w:val="142"/>
        </w:trPr>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32,625</w:t>
            </w: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28,023</w:t>
            </w:r>
          </w:p>
        </w:tc>
      </w:tr>
      <w:tr>
        <w:trPr>
          <w:trHeight w:val="284"/>
        </w:trPr>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(23,176)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(20,880)</w:t>
            </w:r>
          </w:p>
        </w:tc>
      </w:tr>
      <w:tr>
        <w:trPr>
          <w:trHeight w:val="153"/>
        </w:trPr>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1,107</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-1181100</wp:posOffset>
            </wp:positionV>
            <wp:extent cx="716661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10287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-981075</wp:posOffset>
            </wp:positionV>
            <wp:extent cx="716661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-786765</wp:posOffset>
            </wp:positionV>
            <wp:extent cx="716661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-592455</wp:posOffset>
            </wp:positionV>
            <wp:extent cx="716661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10287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-386715</wp:posOffset>
            </wp:positionV>
            <wp:extent cx="716661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-192405</wp:posOffset>
            </wp:positionV>
            <wp:extent cx="7166610"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40" w:space="620"/>
            <w:col w:w="7820"/>
          </w:cols>
          <w:pgMar w:left="300" w:top="129" w:right="319" w:bottom="1440" w:gutter="0" w:footer="0" w:header="0"/>
        </w:sectPr>
      </w:pPr>
    </w:p>
    <w:tbl>
      <w:tblPr>
        <w:tblLayout w:type="fixed"/>
        <w:tblInd w:w="0" w:type="dxa"/>
        <w:tblCellMar>
          <w:top w:w="0" w:type="dxa"/>
          <w:left w:w="0" w:type="dxa"/>
          <w:bottom w:w="0" w:type="dxa"/>
          <w:right w:w="0" w:type="dxa"/>
        </w:tblCellMar>
      </w:tblPr>
      <w:tr>
        <w:trPr>
          <w:trHeight w:val="125"/>
        </w:trPr>
        <w:tc>
          <w:tcPr>
            <w:tcW w:w="7620" w:type="dxa"/>
            <w:vAlign w:val="bottom"/>
            <w:tcBorders>
              <w:top w:val="single" w:sz="8" w:color="CCEEFF"/>
            </w:tcBorders>
            <w:shd w:val="clear" w:color="auto" w:fill="CCEEFF"/>
          </w:tcPr>
          <w:p>
            <w:pPr>
              <w:ind w:left="140"/>
              <w:spacing w:after="0" w:line="125" w:lineRule="exact"/>
              <w:rPr>
                <w:sz w:val="20"/>
                <w:szCs w:val="20"/>
                <w:color w:val="auto"/>
              </w:rPr>
            </w:pPr>
            <w:r>
              <w:rPr>
                <w:rFonts w:ascii="Times New Roman" w:cs="Times New Roman" w:eastAsia="Times New Roman" w:hAnsi="Times New Roman"/>
                <w:sz w:val="12"/>
                <w:szCs w:val="12"/>
                <w:color w:val="auto"/>
              </w:rPr>
              <w:t>Total other expense, net</w:t>
            </w:r>
          </w:p>
        </w:tc>
        <w:tc>
          <w:tcPr>
            <w:tcW w:w="740" w:type="dxa"/>
            <w:vAlign w:val="bottom"/>
            <w:tcBorders>
              <w:top w:val="single" w:sz="8" w:color="auto"/>
              <w:bottom w:val="single" w:sz="8" w:color="auto"/>
            </w:tcBorders>
            <w:shd w:val="clear" w:color="auto" w:fill="CCEEFF"/>
          </w:tcPr>
          <w:p>
            <w:pPr>
              <w:spacing w:after="0"/>
              <w:rPr>
                <w:sz w:val="10"/>
                <w:szCs w:val="10"/>
                <w:color w:val="auto"/>
              </w:rPr>
            </w:pPr>
          </w:p>
        </w:tc>
        <w:tc>
          <w:tcPr>
            <w:tcW w:w="1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(22,107)</w:t>
            </w: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spacing w:after="0"/>
              <w:rPr>
                <w:sz w:val="10"/>
                <w:szCs w:val="10"/>
                <w:color w:val="auto"/>
              </w:rPr>
            </w:pPr>
          </w:p>
        </w:tc>
        <w:tc>
          <w:tcPr>
            <w:tcW w:w="10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(20,248)</w:t>
            </w:r>
          </w:p>
        </w:tc>
      </w:tr>
      <w:tr>
        <w:trPr>
          <w:trHeight w:val="142"/>
        </w:trPr>
        <w:tc>
          <w:tcPr>
            <w:tcW w:w="76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7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10,518</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7,775</w:t>
            </w:r>
          </w:p>
        </w:tc>
      </w:tr>
      <w:tr>
        <w:trPr>
          <w:trHeight w:val="15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7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w:t>
            </w:r>
          </w:p>
        </w:tc>
        <w:tc>
          <w:tcPr>
            <w:tcW w:w="6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2,582</w:t>
            </w:r>
          </w:p>
        </w:tc>
      </w:tr>
      <w:tr>
        <w:trPr>
          <w:trHeight w:val="142"/>
        </w:trPr>
        <w:tc>
          <w:tcPr>
            <w:tcW w:w="7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7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8,268</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5,193</w:t>
            </w:r>
          </w:p>
        </w:tc>
      </w:tr>
      <w:tr>
        <w:trPr>
          <w:trHeight w:val="153"/>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7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(12,662)</w:t>
            </w:r>
          </w:p>
        </w:tc>
      </w:tr>
      <w:tr>
        <w:trPr>
          <w:trHeight w:val="153"/>
        </w:trPr>
        <w:tc>
          <w:tcPr>
            <w:tcW w:w="76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w:t>
            </w:r>
          </w:p>
        </w:tc>
        <w:tc>
          <w:tcPr>
            <w:tcW w:w="74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w:t>
            </w:r>
          </w:p>
        </w:tc>
      </w:tr>
      <w:tr>
        <w:trPr>
          <w:trHeight w:val="14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(loss) attributable to common stockholders</w:t>
            </w:r>
          </w:p>
        </w:tc>
        <w:tc>
          <w:tcPr>
            <w:tcW w:w="7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8,268</w:t>
            </w: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(8,050)</w:t>
            </w:r>
          </w:p>
        </w:tc>
      </w:tr>
      <w:tr>
        <w:trPr>
          <w:trHeight w:val="153"/>
        </w:trPr>
        <w:tc>
          <w:tcPr>
            <w:tcW w:w="7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Other comprehensive income (loss)</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3"/>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7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58"/>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7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8,311</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(8,063)</w:t>
            </w:r>
          </w:p>
        </w:tc>
      </w:tr>
      <w:tr>
        <w:trPr>
          <w:trHeight w:val="153"/>
        </w:trPr>
        <w:tc>
          <w:tcPr>
            <w:tcW w:w="7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3"/>
        </w:trPr>
        <w:tc>
          <w:tcPr>
            <w:tcW w:w="7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(loss) per common share:</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3"/>
        </w:trPr>
        <w:tc>
          <w:tcPr>
            <w:tcW w:w="7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(0.10)</w:t>
            </w:r>
          </w:p>
        </w:tc>
      </w:tr>
      <w:tr>
        <w:trPr>
          <w:trHeight w:val="153"/>
        </w:trPr>
        <w:tc>
          <w:tcPr>
            <w:tcW w:w="7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74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60" w:type="dxa"/>
            <w:vAlign w:val="bottom"/>
          </w:tcPr>
          <w:p>
            <w:pPr>
              <w:spacing w:after="0"/>
              <w:rPr>
                <w:sz w:val="13"/>
                <w:szCs w:val="13"/>
                <w:color w:val="auto"/>
              </w:rPr>
            </w:pPr>
          </w:p>
        </w:tc>
        <w:tc>
          <w:tcPr>
            <w:tcW w:w="70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r>
      <w:tr>
        <w:trPr>
          <w:trHeight w:val="171"/>
        </w:trPr>
        <w:tc>
          <w:tcPr>
            <w:tcW w:w="76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53"/>
        </w:trPr>
        <w:tc>
          <w:tcPr>
            <w:tcW w:w="7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3"/>
        </w:trPr>
        <w:tc>
          <w:tcPr>
            <w:tcW w:w="7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7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78,774</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78,021</w:t>
            </w:r>
          </w:p>
        </w:tc>
      </w:tr>
      <w:tr>
        <w:trPr>
          <w:trHeight w:val="155"/>
        </w:trPr>
        <w:tc>
          <w:tcPr>
            <w:tcW w:w="7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7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79,857</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78,021</w:t>
            </w: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80" w:type="dxa"/>
            <w:vAlign w:val="bottom"/>
          </w:tcPr>
          <w:p>
            <w:pPr>
              <w:spacing w:after="0"/>
              <w:rPr>
                <w:sz w:val="11"/>
                <w:szCs w:val="11"/>
                <w:color w:val="auto"/>
              </w:rPr>
            </w:pPr>
          </w:p>
        </w:tc>
        <w:tc>
          <w:tcPr>
            <w:tcW w:w="78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80" w:type="dxa"/>
            <w:vAlign w:val="bottom"/>
          </w:tcPr>
          <w:p>
            <w:pPr>
              <w:spacing w:after="0"/>
              <w:rPr>
                <w:sz w:val="3"/>
                <w:szCs w:val="3"/>
                <w:color w:val="auto"/>
              </w:rPr>
            </w:pPr>
          </w:p>
        </w:tc>
        <w:tc>
          <w:tcPr>
            <w:tcW w:w="780" w:type="dxa"/>
            <w:vAlign w:val="bottom"/>
            <w:gridSpan w:val="2"/>
            <w:vMerge w:val="restart"/>
          </w:tcPr>
          <w:p>
            <w:pPr>
              <w:jc w:val="center"/>
              <w:ind w:left="2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77,480</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(19,607)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(147,134)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(166,840)</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1,815</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(165,025)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stock-based compensation and ESPP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534</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Exercise of warrants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1,804</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0" w:type="dxa"/>
            <w:vAlign w:val="bottom"/>
          </w:tcPr>
          <w:p>
            <w:pPr>
              <w:spacing w:after="0"/>
              <w:rPr>
                <w:sz w:val="1"/>
                <w:szCs w:val="1"/>
                <w:color w:val="auto"/>
              </w:rPr>
            </w:pPr>
          </w:p>
        </w:tc>
      </w:tr>
      <w:tr>
        <w:trPr>
          <w:trHeight w:val="131"/>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79,712</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4,508</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(21,077)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1,669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(138,866)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(158,327)</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1,902</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(156,425)</w:t>
            </w:r>
          </w:p>
        </w:tc>
        <w:tc>
          <w:tcPr>
            <w:tcW w:w="0" w:type="dxa"/>
            <w:vAlign w:val="bottom"/>
          </w:tcPr>
          <w:p>
            <w:pPr>
              <w:spacing w:after="0"/>
              <w:rPr>
                <w:sz w:val="1"/>
                <w:szCs w:val="1"/>
                <w:color w:val="auto"/>
              </w:rPr>
            </w:pPr>
          </w:p>
        </w:tc>
      </w:tr>
      <w:tr>
        <w:trPr>
          <w:trHeight w:val="407"/>
        </w:trPr>
        <w:tc>
          <w:tcPr>
            <w:tcW w:w="4020" w:type="dxa"/>
            <w:vAlign w:val="bottom"/>
          </w:tcPr>
          <w:p>
            <w:pPr>
              <w:spacing w:after="0"/>
              <w:rPr>
                <w:sz w:val="24"/>
                <w:szCs w:val="24"/>
                <w:color w:val="auto"/>
              </w:rPr>
            </w:pPr>
          </w:p>
        </w:tc>
        <w:tc>
          <w:tcPr>
            <w:tcW w:w="104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80" w:type="dxa"/>
            <w:vAlign w:val="bottom"/>
          </w:tcPr>
          <w:p>
            <w:pPr>
              <w:spacing w:after="0"/>
              <w:rPr>
                <w:sz w:val="24"/>
                <w:szCs w:val="24"/>
                <w:color w:val="auto"/>
              </w:rPr>
            </w:pPr>
          </w:p>
        </w:tc>
        <w:tc>
          <w:tcPr>
            <w:tcW w:w="78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80" w:type="dxa"/>
            <w:vAlign w:val="bottom"/>
          </w:tcPr>
          <w:p>
            <w:pPr>
              <w:spacing w:after="0"/>
              <w:rPr>
                <w:sz w:val="3"/>
                <w:szCs w:val="3"/>
                <w:color w:val="auto"/>
              </w:rPr>
            </w:pPr>
          </w:p>
        </w:tc>
        <w:tc>
          <w:tcPr>
            <w:tcW w:w="780" w:type="dxa"/>
            <w:vAlign w:val="bottom"/>
            <w:gridSpan w:val="2"/>
            <w:vMerge w:val="restart"/>
          </w:tcPr>
          <w:p>
            <w:pPr>
              <w:jc w:val="center"/>
              <w:ind w:left="2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76,957</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2,632</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(12,815)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(147,718)</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(146,064)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429</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Exchange for PHOT redeemable NCI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0" w:type="dxa"/>
            <w:vAlign w:val="bottom"/>
          </w:tcPr>
          <w:p>
            <w:pPr>
              <w:spacing w:after="0"/>
              <w:rPr>
                <w:sz w:val="1"/>
                <w:szCs w:val="1"/>
                <w:color w:val="auto"/>
              </w:rPr>
            </w:pPr>
          </w:p>
        </w:tc>
      </w:tr>
      <w:tr>
        <w:trPr>
          <w:trHeight w:val="143"/>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Issuance of profit interests/common equity in subsidiaries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Reclassification of negative additional paid in capital</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0" w:type="dxa"/>
            <w:vAlign w:val="bottom"/>
          </w:tcPr>
          <w:p>
            <w:pPr>
              <w:spacing w:after="0"/>
              <w:rPr>
                <w:sz w:val="1"/>
                <w:szCs w:val="1"/>
                <w:color w:val="auto"/>
              </w:rPr>
            </w:pPr>
          </w:p>
        </w:tc>
      </w:tr>
      <w:tr>
        <w:trPr>
          <w:trHeight w:val="131"/>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75,835</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4,183</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(18,491)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(141,412)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(159,869)</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1,747</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8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Three Months Ended March 31,</w:t>
            </w:r>
          </w:p>
        </w:tc>
        <w:tc>
          <w:tcPr>
            <w:tcW w:w="940" w:type="dxa"/>
            <w:vAlign w:val="bottom"/>
            <w:tcBorders>
              <w:bottom w:val="single" w:sz="8" w:color="auto"/>
            </w:tcBorders>
          </w:tcPr>
          <w:p>
            <w:pPr>
              <w:spacing w:after="0"/>
              <w:rPr>
                <w:sz w:val="12"/>
                <w:szCs w:val="12"/>
                <w:color w:val="auto"/>
              </w:rPr>
            </w:pPr>
          </w:p>
        </w:tc>
      </w:tr>
      <w:tr>
        <w:trPr>
          <w:trHeight w:val="134"/>
        </w:trPr>
        <w:tc>
          <w:tcPr>
            <w:tcW w:w="78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125"/>
        </w:trPr>
        <w:tc>
          <w:tcPr>
            <w:tcW w:w="78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9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96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80" w:type="dxa"/>
            <w:vAlign w:val="bottom"/>
          </w:tcPr>
          <w:p>
            <w:pPr>
              <w:spacing w:after="0"/>
              <w:rPr>
                <w:sz w:val="12"/>
                <w:szCs w:val="12"/>
                <w:color w:val="auto"/>
              </w:rPr>
            </w:pP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5,193</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 of assets</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13,777</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15,253</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ESPP and incentive units compensation</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1,633</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Amortization of debt issuance costs and discounts</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1,065</w:t>
            </w:r>
          </w:p>
        </w:tc>
      </w:tr>
      <w:tr>
        <w:trPr>
          <w:trHeight w:val="146"/>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Debt extinguishment and modification costs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Deferred income tax</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(1,872)</w:t>
            </w:r>
          </w:p>
        </w:tc>
      </w:tr>
      <w:tr>
        <w:trPr>
          <w:trHeight w:val="146"/>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contingent consideration</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972</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non-cash items, net</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receivable</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(8,339)</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Income taxes (receivable) payable</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4,429</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Notes receivable</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payable and other accrued liabilities</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1,590</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Customer deposits and advance payments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157</w:t>
            </w:r>
          </w:p>
        </w:tc>
      </w:tr>
      <w:tr>
        <w:trPr>
          <w:trHeight w:val="142"/>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Other assets and liabilities, net</w:t>
            </w:r>
          </w:p>
        </w:tc>
        <w:tc>
          <w:tcPr>
            <w:tcW w:w="9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(1,395)</w:t>
            </w:r>
          </w:p>
        </w:tc>
      </w:tr>
      <w:tr>
        <w:trPr>
          <w:trHeight w:val="13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9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9,956</w:t>
            </w:r>
          </w:p>
        </w:tc>
        <w:tc>
          <w:tcPr>
            <w:tcW w:w="8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13,307</w:t>
            </w:r>
          </w:p>
        </w:tc>
      </w:tr>
      <w:tr>
        <w:trPr>
          <w:trHeight w:val="123"/>
        </w:trPr>
        <w:tc>
          <w:tcPr>
            <w:tcW w:w="78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Acquisition of business, net of cash acquired</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Additions to property, equipment and software</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(5,095)</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(6,610)</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Notes receivable, net</w:t>
            </w:r>
          </w:p>
        </w:tc>
        <w:tc>
          <w:tcPr>
            <w:tcW w:w="9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(1,059)</w:t>
            </w:r>
          </w:p>
        </w:tc>
      </w:tr>
      <w:tr>
        <w:trPr>
          <w:trHeight w:val="132"/>
        </w:trPr>
        <w:tc>
          <w:tcPr>
            <w:tcW w:w="7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9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(9,715)</w:t>
            </w: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(7,669)</w:t>
            </w:r>
          </w:p>
        </w:tc>
      </w:tr>
      <w:tr>
        <w:trPr>
          <w:trHeight w:val="125"/>
        </w:trPr>
        <w:tc>
          <w:tcPr>
            <w:tcW w:w="78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9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Debt issuance and modification costs paid</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Repayments of long-term debt</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Repurchases of shares withheld for taxes</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Dividends paid to redeemable senior preferred stockholders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(7,027)</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Settlement and customer/subscriber accounts obligations, net</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59,060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1,918</w:t>
            </w:r>
          </w:p>
        </w:tc>
      </w:tr>
      <w:tr>
        <w:trPr>
          <w:trHeight w:val="142"/>
        </w:trPr>
        <w:tc>
          <w:tcPr>
            <w:tcW w:w="7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Payment of contingent consideration related to business combination</w:t>
            </w:r>
          </w:p>
        </w:tc>
        <w:tc>
          <w:tcPr>
            <w:tcW w:w="9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(3,071)</w:t>
            </w:r>
          </w:p>
        </w:tc>
      </w:tr>
      <w:tr>
        <w:trPr>
          <w:trHeight w:val="13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(used in) financing activities</w:t>
            </w:r>
          </w:p>
        </w:tc>
        <w:tc>
          <w:tcPr>
            <w:tcW w:w="9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47,260</w:t>
            </w:r>
          </w:p>
        </w:tc>
        <w:tc>
          <w:tcPr>
            <w:tcW w:w="8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(10,279)</w:t>
            </w:r>
          </w:p>
        </w:tc>
      </w:tr>
      <w:tr>
        <w:trPr>
          <w:trHeight w:val="123"/>
        </w:trPr>
        <w:tc>
          <w:tcPr>
            <w:tcW w:w="78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change in cash and cash equivalents and restricted cash:</w:t>
            </w: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increase in cash and cash equivalents, and restricted cash</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47,501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(4,641)</w:t>
            </w:r>
          </w:p>
        </w:tc>
      </w:tr>
      <w:tr>
        <w:trPr>
          <w:trHeight w:val="142"/>
        </w:trPr>
        <w:tc>
          <w:tcPr>
            <w:tcW w:w="7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Cash and cash equivalents and restricted cash at beginning of period</w:t>
            </w:r>
          </w:p>
        </w:tc>
        <w:tc>
          <w:tcPr>
            <w:tcW w:w="9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993,864</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796,223</w:t>
            </w:r>
          </w:p>
        </w:tc>
      </w:tr>
      <w:tr>
        <w:trPr>
          <w:trHeight w:val="151"/>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and restricted cash at end of period</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1,041,365</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791,582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Three Months Ended March 31,</w:t>
            </w:r>
          </w:p>
        </w:tc>
        <w:tc>
          <w:tcPr>
            <w:tcW w:w="940" w:type="dxa"/>
            <w:vAlign w:val="bottom"/>
            <w:tcBorders>
              <w:bottom w:val="single" w:sz="8" w:color="auto"/>
            </w:tcBorders>
          </w:tcPr>
          <w:p>
            <w:pPr>
              <w:spacing w:after="0"/>
              <w:rPr>
                <w:sz w:val="12"/>
                <w:szCs w:val="12"/>
                <w:color w:val="auto"/>
              </w:rPr>
            </w:pPr>
          </w:p>
        </w:tc>
      </w:tr>
      <w:tr>
        <w:trPr>
          <w:trHeight w:val="134"/>
        </w:trPr>
        <w:tc>
          <w:tcPr>
            <w:tcW w:w="54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214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125"/>
        </w:trPr>
        <w:tc>
          <w:tcPr>
            <w:tcW w:w="788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Reconciliation of cash and cash equivalents, and restricted cash:</w:t>
            </w:r>
          </w:p>
        </w:tc>
        <w:tc>
          <w:tcPr>
            <w:tcW w:w="9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96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47,587</w:t>
            </w:r>
          </w:p>
        </w:tc>
        <w:tc>
          <w:tcPr>
            <w:tcW w:w="80" w:type="dxa"/>
            <w:vAlign w:val="bottom"/>
          </w:tcPr>
          <w:p>
            <w:pPr>
              <w:spacing w:after="0"/>
              <w:rPr>
                <w:sz w:val="12"/>
                <w:szCs w:val="12"/>
                <w:color w:val="auto"/>
              </w:rPr>
            </w:pP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34,290</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Restricted cash</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11,490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12,658</w:t>
            </w:r>
          </w:p>
        </w:tc>
      </w:tr>
      <w:tr>
        <w:trPr>
          <w:trHeight w:val="117"/>
        </w:trPr>
        <w:tc>
          <w:tcPr>
            <w:tcW w:w="7880" w:type="dxa"/>
            <w:vAlign w:val="bottom"/>
            <w:gridSpan w:val="3"/>
          </w:tcPr>
          <w:p>
            <w:pPr>
              <w:ind w:left="80"/>
              <w:spacing w:after="0" w:line="117" w:lineRule="exact"/>
              <w:rPr>
                <w:sz w:val="20"/>
                <w:szCs w:val="20"/>
                <w:color w:val="auto"/>
              </w:rPr>
            </w:pPr>
            <w:r>
              <w:rPr>
                <w:rFonts w:ascii="Times New Roman" w:cs="Times New Roman" w:eastAsia="Times New Roman" w:hAnsi="Times New Roman"/>
                <w:sz w:val="11"/>
                <w:szCs w:val="11"/>
                <w:color w:val="auto"/>
              </w:rPr>
              <w:t xml:space="preserve">Cash and cash equivalents included in settlement assets and customer/subscriber account balances (restricted in nature) (see </w:t>
            </w:r>
            <w:r>
              <w:rPr>
                <w:rFonts w:ascii="Times New Roman" w:cs="Times New Roman" w:eastAsia="Times New Roman" w:hAnsi="Times New Roman"/>
                <w:sz w:val="11"/>
                <w:szCs w:val="11"/>
                <w:color w:val="0000FF"/>
              </w:rPr>
              <w:t>Note 4</w:t>
            </w:r>
            <w:r>
              <w:rPr>
                <w:rFonts w:ascii="Times New Roman" w:cs="Times New Roman" w:eastAsia="Times New Roman" w:hAnsi="Times New Roman"/>
                <w:sz w:val="11"/>
                <w:szCs w:val="11"/>
                <w:color w:val="auto"/>
              </w:rPr>
              <w:t>)</w:t>
            </w:r>
          </w:p>
        </w:tc>
        <w:tc>
          <w:tcPr>
            <w:tcW w:w="9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982,288</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744,634</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0000FF"/>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6"/>
        </w:trPr>
        <w:tc>
          <w:tcPr>
            <w:tcW w:w="7880" w:type="dxa"/>
            <w:vAlign w:val="bottom"/>
            <w:tcBorders>
              <w:bottom w:val="single" w:sz="8" w:color="CCEEFF"/>
            </w:tcBorders>
            <w:gridSpan w:val="3"/>
            <w:shd w:val="clear" w:color="auto" w:fill="CCEEFF"/>
          </w:tcPr>
          <w:p>
            <w:pPr>
              <w:ind w:left="140"/>
              <w:spacing w:after="0" w:line="120" w:lineRule="exact"/>
              <w:rPr>
                <w:sz w:val="20"/>
                <w:szCs w:val="20"/>
                <w:color w:val="auto"/>
              </w:rPr>
            </w:pPr>
            <w:r>
              <w:rPr>
                <w:rFonts w:ascii="Times New Roman" w:cs="Times New Roman" w:eastAsia="Times New Roman" w:hAnsi="Times New Roman"/>
                <w:sz w:val="11"/>
                <w:szCs w:val="11"/>
                <w:b w:val="1"/>
                <w:bCs w:val="1"/>
                <w:color w:val="auto"/>
              </w:rPr>
              <w:t>Total cash and cash equivalents, and restricted cash</w:t>
            </w:r>
          </w:p>
        </w:tc>
        <w:tc>
          <w:tcPr>
            <w:tcW w:w="960" w:type="dxa"/>
            <w:vAlign w:val="bottom"/>
            <w:tcBorders>
              <w:bottom w:val="single" w:sz="8" w:color="auto"/>
            </w:tcBorders>
            <w:shd w:val="clear" w:color="auto" w:fill="CCEEFF"/>
          </w:tcPr>
          <w:p>
            <w:pPr>
              <w:jc w:val="right"/>
              <w:ind w:right="826"/>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1,041,365</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0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ind w:right="6"/>
              <w:spacing w:after="0" w:line="120" w:lineRule="exact"/>
              <w:rPr>
                <w:sz w:val="20"/>
                <w:szCs w:val="20"/>
                <w:color w:val="auto"/>
              </w:rPr>
            </w:pPr>
            <w:r>
              <w:rPr>
                <w:rFonts w:ascii="Times New Roman" w:cs="Times New Roman" w:eastAsia="Times New Roman" w:hAnsi="Times New Roman"/>
                <w:sz w:val="11"/>
                <w:szCs w:val="11"/>
                <w:b w:val="1"/>
                <w:bCs w:val="1"/>
                <w:color w:val="auto"/>
              </w:rPr>
              <w:t>791,582</w:t>
            </w:r>
          </w:p>
        </w:tc>
      </w:tr>
      <w:tr>
        <w:trPr>
          <w:trHeight w:val="153"/>
        </w:trPr>
        <w:tc>
          <w:tcPr>
            <w:tcW w:w="5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4"/>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paid for interest</w:t>
            </w:r>
          </w:p>
        </w:tc>
        <w:tc>
          <w:tcPr>
            <w:tcW w:w="96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21,471</w:t>
            </w:r>
          </w:p>
        </w:tc>
        <w:tc>
          <w:tcPr>
            <w:tcW w:w="80" w:type="dxa"/>
            <w:vAlign w:val="bottom"/>
          </w:tcPr>
          <w:p>
            <w:pPr>
              <w:spacing w:after="0"/>
              <w:rPr>
                <w:sz w:val="12"/>
                <w:szCs w:val="12"/>
                <w:color w:val="auto"/>
              </w:rPr>
            </w:pP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18,436</w:t>
            </w:r>
          </w:p>
        </w:tc>
      </w:tr>
      <w:tr>
        <w:trPr>
          <w:trHeight w:val="146"/>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Deferred consideration accrual</w:t>
            </w:r>
          </w:p>
        </w:tc>
        <w:tc>
          <w:tcPr>
            <w:tcW w:w="96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80" w:type="dxa"/>
            <w:vAlign w:val="bottom"/>
          </w:tcPr>
          <w:p>
            <w:pPr>
              <w:spacing w:after="0"/>
              <w:rPr>
                <w:sz w:val="12"/>
                <w:szCs w:val="12"/>
                <w:color w:val="auto"/>
              </w:rPr>
            </w:pP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adjustment to goodwill</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Issuance of NCI</w:t>
            </w:r>
          </w:p>
        </w:tc>
        <w:tc>
          <w:tcPr>
            <w:tcW w:w="96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w:t>
            </w: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Unaudited Consolidated Financial Statements</w:t>
      </w:r>
    </w:p>
    <w:p>
      <w:pPr>
        <w:spacing w:after="0" w:line="200" w:lineRule="exact"/>
        <w:rPr>
          <w:sz w:val="20"/>
          <w:szCs w:val="20"/>
          <w:color w:val="auto"/>
        </w:rPr>
      </w:pPr>
    </w:p>
    <w:p>
      <w:pPr>
        <w:spacing w:after="0" w:line="277"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 and Significant Accounting Policies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Business, Consolidation and Presentation</w:t>
      </w:r>
    </w:p>
    <w:p>
      <w:pPr>
        <w:spacing w:after="0" w:line="152"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Priority Technology Holdings, Inc. is a holding company with no material operations of its own. Priority Technology Holdings, Inc. and its consolidated subsidiaries are referred to herein collectively as "Priority," the "Company," "we," "our" or "us," unless the context requires otherwise. Priority is a payments and banking fintech that streamlines collecting, storing, lending and sending money through its innovative commerce engine to unlock revenue and generate operational success for businesses. Our mission is to provide a personalized financial toolset to accelerate cashflow and optimize working capital for our customers by providing merchant services, payables and banking and treasury solutions.</w:t>
      </w:r>
    </w:p>
    <w:p>
      <w:pPr>
        <w:spacing w:after="0" w:line="122" w:lineRule="exact"/>
        <w:rPr>
          <w:sz w:val="20"/>
          <w:szCs w:val="20"/>
          <w:color w:val="auto"/>
        </w:rPr>
      </w:pPr>
    </w:p>
    <w:p>
      <w:pPr>
        <w:ind w:left="8" w:right="60"/>
        <w:spacing w:after="0" w:line="279" w:lineRule="auto"/>
        <w:rPr>
          <w:sz w:val="20"/>
          <w:szCs w:val="20"/>
          <w:color w:val="auto"/>
        </w:rPr>
      </w:pPr>
      <w:r>
        <w:rPr>
          <w:rFonts w:ascii="Times New Roman" w:cs="Times New Roman" w:eastAsia="Times New Roman" w:hAnsi="Times New Roman"/>
          <w:sz w:val="12"/>
          <w:szCs w:val="12"/>
          <w:color w:val="auto"/>
        </w:rPr>
        <w:t>The Company operates on a calendar year ending each December 31 and reports quarterly results on four calendar quarters ending on March 31, June 30, September 30 and December 31 of each year. Results of operations reported for interim periods are not necessarily indicative of results for the entire year.</w:t>
      </w:r>
    </w:p>
    <w:p>
      <w:pPr>
        <w:spacing w:after="0" w:line="111"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 of December 31, 2024 was derived from the audited financial statements included in the Company's Annual Report on Form 10-K for the year ended December 31, 2024 but does not include all disclosures required by GAAP for annual financial statements.</w:t>
      </w:r>
    </w:p>
    <w:p>
      <w:pPr>
        <w:spacing w:after="0" w:line="122"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March 31, 2025, there was no income attributable to NCI in accordance with the applicable operating agreements.</w:t>
      </w:r>
    </w:p>
    <w:p>
      <w:pPr>
        <w:spacing w:after="0" w:line="111"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2024.</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52" w:lineRule="exact"/>
        <w:rPr>
          <w:sz w:val="20"/>
          <w:szCs w:val="20"/>
          <w:color w:val="auto"/>
        </w:rPr>
      </w:pPr>
    </w:p>
    <w:p>
      <w:pPr>
        <w:ind w:left="8" w:right="60"/>
        <w:spacing w:after="0" w:line="327" w:lineRule="auto"/>
        <w:rPr>
          <w:sz w:val="20"/>
          <w:szCs w:val="20"/>
          <w:color w:val="auto"/>
        </w:rPr>
      </w:pPr>
      <w:r>
        <w:rPr>
          <w:rFonts w:ascii="Times New Roman" w:cs="Times New Roman" w:eastAsia="Times New Roman" w:hAnsi="Times New Roman"/>
          <w:sz w:val="11"/>
          <w:szCs w:val="11"/>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Foreign Currency</w:t>
      </w:r>
    </w:p>
    <w:p>
      <w:pPr>
        <w:spacing w:after="0" w:line="152"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The Company's reporting currency is the U.S. dollar. The functional currency of the Indian subsidiary of the Company is the Indian Rupee (i.e. local currency of Republic of India). The functional currency of the Canadian subsidiaries of the Company is the Canadian Dollar.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9" w:right="33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b w:val="1"/>
          <w:bCs w:val="1"/>
          <w:color w:val="auto"/>
        </w:rPr>
        <w:t>Recently Issued Accounting Standards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Profit Interest ASU 2024-01</w:t>
      </w:r>
    </w:p>
    <w:p>
      <w:pPr>
        <w:spacing w:after="0" w:line="150" w:lineRule="exact"/>
        <w:rPr>
          <w:sz w:val="20"/>
          <w:szCs w:val="20"/>
          <w:color w:val="auto"/>
        </w:rPr>
      </w:pPr>
    </w:p>
    <w:p>
      <w:pPr>
        <w:ind w:left="8"/>
        <w:spacing w:after="0" w:line="261" w:lineRule="auto"/>
        <w:rPr>
          <w:sz w:val="20"/>
          <w:szCs w:val="20"/>
          <w:color w:val="auto"/>
        </w:rPr>
      </w:pPr>
      <w:r>
        <w:rPr>
          <w:rFonts w:ascii="Times New Roman" w:cs="Times New Roman" w:eastAsia="Times New Roman" w:hAnsi="Times New Roman"/>
          <w:sz w:val="12"/>
          <w:szCs w:val="12"/>
          <w:color w:val="auto"/>
        </w:rPr>
        <w:t xml:space="preserve">In March 2024, the FASB issued ASU 2024-01, </w:t>
      </w:r>
      <w:r>
        <w:rPr>
          <w:rFonts w:ascii="Times New Roman" w:cs="Times New Roman" w:eastAsia="Times New Roman" w:hAnsi="Times New Roman"/>
          <w:sz w:val="12"/>
          <w:szCs w:val="12"/>
          <w:i w:val="1"/>
          <w:iCs w:val="1"/>
          <w:color w:val="auto"/>
        </w:rPr>
        <w:t>Profit Interest and Similar Awards</w:t>
      </w:r>
      <w:r>
        <w:rPr>
          <w:rFonts w:ascii="Times New Roman" w:cs="Times New Roman" w:eastAsia="Times New Roman" w:hAnsi="Times New Roman"/>
          <w:sz w:val="12"/>
          <w:szCs w:val="12"/>
          <w:color w:val="auto"/>
        </w:rPr>
        <w:t xml:space="preserve"> ("ASU 2024-01"), to improve GAAP by adding an illustrative example to demonstrate how an entity should apply the scope in paragraph 718-10-15-3 to determine whether profit interest and similar awards should be accounted for in accordance with Topic 718, Compensation- Stock Compensation. This guidance is effective for annual periods beginning after December 15, 2024, with early adoption permitted. Implementation of this standard is not expected to have any significant impact on results of operations, financial position or cash flows, however, the Company is in the process of evaluating the potential effects.</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Income Taxes ASU 2023-09</w:t>
      </w:r>
    </w:p>
    <w:p>
      <w:pPr>
        <w:spacing w:after="0" w:line="150" w:lineRule="exact"/>
        <w:rPr>
          <w:sz w:val="20"/>
          <w:szCs w:val="20"/>
          <w:color w:val="auto"/>
        </w:rPr>
      </w:pPr>
    </w:p>
    <w:p>
      <w:pPr>
        <w:ind w:left="8" w:right="80"/>
        <w:spacing w:after="0" w:line="266" w:lineRule="auto"/>
        <w:rPr>
          <w:sz w:val="20"/>
          <w:szCs w:val="20"/>
          <w:color w:val="auto"/>
        </w:rPr>
      </w:pPr>
      <w:r>
        <w:rPr>
          <w:rFonts w:ascii="Times New Roman" w:cs="Times New Roman" w:eastAsia="Times New Roman" w:hAnsi="Times New Roman"/>
          <w:sz w:val="12"/>
          <w:szCs w:val="12"/>
          <w:color w:val="auto"/>
        </w:rPr>
        <w:t xml:space="preserve">In December 2023, the FASB issued ASU 2023-09, </w:t>
      </w:r>
      <w:r>
        <w:rPr>
          <w:rFonts w:ascii="Times New Roman" w:cs="Times New Roman" w:eastAsia="Times New Roman" w:hAnsi="Times New Roman"/>
          <w:sz w:val="12"/>
          <w:szCs w:val="12"/>
          <w:i w:val="1"/>
          <w:iCs w:val="1"/>
          <w:color w:val="auto"/>
        </w:rPr>
        <w:t>Income Taxes (Topic 740): Improvement to Income Tax Disclosures,</w:t>
      </w:r>
      <w:r>
        <w:rPr>
          <w:rFonts w:ascii="Times New Roman" w:cs="Times New Roman" w:eastAsia="Times New Roman" w:hAnsi="Times New Roman"/>
          <w:sz w:val="12"/>
          <w:szCs w:val="12"/>
          <w:color w:val="auto"/>
        </w:rPr>
        <w:t xml:space="preserve"> to enhance the transparency and decision usefulness of income tax disclosures. The guidance includes improvements to income tax disclosures primarily related to the rate reconciliation and income taxes paid. This guidance is effective for annual periods beginning after December 15, 2024, with early adoption permitted. This guidance is expected to only impact the disclosures with no impact on the results of operations, financial position or cash flows.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Disaggregation of Income Statement Expenses ASU 2024-03</w:t>
      </w:r>
    </w:p>
    <w:p>
      <w:pPr>
        <w:spacing w:after="0" w:line="150" w:lineRule="exact"/>
        <w:rPr>
          <w:sz w:val="20"/>
          <w:szCs w:val="20"/>
          <w:color w:val="auto"/>
        </w:rPr>
      </w:pPr>
    </w:p>
    <w:p>
      <w:pPr>
        <w:ind w:left="8" w:right="100"/>
        <w:spacing w:after="0" w:line="261"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Statement-Reporting Comprehensive Income-Expense Disaggregation Disclosures (Subtopic 220-40)</w:t>
      </w:r>
      <w:r>
        <w:rPr>
          <w:rFonts w:ascii="Times New Roman" w:cs="Times New Roman" w:eastAsia="Times New Roman" w:hAnsi="Times New Roman"/>
          <w:sz w:val="12"/>
          <w:szCs w:val="12"/>
          <w:color w:val="auto"/>
        </w:rPr>
        <w:t xml:space="preserve"> ("ASU 2024-03") requiring additional disaggregated disclosures in the notes to financial statements for certain categories of expenses that are included on the face of the income statement. The ASU is effective for fiscal years beginning after December 15, 2026 and interim periods beginning after December 15, 2027. Early adoption is permitted. The Company will adopt this guidance for the year ended December 31, 2026. This guidance is expected to only impact the disclosures with no impact on the results of operations, financial position or cash flows.</w:t>
      </w:r>
    </w:p>
    <w:p>
      <w:pPr>
        <w:spacing w:after="0" w:line="200" w:lineRule="exact"/>
        <w:rPr>
          <w:sz w:val="20"/>
          <w:szCs w:val="20"/>
          <w:color w:val="auto"/>
        </w:rPr>
      </w:pPr>
    </w:p>
    <w:p>
      <w:pPr>
        <w:spacing w:after="0" w:line="224" w:lineRule="exact"/>
        <w:rPr>
          <w:sz w:val="20"/>
          <w:szCs w:val="20"/>
          <w:color w:val="auto"/>
        </w:rPr>
      </w:pPr>
    </w:p>
    <w:p>
      <w:pPr>
        <w:ind w:left="8" w:right="10500" w:hanging="8"/>
        <w:spacing w:after="0" w:line="550" w:lineRule="auto"/>
        <w:tabs>
          <w:tab w:leader="none" w:pos="211" w:val="left"/>
        </w:tabs>
        <w:numPr>
          <w:ilvl w:val="0"/>
          <w:numId w:val="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Acquisition Payslate</w:t>
      </w:r>
    </w:p>
    <w:p>
      <w:pPr>
        <w:ind w:left="8" w:right="40"/>
        <w:spacing w:after="0" w:line="256" w:lineRule="auto"/>
        <w:rPr>
          <w:sz w:val="20"/>
          <w:szCs w:val="20"/>
          <w:color w:val="auto"/>
        </w:rPr>
      </w:pPr>
      <w:r>
        <w:rPr>
          <w:rFonts w:ascii="Times New Roman" w:cs="Times New Roman" w:eastAsia="Times New Roman" w:hAnsi="Times New Roman"/>
          <w:sz w:val="12"/>
          <w:szCs w:val="12"/>
          <w:color w:val="auto"/>
        </w:rPr>
        <w:t>On January 21, 2025, PRTH’s indirect subsidiary, Priority Canada Acquisition Company, Inc. (the "acquiring entity"), acquired 100% of the equity interest in Payslate Inc. (Canada), and its subsidiary Rentmoola Payment Solutions Ltd (United Kingdom) (jointly referred as "Letus business"). The Letus business is engaged in processing of rent payments for property management companies in the United States and Canada and will complement the Company's Enterprise Payments business. The acquisition is aimed to provide an opportunity to expand Priority's services in Canada and compliment our existing rent payments business. The total purchase consideration was $11.0 million, consisting of $4.5 million in cash consideration funded by the Company’s cash flows and deferred consideration of $6.5 million. The Company has not yet completed its preliminary purchase price allocation and valuation of identified assets (including the acquired intangible assets such as customer relationships, trademarks, technology, etc.) and assumed liabilities. The tangible assets and liabilities assumed including acquired cash was not material. The preliminary purchase price allocation is expected to be completed during the period ended June 30, 2025.</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Results for the Letus business is included within the Enterprise Payments segment, which includes $0.4 million in revenue and a net loss of $0.1 million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331"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9"/>
        </w:trPr>
        <w:tc>
          <w:tcPr>
            <w:tcW w:w="7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  Revenues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88"/>
        </w:trPr>
        <w:tc>
          <w:tcPr>
            <w:tcW w:w="79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Disaggregation of Revenues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type:</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7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33"/>
        </w:trPr>
        <w:tc>
          <w:tcPr>
            <w:tcW w:w="7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79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167,079</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157,947</w:t>
            </w:r>
          </w:p>
        </w:tc>
      </w:tr>
      <w:tr>
        <w:trPr>
          <w:trHeight w:val="15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37,449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29,144</w:t>
            </w:r>
          </w:p>
        </w:tc>
      </w:tr>
      <w:tr>
        <w:trPr>
          <w:trHeight w:val="153"/>
        </w:trPr>
        <w:tc>
          <w:tcPr>
            <w:tcW w:w="7920" w:type="dxa"/>
            <w:vAlign w:val="bottom"/>
          </w:tcPr>
          <w:p>
            <w:pPr>
              <w:ind w:left="140"/>
              <w:spacing w:after="0" w:line="153" w:lineRule="exact"/>
              <w:rPr>
                <w:sz w:val="20"/>
                <w:szCs w:val="20"/>
                <w:color w:val="auto"/>
              </w:rPr>
            </w:pPr>
            <w:r>
              <w:rPr>
                <w:rFonts w:ascii="Times New Roman" w:cs="Times New Roman" w:eastAsia="Times New Roman" w:hAnsi="Times New Roman"/>
                <w:sz w:val="12"/>
                <w:szCs w:val="12"/>
                <w:color w:val="auto"/>
              </w:rPr>
              <w:t>Outsourced services and other services</w:t>
            </w:r>
            <w:r>
              <w:rPr>
                <w:rFonts w:ascii="Times New Roman" w:cs="Times New Roman" w:eastAsia="Times New Roman" w:hAnsi="Times New Roman"/>
                <w:sz w:val="15"/>
                <w:szCs w:val="15"/>
                <w:color w:val="auto"/>
                <w:vertAlign w:val="superscript"/>
              </w:rPr>
              <w:t>(2)</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15,665</w:t>
            </w:r>
          </w:p>
        </w:tc>
      </w:tr>
      <w:tr>
        <w:trPr>
          <w:trHeight w:val="15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3,100</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2,963</w:t>
            </w:r>
          </w:p>
        </w:tc>
      </w:tr>
      <w:tr>
        <w:trPr>
          <w:trHeight w:val="142"/>
        </w:trPr>
        <w:tc>
          <w:tcPr>
            <w:tcW w:w="7920" w:type="dxa"/>
            <w:vAlign w:val="bottom"/>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Total revenues</w:t>
            </w:r>
            <w:r>
              <w:rPr>
                <w:rFonts w:ascii="Times New Roman" w:cs="Times New Roman" w:eastAsia="Times New Roman" w:hAnsi="Times New Roman"/>
                <w:sz w:val="15"/>
                <w:szCs w:val="15"/>
                <w:color w:val="auto"/>
                <w:vertAlign w:val="superscript"/>
              </w:rPr>
              <w:t>(1)</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224,630</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205,719</w:t>
            </w: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right="220" w:hanging="212"/>
        <w:spacing w:after="0" w:line="222" w:lineRule="auto"/>
        <w:tabs>
          <w:tab w:leader="none" w:pos="412"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1" w:lineRule="exact"/>
        <w:rPr>
          <w:rFonts w:ascii="Times New Roman" w:cs="Times New Roman" w:eastAsia="Times New Roman" w:hAnsi="Times New Roman"/>
          <w:sz w:val="16"/>
          <w:szCs w:val="16"/>
          <w:color w:val="auto"/>
          <w:vertAlign w:val="superscript"/>
        </w:rPr>
      </w:pPr>
    </w:p>
    <w:p>
      <w:pPr>
        <w:ind w:left="420" w:right="40" w:hanging="212"/>
        <w:spacing w:after="0" w:line="225" w:lineRule="auto"/>
        <w:tabs>
          <w:tab w:leader="none" w:pos="412"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Approximately $12.6 million and $11.9 million of interest income on customer funds for the three months ended March 31, 2025 and 2024, respectively, is included in outsourced services and other services revenue in the table above. Approximately $1.1 million and $0.6 million of interest income on corporate funds for the three months ended March 31, 2025 and 2024, respectively, is included in other income, net on the Company's Unaudited Consolidated Statements of Operations and Comprehensive Income (Loss) and not reflected in the table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gridSpan w:val="6"/>
          </w:tcPr>
          <w:p>
            <w:pPr>
              <w:jc w:val="center"/>
              <w:ind w:left="1220"/>
              <w:spacing w:after="0"/>
              <w:rPr>
                <w:sz w:val="20"/>
                <w:szCs w:val="20"/>
                <w:color w:val="auto"/>
              </w:rPr>
            </w:pPr>
            <w:r>
              <w:rPr>
                <w:rFonts w:ascii="Times New Roman" w:cs="Times New Roman" w:eastAsia="Times New Roman" w:hAnsi="Times New Roman"/>
                <w:sz w:val="12"/>
                <w:szCs w:val="12"/>
                <w:b w:val="1"/>
                <w:bCs w:val="1"/>
                <w:color w:val="auto"/>
                <w:w w:val="98"/>
              </w:rPr>
              <w:t>Three Months Ended March 31, 2025</w:t>
            </w: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00" w:type="dxa"/>
            <w:vAlign w:val="bottom"/>
          </w:tcPr>
          <w:p>
            <w:pPr>
              <w:spacing w:after="0"/>
              <w:rPr>
                <w:sz w:val="12"/>
                <w:szCs w:val="12"/>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147,481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3,100</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151,690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19,769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23,918</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37,449</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12,032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50,088</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(1,066)</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167,079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37,449</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17,002</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3,100</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224,630</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86"/>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26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1" w:name="page12"/>
    <w:bookmarkEnd w:id="11"/>
    <w:tbl>
      <w:tblPr>
        <w:tblLayout w:type="fixed"/>
        <w:tblInd w:w="8"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gridSpan w:val="6"/>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8"/>
              </w:rPr>
              <w:t>Three Months Ended March 31, 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139,801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w:t>
            </w:r>
          </w:p>
        </w:tc>
        <w:tc>
          <w:tcPr>
            <w:tcW w:w="80" w:type="dxa"/>
            <w:vAlign w:val="bottom"/>
          </w:tcPr>
          <w:p>
            <w:pPr>
              <w:spacing w:after="0"/>
              <w:rPr>
                <w:sz w:val="13"/>
                <w:szCs w:val="13"/>
                <w:color w:val="auto"/>
              </w:rPr>
            </w:pPr>
          </w:p>
        </w:tc>
        <w:tc>
          <w:tcPr>
            <w:tcW w:w="1220" w:type="dxa"/>
            <w:vAlign w:val="bottom"/>
          </w:tcPr>
          <w:p>
            <w:pPr>
              <w:jc w:val="right"/>
              <w:ind w:right="1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2,963</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144,005</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18,289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3,055</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21,344</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29,144</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11,493</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40,990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157,947</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29,144</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15,665</w:t>
            </w:r>
          </w:p>
        </w:tc>
        <w:tc>
          <w:tcPr>
            <w:tcW w:w="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2,963</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205,719</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Deferred revenues were not material for the three months ended March 31, 2025 and 2024.</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Contract Assets and Contract Liabilities</w:t>
      </w:r>
    </w:p>
    <w:p>
      <w:pPr>
        <w:spacing w:after="0" w:line="152" w:lineRule="exact"/>
        <w:rPr>
          <w:sz w:val="20"/>
          <w:szCs w:val="20"/>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Contract liabilities were $0.4 million and $0.2 million as of March 31, 2025 and December 31, 2024, respectively. Substantially all of these balances are recognized as revenue within 12 months.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Net contract assets were not material for any period presented.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Impairment losses recognized on contract assets arising from the Company's contracts with customers were not material for the three months ended March 31, 2025 and 2024.</w:t>
      </w:r>
    </w:p>
    <w:p>
      <w:pPr>
        <w:spacing w:after="0" w:line="150" w:lineRule="exact"/>
        <w:rPr>
          <w:sz w:val="20"/>
          <w:szCs w:val="20"/>
          <w:color w:val="auto"/>
        </w:rPr>
      </w:pPr>
    </w:p>
    <w:p>
      <w:pPr>
        <w:ind w:left="8" w:right="280"/>
        <w:spacing w:after="0" w:line="279" w:lineRule="auto"/>
        <w:rPr>
          <w:sz w:val="20"/>
          <w:szCs w:val="20"/>
          <w:color w:val="auto"/>
        </w:rPr>
      </w:pPr>
      <w:r>
        <w:rPr>
          <w:rFonts w:ascii="Times New Roman" w:cs="Times New Roman" w:eastAsia="Times New Roman" w:hAnsi="Times New Roman"/>
          <w:sz w:val="12"/>
          <w:szCs w:val="12"/>
          <w:color w:val="auto"/>
        </w:rPr>
        <w:t>Impairment losses net of recoveries recognized on receivables arising from the Company's contracts with customers were $0.3 million for the three months ended March 31, 2025. Impairment losses recognized on receivables were immaterial for the three months ended March 31, 2024.</w:t>
      </w:r>
    </w:p>
    <w:p>
      <w:pPr>
        <w:spacing w:after="0" w:line="200" w:lineRule="exact"/>
        <w:rPr>
          <w:sz w:val="20"/>
          <w:szCs w:val="20"/>
          <w:color w:val="auto"/>
        </w:rPr>
      </w:pPr>
    </w:p>
    <w:p>
      <w:pPr>
        <w:spacing w:after="0" w:line="213" w:lineRule="exact"/>
        <w:rPr>
          <w:sz w:val="20"/>
          <w:szCs w:val="20"/>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Settlement Assets and Customer/Subscriber Account Balances and Related Obligations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SMB Payments Segment</w:t>
      </w:r>
    </w:p>
    <w:p>
      <w:pPr>
        <w:spacing w:after="0" w:line="152" w:lineRule="exact"/>
        <w:rPr>
          <w:sz w:val="20"/>
          <w:szCs w:val="20"/>
          <w:color w:val="auto"/>
        </w:rPr>
      </w:pP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are not liabilities of the Company. Therefore, neither is recognized in the Company's Unaudited Consolidated Balance Sheets. Member banks held merchant funds of $128.2 million and $106.2 million at March 31, 2025 and December 31, 2024, respectively.</w:t>
      </w:r>
    </w:p>
    <w:p>
      <w:pPr>
        <w:spacing w:after="0" w:line="122" w:lineRule="exact"/>
        <w:rPr>
          <w:sz w:val="20"/>
          <w:szCs w:val="20"/>
          <w:color w:val="auto"/>
        </w:rPr>
      </w:pPr>
    </w:p>
    <w:p>
      <w:pPr>
        <w:ind w:left="8" w:right="380"/>
        <w:spacing w:after="0" w:line="260" w:lineRule="auto"/>
        <w:rPr>
          <w:sz w:val="20"/>
          <w:szCs w:val="20"/>
          <w:color w:val="auto"/>
        </w:rPr>
      </w:pPr>
      <w:r>
        <w:rPr>
          <w:rFonts w:ascii="Times New Roman" w:cs="Times New Roman" w:eastAsia="Times New Roman" w:hAnsi="Times New Roman"/>
          <w:sz w:val="12"/>
          <w:szCs w:val="12"/>
          <w:color w:val="auto"/>
        </w:rPr>
        <w:t>Exception items that become the liability of the Company are recorded as merchant losses, a component of cost of revenue in the Company's Unaudited Consolidated Statements of Operations and Comprehensive Income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net of recoveries for the three months ended March 31, 2025 and 2024 were $2.0 million and $4.7 million, respectively.</w:t>
      </w:r>
    </w:p>
    <w:p>
      <w:pPr>
        <w:spacing w:after="0" w:line="200" w:lineRule="exact"/>
        <w:rPr>
          <w:sz w:val="20"/>
          <w:szCs w:val="20"/>
          <w:color w:val="auto"/>
        </w:rPr>
      </w:pPr>
    </w:p>
    <w:p>
      <w:pPr>
        <w:spacing w:after="0" w:line="3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52"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i w:val="1"/>
          <w:iCs w:val="1"/>
          <w:color w:val="auto"/>
        </w:rPr>
        <w:t>B2B Payments Segment</w:t>
      </w:r>
    </w:p>
    <w:p>
      <w:pPr>
        <w:spacing w:after="0" w:line="1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In the Company's B2B Payments segment, the Company earns revenues by processing transactions for FIs and other business customers. Customers transfer funds to the Company, which are held in either company-owned bank accounts controlled by the Company or bank-owned FBO accounts controlled by the banks, until such time that the transactions are settled with the customer payees. Amounts due to customer payees that are held by the Company in company-owned bank accounts are included in restricted cash in the Company's Unaudited Consolidated Balance Sheets. Amounts due to customer payees that are held in bank-owned FBO accounts are not assets of the Company, and the associated obligations are not liabilities of the Company. Therefore, neither is recognized in the Company's Unaudited Consolidated Balance Sheets. Bank-owned FBO accounts held funds of $66.1 million and $64.8 million at March 31, 2025 and December 31, 2024, respectively. Company-owned bank accounts held $1.2 million and $1.6 million at March 31, 2025 and December 31, 2024, respectively, which are included in restricted cash and settlement and customer/subscriber account obligations in the Company's Unaudited Consolidated Balance Sheets.</w:t>
      </w:r>
    </w:p>
    <w:p>
      <w:pPr>
        <w:spacing w:after="0" w:line="125"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2"/>
          <w:szCs w:val="12"/>
          <w:color w:val="auto"/>
        </w:rPr>
        <w:t>Exception items that the Company is still attempting to collect from the customers through the funds settlement process are recognized as settlement assets and customer/subscriber account balances in the Company's Unaudited Consolidated Balance Sheets, with an offsetting reserve for those amounts the Company estimates it will not be able to recover. Expenses for these merchant losses for the three months ended March 31, 2025 and 2024 were $0.2 million, respectively.</w:t>
      </w:r>
    </w:p>
    <w:p>
      <w:pPr>
        <w:spacing w:after="0" w:line="11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The Company also accepts card payments from its B2B Payments segment customers and processes disbursements to their vendors within the Plastiq business. The time lag between authorization and settlement of card transactions creates certain receivables (from card networks) and payables (to the vendors of customers). These receivables and payables arise from the settlement activities that the Company performs on the behalf of its customers and therefore, are presented as settlement assets and related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Enterprise Payments Segment</w:t>
      </w:r>
    </w:p>
    <w:p>
      <w:pPr>
        <w:spacing w:after="0" w:line="1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In the Company's Enterprise Payments segment revenue is derived primarily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which is restricted in nature as they are not available for day-to-day operations of the Company. Therefore, the Company has classified these balances as settlement assets and customer/subscriber account balances and the related obligations as settlement and customer/subscriber account obligations in the Company's Unaudited Consolidated Balance Sheets and these cash and cash equivalents balances are presented as restricted cash on the Company's Unaudited Consolidated Statement of Cash Flows.</w:t>
      </w:r>
    </w:p>
    <w:p>
      <w:pPr>
        <w:spacing w:after="0" w:line="12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Exception items that become the liability of the Company are recorded as merchant losses, a component of cost of revenue in the Company's Unaudited Consolidated Statements of Operations and Comprehensive Income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for the three months ended March 31, 2025 and 2024 were immaterial.</w:t>
      </w:r>
    </w:p>
    <w:p>
      <w:pPr>
        <w:spacing w:after="0" w:line="12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In certain states, the Company accepts deposits under agency arrangement with member banks wherein accepted deposits remain under the control of the member banks. Therefore, the Company does not record assets for the deposits accepted and liabilities for the associated obligation. Agency owned accounts held $45.2 million and $22.6 million at March 31, 2025 and December 31, 2024,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2"/>
          <w:szCs w:val="12"/>
          <w:color w:val="auto"/>
        </w:rPr>
        <w:t>The Company's consolidated settlement assets and customer/subscriber account balances and settlement and customer/subscriber account obligations were as follows:</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4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6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Settlement Assets, net of estimated losses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4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Card settlements due from merchants</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2,587</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Card settlements due from networks</w:t>
            </w:r>
          </w:p>
        </w:tc>
        <w:tc>
          <w:tcPr>
            <w:tcW w:w="440" w:type="dxa"/>
            <w:vAlign w:val="bottom"/>
            <w:shd w:val="clear" w:color="auto" w:fill="CCEEFF"/>
          </w:tcPr>
          <w:p>
            <w:pPr>
              <w:spacing w:after="0"/>
              <w:rPr>
                <w:sz w:val="13"/>
                <w:szCs w:val="1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12,307</w:t>
            </w: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settlement assets</w:t>
            </w:r>
          </w:p>
        </w:tc>
        <w:tc>
          <w:tcPr>
            <w:tcW w:w="44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1,730</w:t>
            </w:r>
          </w:p>
        </w:tc>
      </w:tr>
      <w:tr>
        <w:trPr>
          <w:trHeight w:val="15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Customer/subscriber account balances</w:t>
            </w:r>
          </w:p>
        </w:tc>
        <w:tc>
          <w:tcPr>
            <w:tcW w:w="44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53"/>
        </w:trPr>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Cash and cash equivalents (restricted in nature)</w:t>
            </w:r>
          </w:p>
        </w:tc>
        <w:tc>
          <w:tcPr>
            <w:tcW w:w="4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982,288</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924,174</w:t>
            </w:r>
          </w:p>
        </w:tc>
      </w:tr>
      <w:tr>
        <w:trPr>
          <w:trHeight w:val="158"/>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settlement assets and customer/subscriber account balances</w:t>
            </w: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1,003,034</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940,798</w:t>
            </w:r>
          </w:p>
        </w:tc>
      </w:tr>
      <w:tr>
        <w:trPr>
          <w:trHeight w:val="126"/>
        </w:trPr>
        <w:tc>
          <w:tcPr>
            <w:tcW w:w="6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5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Settlement and Customer/Subscriber Account Obligations:</w:t>
            </w:r>
          </w:p>
        </w:tc>
        <w:tc>
          <w:tcPr>
            <w:tcW w:w="44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account obligations</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964,231</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897,497</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Subscriber account obligations</w:t>
            </w:r>
          </w:p>
        </w:tc>
        <w:tc>
          <w:tcPr>
            <w:tcW w:w="440" w:type="dxa"/>
            <w:vAlign w:val="bottom"/>
            <w:tcBorders>
              <w:bottom w:val="single" w:sz="8" w:color="auto"/>
            </w:tcBorders>
            <w:shd w:val="clear" w:color="auto" w:fill="CCEEFF"/>
          </w:tcPr>
          <w:p>
            <w:pPr>
              <w:spacing w:after="0"/>
              <w:rPr>
                <w:sz w:val="13"/>
                <w:szCs w:val="1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13,241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26,677</w:t>
            </w:r>
          </w:p>
        </w:tc>
      </w:tr>
      <w:tr>
        <w:trPr>
          <w:trHeight w:val="142"/>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customer/subscriber account obligations</w:t>
            </w:r>
          </w:p>
        </w:tc>
        <w:tc>
          <w:tcPr>
            <w:tcW w:w="44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977,472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924,174</w:t>
            </w:r>
          </w:p>
        </w:tc>
      </w:tr>
      <w:tr>
        <w:trPr>
          <w:trHeight w:val="153"/>
        </w:trPr>
        <w:tc>
          <w:tcPr>
            <w:tcW w:w="64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Due to customers' payees</w:t>
            </w:r>
            <w:r>
              <w:rPr>
                <w:rFonts w:ascii="Times New Roman" w:cs="Times New Roman" w:eastAsia="Times New Roman" w:hAnsi="Times New Roman"/>
                <w:sz w:val="15"/>
                <w:szCs w:val="15"/>
                <w:color w:val="auto"/>
                <w:vertAlign w:val="superscript"/>
              </w:rPr>
              <w:t>(2)</w:t>
            </w:r>
          </w:p>
        </w:tc>
        <w:tc>
          <w:tcPr>
            <w:tcW w:w="440" w:type="dxa"/>
            <w:vAlign w:val="bottom"/>
            <w:tcBorders>
              <w:bottom w:val="single" w:sz="8" w:color="auto"/>
            </w:tcBorders>
            <w:shd w:val="clear" w:color="auto" w:fill="CCEEFF"/>
          </w:tcPr>
          <w:p>
            <w:pPr>
              <w:spacing w:after="0"/>
              <w:rPr>
                <w:sz w:val="13"/>
                <w:szCs w:val="1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25,923</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16,039</w:t>
            </w:r>
          </w:p>
        </w:tc>
      </w:tr>
      <w:tr>
        <w:trPr>
          <w:trHeight w:val="142"/>
        </w:trPr>
        <w:tc>
          <w:tcPr>
            <w:tcW w:w="6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settlement and customer/subscriber account obligations</w:t>
            </w: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1,003,395</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940,213</w:t>
            </w:r>
          </w:p>
        </w:tc>
      </w:tr>
      <w:tr>
        <w:trPr>
          <w:trHeight w:val="20"/>
        </w:trPr>
        <w:tc>
          <w:tcPr>
            <w:tcW w:w="6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428" w:hanging="212"/>
        <w:spacing w:after="0"/>
        <w:tabs>
          <w:tab w:leader="none" w:pos="428" w:val="left"/>
        </w:tabs>
        <w:numPr>
          <w:ilvl w:val="1"/>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Allowance for estimated losses were $9.9 million and $7.9 million as of March 31, 2025 and December 31, 2024, respectively.</w:t>
      </w:r>
    </w:p>
    <w:p>
      <w:pPr>
        <w:spacing w:after="0" w:line="1" w:lineRule="exact"/>
        <w:rPr>
          <w:rFonts w:ascii="Times New Roman" w:cs="Times New Roman" w:eastAsia="Times New Roman" w:hAnsi="Times New Roman"/>
          <w:sz w:val="16"/>
          <w:szCs w:val="16"/>
          <w:color w:val="auto"/>
          <w:vertAlign w:val="superscript"/>
        </w:rPr>
      </w:pPr>
    </w:p>
    <w:p>
      <w:pPr>
        <w:ind w:left="428" w:right="340" w:hanging="212"/>
        <w:spacing w:after="0" w:line="213" w:lineRule="auto"/>
        <w:tabs>
          <w:tab w:leader="none" w:pos="420" w:val="left"/>
        </w:tabs>
        <w:numPr>
          <w:ilvl w:val="1"/>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$17.2 million and $12.3 million as of March 31, 2025 and December 31, 2024, respectively, of card settlements due from networks and the remainder is included in restricted cash on our Unaudited Consolidated Balance Sheets.</w:t>
      </w:r>
    </w:p>
    <w:p>
      <w:pPr>
        <w:spacing w:after="0" w:line="364" w:lineRule="exact"/>
        <w:rPr>
          <w:rFonts w:ascii="Times New Roman" w:cs="Times New Roman" w:eastAsia="Times New Roman" w:hAnsi="Times New Roman"/>
          <w:sz w:val="16"/>
          <w:szCs w:val="16"/>
          <w:color w:val="auto"/>
          <w:vertAlign w:val="superscript"/>
        </w:rPr>
      </w:pPr>
    </w:p>
    <w:p>
      <w:pPr>
        <w:ind w:left="248" w:hanging="248"/>
        <w:spacing w:after="0"/>
        <w:tabs>
          <w:tab w:leader="none" w:pos="24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Notes Receivable</w:t>
      </w:r>
    </w:p>
    <w:p>
      <w:pPr>
        <w:spacing w:after="0" w:line="154" w:lineRule="exact"/>
        <w:rPr>
          <w:sz w:val="20"/>
          <w:szCs w:val="20"/>
          <w:color w:val="auto"/>
        </w:rPr>
      </w:pPr>
    </w:p>
    <w:p>
      <w:pPr>
        <w:ind w:left="8" w:right="120"/>
        <w:spacing w:after="0" w:line="260" w:lineRule="auto"/>
        <w:rPr>
          <w:sz w:val="20"/>
          <w:szCs w:val="20"/>
          <w:color w:val="auto"/>
        </w:rPr>
      </w:pPr>
      <w:r>
        <w:rPr>
          <w:rFonts w:ascii="Times New Roman" w:cs="Times New Roman" w:eastAsia="Times New Roman" w:hAnsi="Times New Roman"/>
          <w:sz w:val="12"/>
          <w:szCs w:val="12"/>
          <w:color w:val="auto"/>
        </w:rPr>
        <w:t>The Company had notes receivable of $8.7 million and $8.6 million as of March 31, 2025 and December 31, 2024, respectively, which are reported as current portion of notes receivable and notes receivable less current portion on the Company's Unaudited Consolidated Balance Sheets. The notes receivable carried weighted-average interest rates of 16.8% and 16.9% as of March 31, 2025 and December 31, 2024, respectively. The notes receivable are comprised of notes receivable from ISOs, and under the terms of the agreements the Company preserves the right to hold back residual payments due to the ISOs and to apply such residuals against future payments due to the Company. As of March 31, 2025 and December 31, 2024, the Company had no allowance for doubtful notes receivable.</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March 31, 2025, the principal payments for the Company's notes receivable are due as follows:</w:t>
      </w:r>
    </w:p>
    <w:p>
      <w:pPr>
        <w:spacing w:after="0" w:line="1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Twelve months ending March 31,</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9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860" w:type="dxa"/>
            <w:vAlign w:val="bottom"/>
            <w:tcBorders>
              <w:top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2,231</w:t>
            </w:r>
          </w:p>
        </w:tc>
      </w:tr>
      <w:tr>
        <w:trPr>
          <w:trHeight w:val="153"/>
        </w:trPr>
        <w:tc>
          <w:tcPr>
            <w:tcW w:w="932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8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1,906</w:t>
            </w:r>
          </w:p>
        </w:tc>
      </w:tr>
      <w:tr>
        <w:trPr>
          <w:trHeight w:val="153"/>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8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1,976</w:t>
            </w:r>
          </w:p>
        </w:tc>
      </w:tr>
      <w:tr>
        <w:trPr>
          <w:trHeight w:val="153"/>
        </w:trPr>
        <w:tc>
          <w:tcPr>
            <w:tcW w:w="932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8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w:t>
            </w:r>
          </w:p>
        </w:tc>
      </w:tr>
      <w:tr>
        <w:trPr>
          <w:trHeight w:val="153"/>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After 2029</w:t>
            </w:r>
          </w:p>
        </w:tc>
        <w:tc>
          <w:tcPr>
            <w:tcW w:w="8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2,083</w:t>
            </w:r>
          </w:p>
        </w:tc>
      </w:tr>
      <w:tr>
        <w:trPr>
          <w:trHeight w:val="142"/>
        </w:trPr>
        <w:tc>
          <w:tcPr>
            <w:tcW w:w="93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8,704</w:t>
            </w:r>
          </w:p>
        </w:tc>
      </w:tr>
      <w:tr>
        <w:trPr>
          <w:trHeight w:val="20"/>
        </w:trPr>
        <w:tc>
          <w:tcPr>
            <w:tcW w:w="9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0"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9"/>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  Property, Equipment and Software</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A summary of property, equipment and software, net was as follows: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15"/>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software</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110,666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104,683</w:t>
            </w: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Equipment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11,862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11,571</w:t>
            </w: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2,721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2,718</w:t>
            </w:r>
          </w:p>
        </w:tc>
      </w:tr>
      <w:tr>
        <w:trPr>
          <w:trHeight w:val="153"/>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1,365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w:t>
            </w:r>
          </w:p>
        </w:tc>
      </w:tr>
      <w:tr>
        <w:trPr>
          <w:trHeight w:val="14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126,614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120,337</w:t>
            </w: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(74,122)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(70,258)</w:t>
            </w: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work in-progress</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1,226</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w:t>
            </w:r>
          </w:p>
        </w:tc>
      </w:tr>
      <w:tr>
        <w:trPr>
          <w:trHeight w:val="142"/>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53,718</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52,477</w:t>
            </w:r>
          </w:p>
        </w:tc>
      </w:tr>
      <w:tr>
        <w:trPr>
          <w:trHeight w:val="20"/>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r>
      <w:tr>
        <w:trPr>
          <w:trHeight w:val="354"/>
        </w:trPr>
        <w:tc>
          <w:tcPr>
            <w:tcW w:w="7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right"/>
              <w:ind w:right="11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3,170</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Computer software represents purchased software and internally developed software that is used to provide the Company's services to its customers.</w:t>
      </w:r>
    </w:p>
    <w:p>
      <w:pPr>
        <w:spacing w:after="0" w:line="15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Fully depreciated assets are retained in property, equipment and software, net, until removed from service. No assets were removed from service during three months ended March 31, 2025 while certain fully depreciated assets were removed from service during the three months ended March 31, 2024.</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  Goodwill and Other Intangible Assets</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2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goodwill relates to the following reporting units:</w:t>
            </w:r>
          </w:p>
        </w:tc>
        <w:tc>
          <w:tcPr>
            <w:tcW w:w="2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3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280" w:type="dxa"/>
            <w:vAlign w:val="bottom"/>
          </w:tcPr>
          <w:p>
            <w:pPr>
              <w:spacing w:after="0"/>
              <w:rPr>
                <w:sz w:val="24"/>
                <w:szCs w:val="24"/>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42"/>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SMB Payments</w:t>
            </w:r>
          </w:p>
        </w:tc>
        <w:tc>
          <w:tcPr>
            <w:tcW w:w="29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0" w:type="dxa"/>
            <w:vAlign w:val="bottom"/>
          </w:tcPr>
          <w:p>
            <w:pPr>
              <w:spacing w:after="0"/>
              <w:rPr>
                <w:sz w:val="1"/>
                <w:szCs w:val="1"/>
                <w:color w:val="auto"/>
              </w:rPr>
            </w:pPr>
          </w:p>
        </w:tc>
      </w:tr>
      <w:tr>
        <w:trPr>
          <w:trHeight w:val="153"/>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Enterprise Payments</w:t>
            </w: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255,443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244,712</w:t>
            </w:r>
          </w:p>
        </w:tc>
        <w:tc>
          <w:tcPr>
            <w:tcW w:w="0" w:type="dxa"/>
            <w:vAlign w:val="bottom"/>
          </w:tcPr>
          <w:p>
            <w:pPr>
              <w:spacing w:after="0"/>
              <w:rPr>
                <w:sz w:val="1"/>
                <w:szCs w:val="1"/>
                <w:color w:val="auto"/>
              </w:rPr>
            </w:pPr>
          </w:p>
        </w:tc>
      </w:tr>
      <w:tr>
        <w:trPr>
          <w:trHeight w:val="15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Plastiq (B2B Payments)</w:t>
            </w:r>
          </w:p>
        </w:tc>
        <w:tc>
          <w:tcPr>
            <w:tcW w:w="29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0" w:type="dxa"/>
            <w:vAlign w:val="bottom"/>
          </w:tcPr>
          <w:p>
            <w:pPr>
              <w:spacing w:after="0"/>
              <w:rPr>
                <w:sz w:val="1"/>
                <w:szCs w:val="1"/>
                <w:color w:val="auto"/>
              </w:rPr>
            </w:pPr>
          </w:p>
        </w:tc>
      </w:tr>
      <w:tr>
        <w:trPr>
          <w:trHeight w:val="142"/>
        </w:trPr>
        <w:tc>
          <w:tcPr>
            <w:tcW w:w="43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92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386,822</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376,091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920" w:type="dxa"/>
            <w:vAlign w:val="bottom"/>
            <w:vMerge w:val="restart"/>
          </w:tcPr>
          <w:p>
            <w:pPr>
              <w:jc w:val="right"/>
              <w:ind w:right="1500"/>
              <w:spacing w:after="0"/>
              <w:rPr>
                <w:sz w:val="20"/>
                <w:szCs w:val="20"/>
                <w:color w:val="auto"/>
              </w:rPr>
            </w:pPr>
            <w:r>
              <w:rPr>
                <w:rFonts w:ascii="Times New Roman" w:cs="Times New Roman" w:eastAsia="Times New Roman" w:hAnsi="Times New Roman"/>
                <w:sz w:val="12"/>
                <w:szCs w:val="12"/>
                <w:color w:val="auto"/>
              </w:rPr>
              <w:t>12</w:t>
            </w: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43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9A9A9A"/>
            </w:tcBorders>
          </w:tcPr>
          <w:p>
            <w:pPr>
              <w:spacing w:after="0"/>
              <w:rPr>
                <w:sz w:val="18"/>
                <w:szCs w:val="18"/>
                <w:color w:val="auto"/>
              </w:rPr>
            </w:pPr>
          </w:p>
        </w:tc>
        <w:tc>
          <w:tcPr>
            <w:tcW w:w="29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5"/>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summarizes the changes in the carrying value of goodwill:</w:t>
            </w: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4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142"/>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0" w:type="dxa"/>
            <w:vAlign w:val="bottom"/>
          </w:tcPr>
          <w:p>
            <w:pPr>
              <w:spacing w:after="0"/>
              <w:rPr>
                <w:sz w:val="1"/>
                <w:szCs w:val="1"/>
                <w:color w:val="auto"/>
              </w:rPr>
            </w:pPr>
          </w:p>
        </w:tc>
      </w:tr>
      <w:tr>
        <w:trPr>
          <w:trHeight w:val="153"/>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Payslate acquisition</w:t>
            </w: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10,669</w:t>
            </w:r>
          </w:p>
        </w:tc>
        <w:tc>
          <w:tcPr>
            <w:tcW w:w="0" w:type="dxa"/>
            <w:vAlign w:val="bottom"/>
          </w:tcPr>
          <w:p>
            <w:pPr>
              <w:spacing w:after="0"/>
              <w:rPr>
                <w:sz w:val="1"/>
                <w:szCs w:val="1"/>
                <w:color w:val="auto"/>
              </w:rPr>
            </w:pPr>
          </w:p>
        </w:tc>
      </w:tr>
      <w:tr>
        <w:trPr>
          <w:trHeight w:val="153"/>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at March 31, 2025</w:t>
            </w: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386,822</w:t>
            </w:r>
          </w:p>
        </w:tc>
        <w:tc>
          <w:tcPr>
            <w:tcW w:w="0" w:type="dxa"/>
            <w:vAlign w:val="bottom"/>
          </w:tcPr>
          <w:p>
            <w:pPr>
              <w:spacing w:after="0"/>
              <w:rPr>
                <w:sz w:val="1"/>
                <w:szCs w:val="1"/>
                <w:color w:val="auto"/>
              </w:rPr>
            </w:pPr>
          </w:p>
        </w:tc>
      </w:tr>
      <w:tr>
        <w:trPr>
          <w:trHeight w:val="20"/>
        </w:trPr>
        <w:tc>
          <w:tcPr>
            <w:tcW w:w="7920" w:type="dxa"/>
            <w:vAlign w:val="bottom"/>
            <w:gridSpan w:val="9"/>
            <w:vMerge w:val="restart"/>
          </w:tcPr>
          <w:p>
            <w:pPr>
              <w:spacing w:after="0"/>
              <w:rPr>
                <w:sz w:val="20"/>
                <w:szCs w:val="20"/>
                <w:color w:val="auto"/>
              </w:rPr>
            </w:pPr>
            <w:r>
              <w:rPr>
                <w:rFonts w:ascii="Times New Roman" w:cs="Times New Roman" w:eastAsia="Times New Roman" w:hAnsi="Times New Roman"/>
                <w:sz w:val="12"/>
                <w:szCs w:val="12"/>
                <w:color w:val="auto"/>
              </w:rPr>
              <w:t>As of March 31, 2025, the Company is not aware of any triggering events for impairment that have occurred since the last annual impairment test.</w:t>
            </w: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7920" w:type="dxa"/>
            <w:vAlign w:val="bottom"/>
            <w:gridSpan w:val="9"/>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 Intangible Assets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intangible assets consisted of the following:</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March 31, 2025</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97"/>
        </w:trPr>
        <w:tc>
          <w:tcPr>
            <w:tcW w:w="4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7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34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42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intangible assets:</w:t>
            </w: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182,339</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(52,719)</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129,620</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53"/>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143,862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(108,006)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35,856</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6.2</w:t>
            </w:r>
          </w:p>
        </w:tc>
        <w:tc>
          <w:tcPr>
            <w:tcW w:w="0" w:type="dxa"/>
            <w:vAlign w:val="bottom"/>
          </w:tcPr>
          <w:p>
            <w:pPr>
              <w:spacing w:after="0"/>
              <w:rPr>
                <w:sz w:val="1"/>
                <w:szCs w:val="1"/>
                <w:color w:val="auto"/>
              </w:rPr>
            </w:pPr>
          </w:p>
        </w:tc>
      </w:tr>
      <w:tr>
        <w:trPr>
          <w:trHeight w:val="153"/>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(95,896)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13,121</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8.4</w:t>
            </w:r>
          </w:p>
        </w:tc>
        <w:tc>
          <w:tcPr>
            <w:tcW w:w="0" w:type="dxa"/>
            <w:vAlign w:val="bottom"/>
          </w:tcPr>
          <w:p>
            <w:pPr>
              <w:spacing w:after="0"/>
              <w:rPr>
                <w:sz w:val="1"/>
                <w:szCs w:val="1"/>
                <w:color w:val="auto"/>
              </w:rPr>
            </w:pPr>
          </w:p>
        </w:tc>
      </w:tr>
      <w:tr>
        <w:trPr>
          <w:trHeight w:val="153"/>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(66,160)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17,190</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(28,718)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29,921</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8.6</w:t>
            </w:r>
          </w:p>
        </w:tc>
        <w:tc>
          <w:tcPr>
            <w:tcW w:w="0" w:type="dxa"/>
            <w:vAlign w:val="bottom"/>
          </w:tcPr>
          <w:p>
            <w:pPr>
              <w:spacing w:after="0"/>
              <w:rPr>
                <w:sz w:val="1"/>
                <w:szCs w:val="1"/>
                <w:color w:val="auto"/>
              </w:rPr>
            </w:pPr>
          </w:p>
        </w:tc>
      </w:tr>
      <w:tr>
        <w:trPr>
          <w:trHeight w:val="153"/>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3,752</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53"/>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Non-compete agreements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0.0</w:t>
            </w:r>
          </w:p>
        </w:tc>
        <w:tc>
          <w:tcPr>
            <w:tcW w:w="0" w:type="dxa"/>
            <w:vAlign w:val="bottom"/>
          </w:tcPr>
          <w:p>
            <w:pPr>
              <w:spacing w:after="0"/>
              <w:rPr>
                <w:sz w:val="1"/>
                <w:szCs w:val="1"/>
                <w:color w:val="auto"/>
              </w:rPr>
            </w:pPr>
          </w:p>
        </w:tc>
      </w:tr>
      <w:tr>
        <w:trPr>
          <w:trHeight w:val="153"/>
        </w:trPr>
        <w:tc>
          <w:tcPr>
            <w:tcW w:w="4240" w:type="dxa"/>
            <w:vAlign w:val="bottom"/>
            <w:gridSpan w:val="2"/>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38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589,801</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(358,241)</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231,560</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9.5</w:t>
            </w:r>
          </w:p>
        </w:tc>
        <w:tc>
          <w:tcPr>
            <w:tcW w:w="0" w:type="dxa"/>
            <w:vAlign w:val="bottom"/>
          </w:tcPr>
          <w:p>
            <w:pPr>
              <w:spacing w:after="0"/>
              <w:rPr>
                <w:sz w:val="1"/>
                <w:szCs w:val="1"/>
                <w:color w:val="auto"/>
              </w:rPr>
            </w:pPr>
          </w:p>
        </w:tc>
      </w:tr>
      <w:tr>
        <w:trPr>
          <w:trHeight w:val="20"/>
        </w:trPr>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8"/>
                <w:szCs w:val="8"/>
                <w:color w:val="auto"/>
              </w:rPr>
              <w:t>(1)</w:t>
            </w:r>
          </w:p>
        </w:tc>
        <w:tc>
          <w:tcPr>
            <w:tcW w:w="38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These assets have an indefinite useful life.</w:t>
            </w: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100"/>
        </w:trPr>
        <w:tc>
          <w:tcPr>
            <w:tcW w:w="4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7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34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20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42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intangible assets:</w:t>
            </w: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182,339</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(49,501)</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132,838</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53"/>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143,862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(104,766)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39,096</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6.2</w:t>
            </w:r>
          </w:p>
        </w:tc>
        <w:tc>
          <w:tcPr>
            <w:tcW w:w="0" w:type="dxa"/>
            <w:vAlign w:val="bottom"/>
          </w:tcPr>
          <w:p>
            <w:pPr>
              <w:spacing w:after="0"/>
              <w:rPr>
                <w:sz w:val="1"/>
                <w:szCs w:val="1"/>
                <w:color w:val="auto"/>
              </w:rPr>
            </w:pPr>
          </w:p>
        </w:tc>
      </w:tr>
      <w:tr>
        <w:trPr>
          <w:trHeight w:val="153"/>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(95,320)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13,697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8.4</w:t>
            </w:r>
          </w:p>
        </w:tc>
        <w:tc>
          <w:tcPr>
            <w:tcW w:w="0" w:type="dxa"/>
            <w:vAlign w:val="bottom"/>
          </w:tcPr>
          <w:p>
            <w:pPr>
              <w:spacing w:after="0"/>
              <w:rPr>
                <w:sz w:val="1"/>
                <w:szCs w:val="1"/>
                <w:color w:val="auto"/>
              </w:rPr>
            </w:pPr>
          </w:p>
        </w:tc>
      </w:tr>
      <w:tr>
        <w:trPr>
          <w:trHeight w:val="153"/>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(65,285)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18,065</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(27,473)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31,166</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8.7</w:t>
            </w:r>
          </w:p>
        </w:tc>
        <w:tc>
          <w:tcPr>
            <w:tcW w:w="0" w:type="dxa"/>
            <w:vAlign w:val="bottom"/>
          </w:tcPr>
          <w:p>
            <w:pPr>
              <w:spacing w:after="0"/>
              <w:rPr>
                <w:sz w:val="1"/>
                <w:szCs w:val="1"/>
                <w:color w:val="auto"/>
              </w:rPr>
            </w:pPr>
          </w:p>
        </w:tc>
      </w:tr>
      <w:tr>
        <w:trPr>
          <w:trHeight w:val="153"/>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3,912</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53"/>
        </w:trPr>
        <w:tc>
          <w:tcPr>
            <w:tcW w:w="4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Non-compete agreements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0.0</w:t>
            </w:r>
          </w:p>
        </w:tc>
        <w:tc>
          <w:tcPr>
            <w:tcW w:w="0" w:type="dxa"/>
            <w:vAlign w:val="bottom"/>
          </w:tcPr>
          <w:p>
            <w:pPr>
              <w:spacing w:after="0"/>
              <w:rPr>
                <w:sz w:val="1"/>
                <w:szCs w:val="1"/>
                <w:color w:val="auto"/>
              </w:rPr>
            </w:pPr>
          </w:p>
        </w:tc>
      </w:tr>
      <w:tr>
        <w:trPr>
          <w:trHeight w:val="153"/>
        </w:trPr>
        <w:tc>
          <w:tcPr>
            <w:tcW w:w="4240" w:type="dxa"/>
            <w:vAlign w:val="bottom"/>
            <w:gridSpan w:val="2"/>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3"/>
                <w:szCs w:val="13"/>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38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589,801</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(348,927)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240,874</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9.5</w:t>
            </w:r>
          </w:p>
        </w:tc>
        <w:tc>
          <w:tcPr>
            <w:tcW w:w="0" w:type="dxa"/>
            <w:vAlign w:val="bottom"/>
          </w:tcPr>
          <w:p>
            <w:pPr>
              <w:spacing w:after="0"/>
              <w:rPr>
                <w:sz w:val="1"/>
                <w:szCs w:val="1"/>
                <w:color w:val="auto"/>
              </w:rPr>
            </w:pPr>
          </w:p>
        </w:tc>
      </w:tr>
      <w:tr>
        <w:trPr>
          <w:trHeight w:val="20"/>
        </w:trPr>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8"/>
                <w:szCs w:val="8"/>
                <w:color w:val="auto"/>
              </w:rPr>
              <w:t>(1)</w:t>
            </w:r>
          </w:p>
        </w:tc>
        <w:tc>
          <w:tcPr>
            <w:tcW w:w="38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These assets have an indefinite useful life.</w:t>
            </w: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420" w:type="dxa"/>
            <w:vAlign w:val="bottom"/>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42"/>
        </w:trPr>
        <w:tc>
          <w:tcPr>
            <w:tcW w:w="424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Amortization expense</w:t>
            </w:r>
            <w:r>
              <w:rPr>
                <w:rFonts w:ascii="Times New Roman" w:cs="Times New Roman" w:eastAsia="Times New Roman" w:hAnsi="Times New Roman"/>
                <w:sz w:val="15"/>
                <w:szCs w:val="15"/>
                <w:color w:val="auto"/>
                <w:vertAlign w:val="superscript"/>
              </w:rPr>
              <w:t>(1)</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12,083</w:t>
            </w:r>
          </w:p>
        </w:tc>
        <w:tc>
          <w:tcPr>
            <w:tcW w:w="0" w:type="dxa"/>
            <w:vAlign w:val="bottom"/>
          </w:tcPr>
          <w:p>
            <w:pPr>
              <w:spacing w:after="0"/>
              <w:rPr>
                <w:sz w:val="1"/>
                <w:szCs w:val="1"/>
                <w:color w:val="auto"/>
              </w:rPr>
            </w:pPr>
          </w:p>
        </w:tc>
      </w:tr>
      <w:tr>
        <w:trPr>
          <w:trHeight w:val="819"/>
        </w:trPr>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38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6" w:name="page17"/>
    <w:bookmarkEnd w:id="16"/>
    <w:p>
      <w:pPr>
        <w:ind w:left="8" w:right="1440" w:firstLine="208"/>
        <w:spacing w:after="0" w:line="450" w:lineRule="auto"/>
        <w:tabs>
          <w:tab w:leader="none" w:pos="432" w:val="left"/>
        </w:tabs>
        <w:numPr>
          <w:ilvl w:val="1"/>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amortization expense is $0.6 million and $0.4 million for the three months ended March 31, 2025 and 2024, respectively, related to the amortization of certain contract acquisition costs. As of March 31, 2025, there were no impairment indicators present.</w:t>
      </w:r>
    </w:p>
    <w:p>
      <w:pPr>
        <w:spacing w:after="0" w:line="274" w:lineRule="exact"/>
        <w:rPr>
          <w:rFonts w:ascii="Times New Roman" w:cs="Times New Roman" w:eastAsia="Times New Roman" w:hAnsi="Times New Roman"/>
          <w:sz w:val="16"/>
          <w:szCs w:val="16"/>
          <w:color w:val="auto"/>
          <w:vertAlign w:val="superscript"/>
        </w:rPr>
      </w:pPr>
    </w:p>
    <w:p>
      <w:pPr>
        <w:ind w:left="208" w:hanging="208"/>
        <w:spacing w:after="0"/>
        <w:tabs>
          <w:tab w:leader="none" w:pos="208"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Debt Obligations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Outstanding debt obligations consisted of the following:</w:t>
            </w: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7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280" w:type="dxa"/>
            <w:vAlign w:val="bottom"/>
          </w:tcPr>
          <w:p>
            <w:pPr>
              <w:spacing w:after="0"/>
              <w:rPr>
                <w:sz w:val="24"/>
                <w:szCs w:val="24"/>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3"/>
        </w:trPr>
        <w:tc>
          <w:tcPr>
            <w:tcW w:w="72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2024 Credit Agreement</w:t>
            </w:r>
          </w:p>
        </w:tc>
        <w:tc>
          <w:tcPr>
            <w:tcW w:w="34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Term facility - matures May 16, 2031, interest rate of 9.07% and 9.11% at March 31, 2025 and December 31, 2024, respectively</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935,537</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945,537</w:t>
            </w:r>
          </w:p>
        </w:tc>
        <w:tc>
          <w:tcPr>
            <w:tcW w:w="0" w:type="dxa"/>
            <w:vAlign w:val="bottom"/>
          </w:tcPr>
          <w:p>
            <w:pPr>
              <w:spacing w:after="0"/>
              <w:rPr>
                <w:sz w:val="1"/>
                <w:szCs w:val="1"/>
                <w:color w:val="auto"/>
              </w:rPr>
            </w:pPr>
          </w:p>
        </w:tc>
      </w:tr>
      <w:tr>
        <w:trPr>
          <w:trHeight w:val="117"/>
        </w:trPr>
        <w:tc>
          <w:tcPr>
            <w:tcW w:w="7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Revolving credit facility - $70.0 million line matures May 16, 2029, interest rate of 8.57% and 8.61% at March 31, 2025 and December 31, 2024,</w:t>
            </w:r>
          </w:p>
        </w:tc>
        <w:tc>
          <w:tcPr>
            <w:tcW w:w="340" w:type="dxa"/>
            <w:vAlign w:val="bottom"/>
            <w:shd w:val="clear" w:color="auto" w:fill="CCEEFF"/>
          </w:tcPr>
          <w:p>
            <w:pPr>
              <w:spacing w:after="0"/>
              <w:rPr>
                <w:sz w:val="10"/>
                <w:szCs w:val="10"/>
                <w:color w:val="auto"/>
              </w:rPr>
            </w:pPr>
          </w:p>
        </w:tc>
        <w:tc>
          <w:tcPr>
            <w:tcW w:w="1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0"/>
                <w:szCs w:val="10"/>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9"/>
        </w:trPr>
        <w:tc>
          <w:tcPr>
            <w:tcW w:w="7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respectively</w:t>
            </w:r>
          </w:p>
        </w:tc>
        <w:tc>
          <w:tcPr>
            <w:tcW w:w="340" w:type="dxa"/>
            <w:vAlign w:val="bottom"/>
            <w:shd w:val="clear" w:color="auto" w:fill="CCEEFF"/>
          </w:tcPr>
          <w:p>
            <w:pPr>
              <w:spacing w:after="0"/>
              <w:rPr>
                <w:sz w:val="8"/>
                <w:szCs w:val="8"/>
                <w:color w:val="auto"/>
              </w:rPr>
            </w:pPr>
          </w:p>
        </w:tc>
        <w:tc>
          <w:tcPr>
            <w:tcW w:w="1720" w:type="dxa"/>
            <w:vAlign w:val="bottom"/>
            <w:gridSpan w:val="2"/>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7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7260" w:type="dxa"/>
            <w:vAlign w:val="bottom"/>
            <w:vMerge w:val="continue"/>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2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 debt obligations</w:t>
            </w:r>
          </w:p>
        </w:tc>
        <w:tc>
          <w:tcPr>
            <w:tcW w:w="3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935,537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945,537</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34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unamortized debt discounts and deferred financing costs</w:t>
            </w: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(14,714)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(15,146)</w:t>
            </w:r>
          </w:p>
        </w:tc>
        <w:tc>
          <w:tcPr>
            <w:tcW w:w="0" w:type="dxa"/>
            <w:vAlign w:val="bottom"/>
          </w:tcPr>
          <w:p>
            <w:pPr>
              <w:spacing w:after="0"/>
              <w:rPr>
                <w:sz w:val="1"/>
                <w:szCs w:val="1"/>
                <w:color w:val="auto"/>
              </w:rPr>
            </w:pPr>
          </w:p>
        </w:tc>
      </w:tr>
      <w:tr>
        <w:trPr>
          <w:trHeight w:val="158"/>
        </w:trPr>
        <w:tc>
          <w:tcPr>
            <w:tcW w:w="7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Long-term debt, net</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918,944</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920,888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Interest Expense and Amortization of Deferred Loan Costs and Discounts</w:t>
      </w:r>
    </w:p>
    <w:p>
      <w:pPr>
        <w:spacing w:after="0" w:line="152" w:lineRule="exact"/>
        <w:rPr>
          <w:sz w:val="20"/>
          <w:szCs w:val="20"/>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Interest expense for outstanding debt, including fees for undrawn amounts and amortization of deferred financing costs and debt discounts was as follows:</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72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160" w:type="dxa"/>
            <w:vAlign w:val="bottom"/>
            <w:tcBorders>
              <w:bottom w:val="single" w:sz="8" w:color="auto"/>
            </w:tcBorders>
          </w:tcPr>
          <w:p>
            <w:pPr>
              <w:spacing w:after="0"/>
              <w:rPr>
                <w:sz w:val="13"/>
                <w:szCs w:val="13"/>
                <w:color w:val="auto"/>
              </w:rPr>
            </w:pPr>
          </w:p>
        </w:tc>
      </w:tr>
      <w:tr>
        <w:trPr>
          <w:trHeight w:val="142"/>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7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Interest expense</w:t>
            </w:r>
            <w:r>
              <w:rPr>
                <w:rFonts w:ascii="Times New Roman" w:cs="Times New Roman" w:eastAsia="Times New Roman" w:hAnsi="Times New Roman"/>
                <w:sz w:val="15"/>
                <w:szCs w:val="15"/>
                <w:color w:val="auto"/>
                <w:vertAlign w:val="superscript"/>
              </w:rPr>
              <w:t>(1),(2)</w:t>
            </w:r>
          </w:p>
        </w:tc>
        <w:tc>
          <w:tcPr>
            <w:tcW w:w="116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23,176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20,880</w:t>
            </w:r>
          </w:p>
        </w:tc>
      </w:tr>
    </w:tbl>
    <w:p>
      <w:pPr>
        <w:spacing w:after="0" w:line="158" w:lineRule="exact"/>
        <w:rPr>
          <w:sz w:val="20"/>
          <w:szCs w:val="20"/>
          <w:color w:val="auto"/>
        </w:rPr>
      </w:pPr>
    </w:p>
    <w:p>
      <w:pPr>
        <w:ind w:left="428" w:hanging="212"/>
        <w:spacing w:after="0"/>
        <w:tabs>
          <w:tab w:leader="none" w:pos="42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interest expense is $1.0 million and $1.0 million related to the accretion of contingent consideration from acquisitions for the three months ended March 31, 2025 and 2024, respectively.</w:t>
      </w:r>
    </w:p>
    <w:p>
      <w:pPr>
        <w:spacing w:after="0" w:line="104" w:lineRule="exact"/>
        <w:rPr>
          <w:rFonts w:ascii="Times New Roman" w:cs="Times New Roman" w:eastAsia="Times New Roman" w:hAnsi="Times New Roman"/>
          <w:sz w:val="16"/>
          <w:szCs w:val="16"/>
          <w:color w:val="auto"/>
          <w:vertAlign w:val="superscript"/>
        </w:rPr>
      </w:pPr>
    </w:p>
    <w:p>
      <w:pPr>
        <w:ind w:left="428" w:hanging="212"/>
        <w:spacing w:after="0"/>
        <w:tabs>
          <w:tab w:leader="none" w:pos="42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Interest expense included amortization of deferred financing costs and debt discounts of $0.4 million and $1.1 million for the three months ended March 31, 2025 and 2024, respectively.</w:t>
      </w:r>
    </w:p>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Debt Covenants</w:t>
      </w:r>
    </w:p>
    <w:p>
      <w:pPr>
        <w:spacing w:after="0" w:line="152" w:lineRule="exact"/>
        <w:rPr>
          <w:sz w:val="20"/>
          <w:szCs w:val="20"/>
          <w:color w:val="auto"/>
        </w:rPr>
      </w:pPr>
    </w:p>
    <w:p>
      <w:pPr>
        <w:ind w:left="8" w:right="160"/>
        <w:spacing w:after="0" w:line="265" w:lineRule="auto"/>
        <w:rPr>
          <w:sz w:val="20"/>
          <w:szCs w:val="20"/>
          <w:color w:val="auto"/>
        </w:rPr>
      </w:pPr>
      <w:r>
        <w:rPr>
          <w:rFonts w:ascii="Times New Roman" w:cs="Times New Roman" w:eastAsia="Times New Roman" w:hAnsi="Times New Roman"/>
          <w:sz w:val="12"/>
          <w:szCs w:val="12"/>
          <w:color w:val="auto"/>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9" w:lineRule="exact"/>
        <w:rPr>
          <w:sz w:val="20"/>
          <w:szCs w:val="20"/>
          <w:color w:val="auto"/>
        </w:rPr>
      </w:pPr>
    </w:p>
    <w:p>
      <w:pPr>
        <w:ind w:left="8" w:right="360"/>
        <w:spacing w:after="0" w:line="279"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w:t>
      </w:r>
    </w:p>
    <w:p>
      <w:pPr>
        <w:spacing w:after="0" w:line="200" w:lineRule="exact"/>
        <w:rPr>
          <w:sz w:val="20"/>
          <w:szCs w:val="20"/>
          <w:color w:val="auto"/>
        </w:rPr>
      </w:pPr>
    </w:p>
    <w:p>
      <w:pPr>
        <w:spacing w:after="0" w:line="3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9" w:right="299" w:bottom="1440" w:gutter="0" w:footer="0" w:header="0"/>
        </w:sectPr>
      </w:pPr>
    </w:p>
    <w:bookmarkStart w:id="17" w:name="page18"/>
    <w:bookmarkEnd w:id="17"/>
    <w:p>
      <w:pPr>
        <w:ind w:left="8" w:right="20"/>
        <w:spacing w:after="0" w:line="279" w:lineRule="auto"/>
        <w:rPr>
          <w:sz w:val="20"/>
          <w:szCs w:val="20"/>
          <w:color w:val="auto"/>
        </w:rPr>
      </w:pPr>
      <w:r>
        <w:rPr>
          <w:rFonts w:ascii="Times New Roman" w:cs="Times New Roman" w:eastAsia="Times New Roman" w:hAnsi="Times New Roman"/>
          <w:sz w:val="12"/>
          <w:szCs w:val="12"/>
          <w:color w:val="auto"/>
        </w:rPr>
        <w:t>ended September 30, 2024 through December 31, 2025; 2) 6.40:1.00 at each fiscal quarter ended March 31, 2026 and each fiscal quarter thereafter. As of March 31, 2025, the Company was in compliance with the covenants in the 2024 Credit Agreement.</w:t>
      </w:r>
    </w:p>
    <w:p>
      <w:pPr>
        <w:spacing w:after="0" w:line="107" w:lineRule="exact"/>
        <w:rPr>
          <w:sz w:val="20"/>
          <w:szCs w:val="20"/>
          <w:color w:val="auto"/>
        </w:rPr>
      </w:pPr>
    </w:p>
    <w:p>
      <w:pPr>
        <w:ind w:left="208" w:hanging="208"/>
        <w:spacing w:after="0"/>
        <w:tabs>
          <w:tab w:leader="none" w:pos="208"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Company's consolidated effective income tax rate for the three months ended March 31, 2025 was 21.4% compared to a consolidated effective income tax rate of 33.2% for the three months ended March 31, 2024, respectively. The effective rates differed from the statutory rate of 21.0% primarily due to an increase in the valuation allowance against certain business interest carryover deferred tax assets, and certain forecasted nondeductible expenses.</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Valuation Allowance for Deferred Income Tax Assets</w:t>
      </w:r>
    </w:p>
    <w:p>
      <w:pPr>
        <w:spacing w:after="0" w:line="152" w:lineRule="exact"/>
        <w:rPr>
          <w:sz w:val="20"/>
          <w:szCs w:val="20"/>
          <w:color w:val="auto"/>
        </w:rPr>
      </w:pPr>
    </w:p>
    <w:p>
      <w:pPr>
        <w:ind w:left="8" w:right="20"/>
        <w:spacing w:after="0" w:line="327" w:lineRule="auto"/>
        <w:rPr>
          <w:sz w:val="20"/>
          <w:szCs w:val="20"/>
          <w:color w:val="auto"/>
        </w:rPr>
      </w:pPr>
      <w:r>
        <w:rPr>
          <w:rFonts w:ascii="Times New Roman" w:cs="Times New Roman" w:eastAsia="Times New Roman" w:hAnsi="Times New Roman"/>
          <w:sz w:val="11"/>
          <w:szCs w:val="11"/>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1"/>
          <w:szCs w:val="11"/>
          <w:i w:val="1"/>
          <w:iCs w:val="1"/>
          <w:color w:val="auto"/>
        </w:rPr>
        <w:t>Income Taxes</w:t>
      </w:r>
      <w:r>
        <w:rPr>
          <w:rFonts w:ascii="Times New Roman" w:cs="Times New Roman" w:eastAsia="Times New Roman" w:hAnsi="Times New Roman"/>
          <w:sz w:val="11"/>
          <w:szCs w:val="11"/>
          <w:color w:val="auto"/>
        </w:rPr>
        <w:t>, the Company is required to provide a valuation allowance against deferred income tax assets when it is "more likely than not" that some portion or all of the deferred tax assets will not be realized.</w:t>
      </w:r>
    </w:p>
    <w:p>
      <w:pPr>
        <w:spacing w:after="0" w:line="87"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Based on management's assessment, as of March 31, 2025, the Company continues to record a full valuation allowance against non-deductible interest expense and net operating losses acquired as part of the Payslate acquisition. The Company will continue to evaluate the realizability of the net deferred tax asset on a quarterly basis and, as a result, the valuation allowance may change in future periods.</w:t>
      </w:r>
    </w:p>
    <w:p>
      <w:pPr>
        <w:spacing w:after="0" w:line="200" w:lineRule="exact"/>
        <w:rPr>
          <w:sz w:val="20"/>
          <w:szCs w:val="20"/>
          <w:color w:val="auto"/>
        </w:rPr>
      </w:pPr>
    </w:p>
    <w:p>
      <w:pPr>
        <w:spacing w:after="0" w:line="213" w:lineRule="exact"/>
        <w:rPr>
          <w:sz w:val="20"/>
          <w:szCs w:val="20"/>
          <w:color w:val="auto"/>
        </w:rPr>
      </w:pPr>
    </w:p>
    <w:p>
      <w:pPr>
        <w:ind w:left="308" w:hanging="308"/>
        <w:spacing w:after="0"/>
        <w:tabs>
          <w:tab w:leader="none" w:pos="308"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Deficit</w:t>
      </w:r>
    </w:p>
    <w:p>
      <w:pPr>
        <w:spacing w:after="0" w:line="154"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The Company is authorized to issue 100,000,000 shares of preferred stock with such designations, voting and other rights and preferences as may be determined from time to time by the Board of Directors. As of March 31, 2025 and December 31, 2024, the Company has not issued any shares of preferred stock.</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Share Repurchase Program</w:t>
      </w:r>
    </w:p>
    <w:p>
      <w:pPr>
        <w:spacing w:after="0" w:line="152"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In 2022, Priority's Board of Directors authorized a general share repurchase program under which the Company may purchase up to 2,000,000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There have been no shares repurchased under this plan since December 2022. As of March 31, 2025, the Company has purchased 1,309,374 shares for $5.8 million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029"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9"/>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11.  Stock-based Compensation</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88"/>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expense was as follows: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8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84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1,484</w:t>
            </w:r>
          </w:p>
        </w:tc>
        <w:tc>
          <w:tcPr>
            <w:tcW w:w="60" w:type="dxa"/>
            <w:vAlign w:val="bottom"/>
          </w:tcPr>
          <w:p>
            <w:pPr>
              <w:spacing w:after="0"/>
              <w:rPr>
                <w:sz w:val="12"/>
                <w:szCs w:val="12"/>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w:t>
            </w:r>
          </w:p>
        </w:tc>
      </w:tr>
      <w:tr>
        <w:trPr>
          <w:trHeight w:val="153"/>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Incentive units compensation expense</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53"/>
        </w:trPr>
        <w:tc>
          <w:tcPr>
            <w:tcW w:w="8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ESPP compensation expense</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58"/>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1,586</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1,633</w:t>
            </w:r>
          </w:p>
        </w:tc>
      </w:tr>
    </w:tbl>
    <w:p>
      <w:pPr>
        <w:spacing w:after="0" w:line="19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Income tax benefit for stock-based compensation was $0.7 million for the three months ended March 31, 2025 and was immaterial for the three months ended March 31, 2024. No stock-based compensation has been capitalized. Awards granted for the three months ended March 31, 2025 and 2024, were not material.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2018 Plan</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2025, the Company had 2,935,912 shares available for issuance under the 2018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2021 Stock Purchase Plan</w:t>
      </w:r>
    </w:p>
    <w:p>
      <w:pPr>
        <w:spacing w:after="0" w:line="15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The 2021 Stock Purchase Plan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1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2021 Stock Purchase Plan provides eligible employees the opportunity to purchase shares of the Company's Common stock at 95% of the lesser of the fair value on the first and last trading day of each offering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2025, the Company had 35,261 shares available for issuance under the 2021 Stock Purchase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Non-voting Incentive Units</w:t>
      </w:r>
    </w:p>
    <w:p>
      <w:pPr>
        <w:spacing w:after="0" w:line="15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Company issued non-voting incentive units to certain employees and partners in seven subsidiaries. These non-voting incentive units were determined to be equity and are accounted for under ASC 718 Stock Compensation. The non-voting incentive units are either fully vested when granted, or vest according to the service period and/or performance measure noted in the grant agreement. As the non-voting incentive units are vested, they are recognized as NCI to the Company, who is the majority owner of the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9" w:name="page20"/>
    <w:bookmarkEnd w:id="19"/>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1"/>
          <w:szCs w:val="11"/>
          <w:b w:val="1"/>
          <w:bCs w:val="1"/>
          <w:color w:val="auto"/>
        </w:rPr>
        <w:t>Related Party Transactions</w:t>
      </w:r>
    </w:p>
    <w:p>
      <w:pPr>
        <w:spacing w:after="0" w:line="1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2"/>
          <w:szCs w:val="12"/>
          <w:color w:val="auto"/>
        </w:rPr>
        <w:t>In February 2019, PHOT, a subsidiary of the Company, received a contribution of substantially all of the operating assets of eTab and Cumulus under asset contribution agreements. PHOT is a part of the Company's SMB reportable segment. These contributed assets were primarily composed of technology-related assets. Prior to these transactions, eTab was 80.0% owned by the Company's Chairman and Chief Executive Officer ("CEO"). No cash consideration was paid to the contributors of the eTab or Cumulus assets on the date of the transactions. As consideration for these contributed assets, the contributors were issued redeemable non-controlling preferred equity interests ("redeemable NCIs") in PHOT. Under these redeemable NCIs, the contributors were eligible to receive up to $4.5 million of profits earned by PHOT, plus a preferred yield (6.0% per year) on any undistributed preferred equity interest ("Total Preferred Equity Interest"). Once the total preferred equity interest is distributed to the holders, the redeemable NCIs cease to exist. The Company's CEO initially owned 83.3% of the redeemable NCIs, which ownership interest was subsequently reduced to 35.3% through the CEO's disposition of interests to others.</w:t>
      </w:r>
    </w:p>
    <w:p>
      <w:pPr>
        <w:spacing w:after="0" w:line="12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debt refinancing.</w:t>
      </w:r>
    </w:p>
    <w:p>
      <w:pPr>
        <w:spacing w:after="0" w:line="11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 May 2021, the Company entered into exchange agreements and completed the exchange of 1,428,358 shares of common stock and $0.8 million of cash for the Total Preferred Equity Interests. The CEO received 605,623 shares of common stock of the Company in exchange for his 35.3% interest, and the Company's Chief Operating Officer (“COO”) received 413,081 shares of common stock of the Company in exchange for her 24.1% interest.</w:t>
      </w:r>
    </w:p>
    <w:p>
      <w:pPr>
        <w:spacing w:after="0" w:line="111"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2"/>
          <w:szCs w:val="12"/>
          <w:color w:val="auto"/>
        </w:rPr>
        <w:t>On October 31, 2023, a lawsuit was filed alleging that the Board breached its fiduciary duties by approving the above mentioned exchange transaction. The Company denied any wrongdoing. The lawsuit was settled on January 30, 2024, wherein the Company agreed to unwind the exchange transaction and received previously issued shares of common stock of the Company and promissory notes for the amount of cash paid from the CEO, COO and others in exchange of the reissuance of PHOT redeemable preferred units. The returned shares of common stock of the Company are recorded as treasury stock at their closing market price as of the settlement date of January 30, 2024. The reissued PHOT redeemable preferred units are recorded as redeemable NCI at their estimated fair value as of the settlement date on the Company’s Consolidated Balance Sheets.</w:t>
      </w:r>
    </w:p>
    <w:p>
      <w:pPr>
        <w:spacing w:after="0" w:line="12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As of May 30, 2024, the Company approved redemption of PHOT redeemable preferred units for cash, common stock of the Company or a combination of both, at the sole discretion of the Company. The redeemable preferred units were accreted to their redemption value of $5.9 million as of May 30, 2024, through net loss available to common shareholders in the Company’s Statements of Operations and Comprehensive Income (Loss). The exchange value of the Company's common stock was established based on the 30-day volume weighted average close price adjusted for market illiquidity. During the quarter ended June 30, 2024, the PHOT redeemable preferred units held by the CEO were redeemed in cash for $2.1 million and the promissory notes were satisfied. During the quarter ended September 30, 2024, the PHOT redeemable preferred units held by the COO were redeemed for 408,013 shares of the Company's common stock and PHOT redeemable preferred units held by other holders were redeemed for 404,628 shares of the Company's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was no subsequent activity for the three months ended March 31, 2025.</w:t>
      </w:r>
    </w:p>
    <w:p>
      <w:pPr>
        <w:spacing w:after="0" w:line="14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13.</w:t>
      </w:r>
      <w:r>
        <w:rPr>
          <w:sz w:val="20"/>
          <w:szCs w:val="20"/>
          <w:color w:val="auto"/>
        </w:rPr>
        <w:tab/>
      </w:r>
      <w:r>
        <w:rPr>
          <w:rFonts w:ascii="Times New Roman" w:cs="Times New Roman" w:eastAsia="Times New Roman" w:hAnsi="Times New Roman"/>
          <w:sz w:val="11"/>
          <w:szCs w:val="11"/>
          <w:b w:val="1"/>
          <w:bCs w:val="1"/>
          <w:color w:val="auto"/>
        </w:rPr>
        <w:t>Commitments and Contingencies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Minimum Annual Commitments with Third-party Processors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has multi-year agreements with third parties to provide certain payment processing services to the Company. The Company pays processing fees under these agreements. Based on existing contracts in place, the Company is committed to pay minimum processing fees under these agreements of approximately $23.1 million in 2025 and $24.6 million in 2026.</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i w:val="1"/>
          <w:iCs w:val="1"/>
          <w:color w:val="auto"/>
        </w:rPr>
        <w:t>Other Commitments</w:t>
      </w:r>
    </w:p>
    <w:p>
      <w:pPr>
        <w:spacing w:after="0" w:line="152"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As of March 31, 2025 and December 31, 2024, the Company had a capital contribution commitment of $10.7 million and $12.6 million, respectively to fund operations of certain subsidiaries. The Company is obligated to make the contributions within 10 business days of receiving notice for such contribution from the subsidiary.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9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Contingent/Deferred Consideration</w:t>
            </w:r>
          </w:p>
        </w:tc>
        <w:tc>
          <w:tcPr>
            <w:tcW w:w="10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88"/>
        </w:trPr>
        <w:tc>
          <w:tcPr>
            <w:tcW w:w="8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balance of the Company's contingent/deferred consideration liabilities related to completed acquisitions:</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5"/>
        </w:trPr>
        <w:tc>
          <w:tcPr>
            <w:tcW w:w="89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Contingent/Deferred Consideration Liabilities</w:t>
            </w:r>
          </w:p>
        </w:tc>
      </w:tr>
      <w:tr>
        <w:trPr>
          <w:trHeight w:val="142"/>
        </w:trPr>
        <w:tc>
          <w:tcPr>
            <w:tcW w:w="8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2024</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10,685</w:t>
            </w:r>
          </w:p>
        </w:tc>
      </w:tr>
      <w:tr>
        <w:trPr>
          <w:trHeight w:val="133"/>
        </w:trPr>
        <w:tc>
          <w:tcPr>
            <w:tcW w:w="890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auto"/>
              </w:rPr>
              <w:t xml:space="preserve">Addition of deferred consideration (Related to acquisition, see </w:t>
            </w:r>
            <w:r>
              <w:rPr>
                <w:rFonts w:ascii="Times New Roman" w:cs="Times New Roman" w:eastAsia="Times New Roman" w:hAnsi="Times New Roman"/>
                <w:sz w:val="12"/>
                <w:szCs w:val="12"/>
                <w:color w:val="0000FF"/>
              </w:rPr>
              <w:t>Note 2</w:t>
            </w:r>
            <w:r>
              <w:rPr>
                <w:rFonts w:ascii="Times New Roman" w:cs="Times New Roman" w:eastAsia="Times New Roman" w:hAnsi="Times New Roman"/>
                <w:sz w:val="12"/>
                <w:szCs w:val="12"/>
                <w:color w:val="auto"/>
              </w:rPr>
              <w:t>)</w:t>
            </w:r>
          </w:p>
        </w:tc>
        <w:tc>
          <w:tcPr>
            <w:tcW w:w="1040" w:type="dxa"/>
            <w:vAlign w:val="bottom"/>
          </w:tcPr>
          <w:p>
            <w:pPr>
              <w:spacing w:after="0"/>
              <w:rPr>
                <w:sz w:val="11"/>
                <w:szCs w:val="11"/>
                <w:color w:val="auto"/>
              </w:rPr>
            </w:pPr>
          </w:p>
        </w:tc>
        <w:tc>
          <w:tcPr>
            <w:tcW w:w="13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6,500</w:t>
            </w:r>
          </w:p>
        </w:tc>
      </w:tr>
      <w:tr>
        <w:trPr>
          <w:trHeight w:val="153"/>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Accretion of contingent consideration</w:t>
            </w:r>
          </w:p>
        </w:tc>
        <w:tc>
          <w:tcPr>
            <w:tcW w:w="320" w:type="dxa"/>
            <w:vAlign w:val="bottom"/>
            <w:tcBorders>
              <w:top w:val="single" w:sz="8" w:color="0000FF"/>
            </w:tcBorders>
            <w:shd w:val="clear" w:color="auto" w:fill="CCEEFF"/>
          </w:tcPr>
          <w:p>
            <w:pPr>
              <w:spacing w:after="0"/>
              <w:rPr>
                <w:sz w:val="13"/>
                <w:szCs w:val="13"/>
                <w:color w:val="auto"/>
              </w:rPr>
            </w:pPr>
          </w:p>
        </w:tc>
        <w:tc>
          <w:tcPr>
            <w:tcW w:w="5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w:t>
            </w:r>
          </w:p>
        </w:tc>
      </w:tr>
      <w:tr>
        <w:trPr>
          <w:trHeight w:val="153"/>
        </w:trPr>
        <w:tc>
          <w:tcPr>
            <w:tcW w:w="890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w:t>
            </w:r>
          </w:p>
        </w:tc>
        <w:tc>
          <w:tcPr>
            <w:tcW w:w="10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w:t>
            </w:r>
          </w:p>
        </w:tc>
      </w:tr>
      <w:tr>
        <w:trPr>
          <w:trHeight w:val="142"/>
        </w:trPr>
        <w:tc>
          <w:tcPr>
            <w:tcW w:w="8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17,791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Legal Proceedings</w:t>
      </w:r>
    </w:p>
    <w:p>
      <w:pPr>
        <w:spacing w:after="0" w:line="15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2"/>
          <w:szCs w:val="12"/>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2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The Company is a party in a case filed on October 11, 2023 in the United States District Court of Northern District of California (the “Complaint”). The Complaint is a putative class action against The Credit Wholesale Company, Inc. (“Wholesale”), Priority Technology Holdings, Inc., Priority Payment Systems (“PPS”), LLC and Wells Fargo Bank, N.A. (“Wells Fargo”). The Complaint alleges that Wholesale as an agent of Priority, PPS and Wells Fargo made non-consensual recordation of telephonic communications with California businesses in violation of California Invasion of Privacy Act (the “Act”). The Complaint seeks to certify a class of affected businesses and an award of $5,000 per violation of the Act. On January 24, 2025, the court preliminarily approved the settlement agreement entered into by the parties wherein defendants agree to pay $19.5 million to settle this litigation. Any contribution toward the settlement by the Company will be nominal, and will not have any material impact on the Company's results of operations, financial conditions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Concentration of Risks</w:t>
      </w:r>
    </w:p>
    <w:p>
      <w:pPr>
        <w:spacing w:after="0" w:line="15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While providing SMB Acquiring, B2B Payables, and Enterprise Payments processing services, Priority manages funds that are held on behalf of its customers. Because Priority is not a member bank, these customer funds are held in bank accounts maintained with member banks pursuant to sponsorship agreements which require, among other things, that the Company abide by the by-laws and regulations of the card associations and MTL regulators.</w:t>
      </w:r>
    </w:p>
    <w:p>
      <w:pPr>
        <w:spacing w:after="0" w:line="11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 xml:space="preserve">As of March 31, 2025, the Company's customer account balances of $964.2 million are maintained in accounts with certain FIs which are eligible to pass-through insurance subject to FDIC rules and regulations (refer to </w:t>
      </w:r>
      <w:r>
        <w:rPr>
          <w:rFonts w:ascii="Times New Roman" w:cs="Times New Roman" w:eastAsia="Times New Roman" w:hAnsi="Times New Roman"/>
          <w:sz w:val="12"/>
          <w:szCs w:val="12"/>
          <w:u w:val="single" w:color="auto"/>
          <w:color w:val="0000FF"/>
        </w:rPr>
        <w:t>Note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Settlement Assets and Customer/Subscriber Account Balances and Related Obligations</w:t>
      </w:r>
      <w:r>
        <w:rPr>
          <w:rFonts w:ascii="Times New Roman" w:cs="Times New Roman" w:eastAsia="Times New Roman" w:hAnsi="Times New Roman"/>
          <w:sz w:val="12"/>
          <w:szCs w:val="12"/>
          <w:color w:val="000000"/>
        </w:rPr>
        <w:t>). A majority of the Company's cash, restricted cash and off-balance sheet settlement funds are held in certain FIs, substantially all of which is in</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excess of FDIC limits. The Company does not believe it is exposed to any significant credit risk from these transactions.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21" w:name="page22"/>
    <w:bookmarkEnd w:id="21"/>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14.</w:t>
      </w:r>
      <w:r>
        <w:rPr>
          <w:sz w:val="20"/>
          <w:szCs w:val="20"/>
          <w:color w:val="auto"/>
        </w:rPr>
        <w:tab/>
      </w:r>
      <w:r>
        <w:rPr>
          <w:rFonts w:ascii="Times New Roman" w:cs="Times New Roman" w:eastAsia="Times New Roman" w:hAnsi="Times New Roman"/>
          <w:sz w:val="11"/>
          <w:szCs w:val="11"/>
          <w:b w:val="1"/>
          <w:bCs w:val="1"/>
          <w:color w:val="auto"/>
        </w:rPr>
        <w:t>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Measurements</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The Company's contingent consideration liabilities derived from business combinations are classified within Level 3 of the fair value hierarchy due to the uncertainty of the fair value measurement created by the absence of quoted market prices, the inherent lack of liquidity and unobservable inputs used to measure fair value which require judgement. The Company uses valuation techniques including discounted cash flow analysis based on cash flow projections and Monte Carlo simulations to estimate fair value based on projection period and assumed growth rates. A change in inputs in the valuation techniques used might result in a significantly higher or lower fair value measurement than what is reported. The current portion of contingent consideration is included in accounts payable and accrued expenses on the Company's Unaudited Consolidated Balance Sheets and the noncurrent portion of contingent consideration is included in other noncurrent liabilities on the Company's Unaudited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deferred consideration derived from an acquisition is currently recorded at contractual amount and the fair valuation of the same is in process. See </w:t>
      </w:r>
      <w:r>
        <w:rPr>
          <w:rFonts w:ascii="Times New Roman" w:cs="Times New Roman" w:eastAsia="Times New Roman" w:hAnsi="Times New Roman"/>
          <w:sz w:val="12"/>
          <w:szCs w:val="12"/>
          <w:u w:val="single" w:color="auto"/>
          <w:color w:val="0000FF"/>
        </w:rPr>
        <w:t>Note 2</w:t>
      </w:r>
      <w:r>
        <w:rPr>
          <w:rFonts w:ascii="Times New Roman" w:cs="Times New Roman" w:eastAsia="Times New Roman" w:hAnsi="Times New Roman"/>
          <w:sz w:val="12"/>
          <w:szCs w:val="12"/>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Liabilities measured at fair value on a recurring basis consisted of the following:</w:t>
            </w:r>
          </w:p>
        </w:tc>
        <w:tc>
          <w:tcPr>
            <w:tcW w:w="2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315"/>
        </w:trPr>
        <w:tc>
          <w:tcPr>
            <w:tcW w:w="50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Fair Value Hierarchy</w:t>
            </w:r>
          </w:p>
        </w:tc>
        <w:tc>
          <w:tcPr>
            <w:tcW w:w="34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280" w:type="dxa"/>
            <w:vAlign w:val="bottom"/>
          </w:tcPr>
          <w:p>
            <w:pPr>
              <w:spacing w:after="0"/>
              <w:rPr>
                <w:sz w:val="24"/>
                <w:szCs w:val="24"/>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/deferred consideration, current portion</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Level 3</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3,774</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3,891</w:t>
            </w:r>
          </w:p>
        </w:tc>
      </w:tr>
      <w:tr>
        <w:trPr>
          <w:trHeight w:val="153"/>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Contingent/deferred consideration, noncurrent portion</w:t>
            </w:r>
          </w:p>
        </w:tc>
        <w:tc>
          <w:tcPr>
            <w:tcW w:w="222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8"/>
              </w:rPr>
              <w:t>Level 3</w:t>
            </w: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14,017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6,794</w:t>
            </w:r>
          </w:p>
        </w:tc>
      </w:tr>
      <w:tr>
        <w:trPr>
          <w:trHeight w:val="158"/>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contingent/deferred consideration</w:t>
            </w:r>
          </w:p>
        </w:tc>
        <w:tc>
          <w:tcPr>
            <w:tcW w:w="2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17,791</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10,685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three months ended March 31, 2025, there were no transfers into, out of, or between levels of the fair value hierarchy.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Disclosures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Notes Receivable</w:t>
      </w:r>
    </w:p>
    <w:p>
      <w:pPr>
        <w:spacing w:after="0" w:line="15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$8.7 million and $8.6 million at March 31, 2025 and December 31, 2024, respectively. On the fair value hierarchy, Level 3 inputs are used to estimate the fair value of these notes receivable.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 Obligations</w:t>
      </w:r>
    </w:p>
    <w:p>
      <w:pPr>
        <w:spacing w:after="0" w:line="15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Outstanding debt obligations (see </w:t>
      </w:r>
      <w:r>
        <w:rPr>
          <w:rFonts w:ascii="Times New Roman" w:cs="Times New Roman" w:eastAsia="Times New Roman" w:hAnsi="Times New Roman"/>
          <w:sz w:val="12"/>
          <w:szCs w:val="12"/>
          <w:u w:val="single" w:color="auto"/>
          <w:color w:val="0000FF"/>
        </w:rPr>
        <w:t>Note 8. Debt Obligations</w:t>
      </w:r>
      <w:r>
        <w:rPr>
          <w:rFonts w:ascii="Times New Roman" w:cs="Times New Roman" w:eastAsia="Times New Roman" w:hAnsi="Times New Roman"/>
          <w:sz w:val="12"/>
          <w:szCs w:val="12"/>
          <w:color w:val="auto"/>
        </w:rPr>
        <w:t>) are reflected in the Company's Unaudited Consolidated Balance Sheets at carrying value since the Company did not elect to remeasure debt obligations to fair value at the end of each reporting period.</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fair value of the term facility was estimated to be $935.5 million and $944.4 million at March 31, 2025 and December 31, 2024, respectively, and was estimated using binding and non-binding quoted prices in an active secondary market, which considers the credit risk and market related conditions, and is within Level 2 of the fair value hierarchy.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31" w:right="299" w:bottom="1440" w:gutter="0" w:footer="0" w:header="0"/>
        </w:sectPr>
      </w:pPr>
    </w:p>
    <w:bookmarkStart w:id="22" w:name="page23"/>
    <w:bookmarkEnd w:id="22"/>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15.</w:t>
        <w:tab/>
        <w:t>Segment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three reportable segments included SMB Payments, B2B Payments and Enterprise Payments:</w:t>
      </w:r>
    </w:p>
    <w:p>
      <w:pPr>
        <w:spacing w:after="0" w:line="148" w:lineRule="exact"/>
        <w:rPr>
          <w:sz w:val="20"/>
          <w:szCs w:val="20"/>
          <w:color w:val="auto"/>
        </w:rPr>
      </w:pPr>
    </w:p>
    <w:p>
      <w:pPr>
        <w:ind w:left="420" w:right="480" w:hanging="212"/>
        <w:spacing w:after="0" w:line="283" w:lineRule="auto"/>
        <w:tabs>
          <w:tab w:leader="none" w:pos="417" w:val="left"/>
        </w:tabs>
        <w:numPr>
          <w:ilvl w:val="0"/>
          <w:numId w:val="14"/>
        </w:numPr>
        <w:rPr>
          <w:rFonts w:ascii="Times New Roman" w:cs="Times New Roman" w:eastAsia="Times New Roman" w:hAnsi="Times New Roman"/>
          <w:sz w:val="12"/>
          <w:szCs w:val="12"/>
          <w:i w:val="1"/>
          <w:iCs w:val="1"/>
          <w:color w:val="212529"/>
          <w:strike w:val="1"/>
        </w:rPr>
      </w:pPr>
      <w:r>
        <w:rPr>
          <w:rFonts w:ascii="Times New Roman" w:cs="Times New Roman" w:eastAsia="Times New Roman" w:hAnsi="Times New Roman"/>
          <w:sz w:val="12"/>
          <w:szCs w:val="12"/>
          <w:i w:val="1"/>
          <w:iCs w:val="1"/>
          <w:color w:val="auto"/>
        </w:rPr>
        <w:t>SMB Payments</w:t>
      </w:r>
      <w:r>
        <w:rPr>
          <w:rFonts w:ascii="Times New Roman" w:cs="Times New Roman" w:eastAsia="Times New Roman" w:hAnsi="Times New Roman"/>
          <w:sz w:val="12"/>
          <w:szCs w:val="12"/>
          <w:color w:val="auto"/>
        </w:rPr>
        <w:t>: Provides full-service acquiring and payment-enabled solutions for B2C transactions, leveraging Priority's proprietary software platform, distributed through ISO, direct sales and vertically focused ISV</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channels.</w:t>
      </w:r>
    </w:p>
    <w:p>
      <w:pPr>
        <w:spacing w:after="0" w:line="106" w:lineRule="exact"/>
        <w:rPr>
          <w:rFonts w:ascii="Times New Roman" w:cs="Times New Roman" w:eastAsia="Times New Roman" w:hAnsi="Times New Roman"/>
          <w:sz w:val="12"/>
          <w:szCs w:val="12"/>
          <w:i w:val="1"/>
          <w:iCs w:val="1"/>
          <w:color w:val="212529"/>
          <w:strike w:val="1"/>
        </w:rPr>
      </w:pPr>
    </w:p>
    <w:p>
      <w:pPr>
        <w:ind w:left="420" w:right="100" w:hanging="212"/>
        <w:spacing w:after="0" w:line="283"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B2B Payments</w:t>
      </w:r>
      <w:r>
        <w:rPr>
          <w:rFonts w:ascii="Times New Roman" w:cs="Times New Roman" w:eastAsia="Times New Roman" w:hAnsi="Times New Roman"/>
          <w:sz w:val="12"/>
          <w:szCs w:val="12"/>
          <w:color w:val="auto"/>
        </w:rPr>
        <w:t>: Provides market-leading AP automation solutions to corporations, software partners and industry leading FIs (including Citibank, Visa and Mastercard) in addition to improving cash flows by providing instant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access to working capital.</w:t>
      </w:r>
    </w:p>
    <w:p>
      <w:pPr>
        <w:spacing w:after="0" w:line="10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Enterprise Payments</w:t>
      </w:r>
      <w:r>
        <w:rPr>
          <w:rFonts w:ascii="Times New Roman" w:cs="Times New Roman" w:eastAsia="Times New Roman" w:hAnsi="Times New Roman"/>
          <w:sz w:val="12"/>
          <w:szCs w:val="12"/>
          <w:color w:val="auto"/>
        </w:rPr>
        <w:t>: Provides embedded finance and BaaS solutions to customers to modernize legacy platforms and accelerate software partners' strategies to monetize payments.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Corporate includes costs of corporate functions and shared services not allocated to our reportable segments.</w:t>
      </w:r>
    </w:p>
    <w:p>
      <w:pPr>
        <w:spacing w:after="0" w:line="1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Company's chief operating decision makers ("CODM") are our CEO and CFO. Historically, the CODM used operating income (loss) as the measure of segment profit or loss to allocate resources. However, during the quarter ended June 30, 2024, the segment performance measure was updated to adjusted earnings before interest expense, income tax and depreciation and amortization expenses ("Adjusted EBITDA") to have consistent measure of results across the organization.</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Adjusted EBITDA represents EBITDA (i.e. earnings before interest, income tax, and depreciation and amortization expenses) adjusted for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level assets information is not provided or subject to review by the CODM and therefore not provided.</w:t>
      </w:r>
    </w:p>
    <w:p>
      <w:pPr>
        <w:spacing w:after="0" w:line="150"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Due to the recent acquisitions, growth, implementation of a shared services model and management of a single unified commerce engine across our payments infrastructure, the costs of operating overhead and shared services became less identifiable at the segment level. Therefore, the process of review of the CODM was updated during the quarter ended June 30, 2024. Operating overhead and shared costs are managed centrally and included in the corporate segment. All comparative periods have been recasted to reflect this update.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on reportable segments and reconciliations to income before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59"/>
        </w:trPr>
        <w:tc>
          <w:tcPr>
            <w:tcW w:w="5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60" w:type="dxa"/>
            <w:vAlign w:val="bottom"/>
          </w:tcPr>
          <w:p>
            <w:pPr>
              <w:spacing w:after="0"/>
              <w:rPr>
                <w:sz w:val="9"/>
                <w:szCs w:val="9"/>
                <w:color w:val="auto"/>
              </w:rPr>
            </w:pPr>
          </w:p>
        </w:tc>
        <w:tc>
          <w:tcPr>
            <w:tcW w:w="1220" w:type="dxa"/>
            <w:vAlign w:val="bottom"/>
            <w:gridSpan w:val="2"/>
          </w:tcPr>
          <w:p>
            <w:pPr>
              <w:jc w:val="center"/>
              <w:ind w:right="32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0" w:type="dxa"/>
            <w:vAlign w:val="bottom"/>
          </w:tcPr>
          <w:p>
            <w:pPr>
              <w:spacing w:after="0"/>
              <w:rPr>
                <w:sz w:val="9"/>
                <w:szCs w:val="9"/>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20" w:type="dxa"/>
            <w:vAlign w:val="bottom"/>
          </w:tcPr>
          <w:p>
            <w:pPr>
              <w:spacing w:after="0"/>
              <w:rPr>
                <w:sz w:val="9"/>
                <w:szCs w:val="9"/>
                <w:color w:val="auto"/>
              </w:rPr>
            </w:pPr>
          </w:p>
        </w:tc>
        <w:tc>
          <w:tcPr>
            <w:tcW w:w="108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2"/>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151,690</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23,918</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50,088</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225,696</w:t>
            </w:r>
          </w:p>
        </w:tc>
        <w:tc>
          <w:tcPr>
            <w:tcW w:w="0" w:type="dxa"/>
            <w:vAlign w:val="bottom"/>
          </w:tcPr>
          <w:p>
            <w:pPr>
              <w:spacing w:after="0"/>
              <w:rPr>
                <w:sz w:val="1"/>
                <w:szCs w:val="1"/>
                <w:color w:val="auto"/>
              </w:rPr>
            </w:pP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revenues (elimination)</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0" w:type="dxa"/>
            <w:vAlign w:val="bottom"/>
          </w:tcPr>
          <w:p>
            <w:pPr>
              <w:spacing w:after="0"/>
              <w:rPr>
                <w:sz w:val="1"/>
                <w:szCs w:val="1"/>
                <w:color w:val="auto"/>
              </w:rPr>
            </w:pPr>
          </w:p>
        </w:tc>
      </w:tr>
      <w:tr>
        <w:trPr>
          <w:trHeight w:val="142"/>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151,241</w:t>
            </w: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23,594</w:t>
            </w: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49,795</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224,630</w:t>
            </w:r>
          </w:p>
        </w:tc>
        <w:tc>
          <w:tcPr>
            <w:tcW w:w="0" w:type="dxa"/>
            <w:vAlign w:val="bottom"/>
          </w:tcPr>
          <w:p>
            <w:pPr>
              <w:spacing w:after="0"/>
              <w:rPr>
                <w:sz w:val="1"/>
                <w:szCs w:val="1"/>
                <w:color w:val="auto"/>
              </w:rPr>
            </w:pPr>
          </w:p>
        </w:tc>
      </w:tr>
      <w:tr>
        <w:trPr>
          <w:trHeight w:val="153"/>
        </w:trPr>
        <w:tc>
          <w:tcPr>
            <w:tcW w:w="544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Less: Cost of services (excludes depreciation and amortization)</w:t>
            </w:r>
            <w:r>
              <w:rPr>
                <w:rFonts w:ascii="Times New Roman" w:cs="Times New Roman" w:eastAsia="Times New Roman" w:hAnsi="Times New Roman"/>
                <w:sz w:val="15"/>
                <w:szCs w:val="15"/>
                <w:color w:val="auto"/>
                <w:vertAlign w:val="superscript"/>
              </w:rPr>
              <w:t>1</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(118,572)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Less: Other operating expenses </w:t>
            </w:r>
            <w:r>
              <w:rPr>
                <w:rFonts w:ascii="Times New Roman" w:cs="Times New Roman" w:eastAsia="Times New Roman" w:hAnsi="Times New Roman"/>
                <w:sz w:val="15"/>
                <w:szCs w:val="15"/>
                <w:color w:val="auto"/>
                <w:vertAlign w:val="superscript"/>
              </w:rPr>
              <w:t>1,2</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25,705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42,442</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71,663</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66610" cy="97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66610" cy="97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66610" cy="97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97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29209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9209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34"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55" w:lineRule="exact"/>
        <w:rPr>
          <w:rFonts w:ascii="Times New Roman" w:cs="Times New Roman" w:eastAsia="Times New Roman" w:hAnsi="Times New Roman"/>
          <w:sz w:val="16"/>
          <w:szCs w:val="16"/>
          <w:color w:val="auto"/>
          <w:vertAlign w:val="superscript"/>
        </w:rPr>
      </w:pPr>
    </w:p>
    <w:p>
      <w:pPr>
        <w:ind w:left="420" w:hanging="212"/>
        <w:spacing w:after="0"/>
        <w:tabs>
          <w:tab w:leader="none" w:pos="420" w:val="left"/>
        </w:tabs>
        <w:numPr>
          <w:ilvl w:val="0"/>
          <w:numId w:val="1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Other segment items for each reportable segment include other income, net, intersegment revenue and stock based compensation expense.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014" w:hanging="1014"/>
        <w:spacing w:after="0"/>
        <w:tabs>
          <w:tab w:leader="none" w:pos="1014"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71,663</w:t>
      </w:r>
    </w:p>
    <w:p>
      <w:pPr>
        <w:spacing w:after="0" w:line="1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(19,303)</w:t>
      </w:r>
    </w:p>
    <w:p>
      <w:pPr>
        <w:spacing w:after="0" w:line="26"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(1,066)</w:t>
      </w:r>
    </w:p>
    <w:p>
      <w:pPr>
        <w:spacing w:after="0" w:line="2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(13,777)</w:t>
      </w:r>
    </w:p>
    <w:p>
      <w:pPr>
        <w:spacing w:after="0" w:line="2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(23,176)</w:t>
      </w:r>
    </w:p>
    <w:p>
      <w:pPr>
        <w:spacing w:after="0" w:line="26" w:lineRule="exact"/>
        <w:rPr>
          <w:rFonts w:ascii="Times New Roman" w:cs="Times New Roman" w:eastAsia="Times New Roman" w:hAnsi="Times New Roman"/>
          <w:sz w:val="12"/>
          <w:szCs w:val="12"/>
          <w:color w:val="auto"/>
        </w:rPr>
      </w:pPr>
    </w:p>
    <w:p>
      <w:pPr>
        <w:ind w:left="11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(38)</w:t>
      </w:r>
    </w:p>
    <w:p>
      <w:pPr>
        <w:spacing w:after="0" w:line="15"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(2,199)</w:t>
      </w:r>
    </w:p>
    <w:p>
      <w:pPr>
        <w:spacing w:after="0" w:line="26"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17145</wp:posOffset>
            </wp:positionV>
            <wp:extent cx="18288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8800" cy="5715"/>
                    </a:xfrm>
                    <a:prstGeom prst="rect">
                      <a:avLst/>
                    </a:prstGeom>
                    <a:noFill/>
                  </pic:spPr>
                </pic:pic>
              </a:graphicData>
            </a:graphic>
          </wp:anchor>
        </w:drawing>
      </w:r>
    </w:p>
    <w:p>
      <w:pPr>
        <w:spacing w:after="0" w:line="10" w:lineRule="exact"/>
        <w:rPr>
          <w:sz w:val="20"/>
          <w:szCs w:val="20"/>
          <w:color w:val="auto"/>
        </w:rPr>
      </w:pPr>
    </w:p>
    <w:p>
      <w:pPr>
        <w:ind w:left="1014" w:hanging="1014"/>
        <w:spacing w:after="0"/>
        <w:tabs>
          <w:tab w:leader="none" w:pos="1014"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10,518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8915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9154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8915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91540" cy="5715"/>
                    </a:xfrm>
                    <a:prstGeom prst="rect">
                      <a:avLst/>
                    </a:prstGeom>
                    <a:noFill/>
                  </pic:spPr>
                </pic:pic>
              </a:graphicData>
            </a:graphic>
          </wp:anchor>
        </w:drawing>
      </w:r>
    </w:p>
    <w:p>
      <w:pPr>
        <w:spacing w:after="0" w:line="825" w:lineRule="exact"/>
        <w:rPr>
          <w:sz w:val="20"/>
          <w:szCs w:val="20"/>
          <w:color w:val="auto"/>
        </w:rPr>
      </w:pPr>
    </w:p>
    <w:p>
      <w:pPr>
        <w:sectPr>
          <w:pgSz w:w="11900" w:h="16838" w:orient="portrait"/>
          <w:cols w:equalWidth="0" w:num="2">
            <w:col w:w="9166" w:space="720"/>
            <w:col w:w="1414"/>
          </w:cols>
          <w:pgMar w:left="300" w:top="1052" w:right="299" w:bottom="1440" w:gutter="0" w:footer="0" w:header="0"/>
          <w:type w:val="continuous"/>
        </w:sectPr>
      </w:pPr>
    </w:p>
    <w:tbl>
      <w:tblPr>
        <w:tblLayout w:type="fixed"/>
        <w:tblInd w:w="200" w:type="dxa"/>
        <w:tblCellMar>
          <w:top w:w="0" w:type="dxa"/>
          <w:left w:w="0" w:type="dxa"/>
          <w:bottom w:w="0" w:type="dxa"/>
          <w:right w:w="0" w:type="dxa"/>
        </w:tblCellMar>
      </w:tblPr>
      <w:tr>
        <w:trPr>
          <w:trHeight w:val="204"/>
        </w:trPr>
        <w:tc>
          <w:tcPr>
            <w:tcW w:w="7180" w:type="dxa"/>
            <w:vAlign w:val="bottom"/>
            <w:gridSpan w:val="2"/>
          </w:tcPr>
          <w:p>
            <w:pPr>
              <w:spacing w:after="0"/>
              <w:rPr>
                <w:sz w:val="20"/>
                <w:szCs w:val="20"/>
                <w:color w:val="auto"/>
              </w:rPr>
            </w:pPr>
            <w:r>
              <w:rPr>
                <w:rFonts w:ascii="Times New Roman" w:cs="Times New Roman" w:eastAsia="Times New Roman" w:hAnsi="Times New Roman"/>
                <w:sz w:val="15"/>
                <w:szCs w:val="15"/>
                <w:color w:val="auto"/>
                <w:vertAlign w:val="superscript"/>
              </w:rPr>
              <w:t>(4)</w:t>
            </w:r>
            <w:r>
              <w:rPr>
                <w:rFonts w:ascii="Times New Roman" w:cs="Times New Roman" w:eastAsia="Times New Roman" w:hAnsi="Times New Roman"/>
                <w:sz w:val="12"/>
                <w:szCs w:val="12"/>
                <w:color w:val="auto"/>
              </w:rPr>
              <w:t xml:space="preserve">   Adjustment for corporate items include:</w:t>
            </w: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8"/>
        </w:trPr>
        <w:tc>
          <w:tcPr>
            <w:tcW w:w="1080" w:type="dxa"/>
            <w:vAlign w:val="bottom"/>
          </w:tcPr>
          <w:p>
            <w:pPr>
              <w:spacing w:after="0"/>
              <w:rPr>
                <w:sz w:val="17"/>
                <w:szCs w:val="17"/>
                <w:color w:val="auto"/>
              </w:rPr>
            </w:pPr>
          </w:p>
        </w:tc>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2025</w:t>
            </w:r>
          </w:p>
        </w:tc>
      </w:tr>
      <w:tr>
        <w:trPr>
          <w:trHeight w:val="142"/>
        </w:trPr>
        <w:tc>
          <w:tcPr>
            <w:tcW w:w="1080" w:type="dxa"/>
            <w:vAlign w:val="bottom"/>
          </w:tcPr>
          <w:p>
            <w:pPr>
              <w:spacing w:after="0"/>
              <w:rPr>
                <w:sz w:val="12"/>
                <w:szCs w:val="12"/>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80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w:t>
            </w:r>
          </w:p>
        </w:tc>
      </w:tr>
      <w:tr>
        <w:trPr>
          <w:trHeight w:val="153"/>
        </w:trPr>
        <w:tc>
          <w:tcPr>
            <w:tcW w:w="1080" w:type="dxa"/>
            <w:vAlign w:val="bottom"/>
          </w:tcPr>
          <w:p>
            <w:pPr>
              <w:spacing w:after="0"/>
              <w:rPr>
                <w:sz w:val="13"/>
                <w:szCs w:val="13"/>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operating expenses</w:t>
            </w:r>
          </w:p>
        </w:tc>
        <w:tc>
          <w:tcPr>
            <w:tcW w:w="8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(24,125)</w:t>
            </w:r>
          </w:p>
        </w:tc>
      </w:tr>
      <w:tr>
        <w:trPr>
          <w:trHeight w:val="153"/>
        </w:trPr>
        <w:tc>
          <w:tcPr>
            <w:tcW w:w="1080" w:type="dxa"/>
            <w:vAlign w:val="bottom"/>
          </w:tcPr>
          <w:p>
            <w:pPr>
              <w:spacing w:after="0"/>
              <w:rPr>
                <w:sz w:val="13"/>
                <w:szCs w:val="13"/>
                <w:color w:val="auto"/>
              </w:rPr>
            </w:pPr>
          </w:p>
        </w:tc>
        <w:tc>
          <w:tcPr>
            <w:tcW w:w="61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80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3,757</w:t>
            </w:r>
          </w:p>
        </w:tc>
      </w:tr>
      <w:tr>
        <w:trPr>
          <w:trHeight w:val="142"/>
        </w:trPr>
        <w:tc>
          <w:tcPr>
            <w:tcW w:w="10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(19,303)</w:t>
            </w:r>
          </w:p>
        </w:tc>
      </w:tr>
      <w:tr>
        <w:trPr>
          <w:trHeight w:val="20"/>
        </w:trPr>
        <w:tc>
          <w:tcPr>
            <w:tcW w:w="10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 based compensation expense, and selling general and administrative (non-recurring expense)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80" w:type="dxa"/>
            <w:vAlign w:val="bottom"/>
            <w:gridSpan w:val="5"/>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Other specified segment disclosure</w:t>
            </w: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3580" w:type="dxa"/>
            <w:vAlign w:val="bottom"/>
            <w:tcBorders>
              <w:bottom w:val="single" w:sz="8" w:color="auto"/>
            </w:tcBorders>
            <w:gridSpan w:val="5"/>
            <w:shd w:val="clear" w:color="auto" w:fill="CCEEFF"/>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2025</w:t>
            </w:r>
          </w:p>
        </w:tc>
        <w:tc>
          <w:tcPr>
            <w:tcW w:w="4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400" w:type="dxa"/>
            <w:vAlign w:val="bottom"/>
          </w:tcPr>
          <w:p>
            <w:pPr>
              <w:spacing w:after="0"/>
              <w:rPr>
                <w:sz w:val="9"/>
                <w:szCs w:val="9"/>
                <w:color w:val="auto"/>
              </w:rPr>
            </w:pPr>
          </w:p>
        </w:tc>
        <w:tc>
          <w:tcPr>
            <w:tcW w:w="1580" w:type="dxa"/>
            <w:vAlign w:val="bottom"/>
            <w:gridSpan w:val="2"/>
          </w:tcPr>
          <w:p>
            <w:pPr>
              <w:jc w:val="center"/>
              <w:ind w:right="480"/>
              <w:spacing w:after="0" w:line="109"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260" w:type="dxa"/>
            <w:vAlign w:val="bottom"/>
          </w:tcPr>
          <w:p>
            <w:pPr>
              <w:spacing w:after="0"/>
              <w:rPr>
                <w:sz w:val="9"/>
                <w:szCs w:val="9"/>
                <w:color w:val="auto"/>
              </w:rPr>
            </w:pPr>
          </w:p>
        </w:tc>
        <w:tc>
          <w:tcPr>
            <w:tcW w:w="1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440" w:type="dxa"/>
            <w:vAlign w:val="bottom"/>
          </w:tcPr>
          <w:p>
            <w:pPr>
              <w:spacing w:after="0"/>
              <w:rPr>
                <w:sz w:val="9"/>
                <w:szCs w:val="9"/>
                <w:color w:val="auto"/>
              </w:rPr>
            </w:pPr>
          </w:p>
        </w:tc>
        <w:tc>
          <w:tcPr>
            <w:tcW w:w="1480" w:type="dxa"/>
            <w:vAlign w:val="bottom"/>
            <w:vMerge w:val="restart"/>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2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6,625</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4,642</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2"/>
                <w:szCs w:val="12"/>
                <w:b w:val="1"/>
                <w:bCs w:val="1"/>
                <w:color w:val="auto"/>
              </w:rPr>
              <w:t>Three Months Ended March 31, 2024</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300" w:type="dxa"/>
            <w:vAlign w:val="bottom"/>
          </w:tcPr>
          <w:p>
            <w:pPr>
              <w:spacing w:after="0"/>
              <w:rPr>
                <w:sz w:val="9"/>
                <w:szCs w:val="9"/>
                <w:color w:val="auto"/>
              </w:rPr>
            </w:pPr>
          </w:p>
        </w:tc>
        <w:tc>
          <w:tcPr>
            <w:tcW w:w="1320" w:type="dxa"/>
            <w:vAlign w:val="bottom"/>
            <w:gridSpan w:val="2"/>
          </w:tcPr>
          <w:p>
            <w:pPr>
              <w:jc w:val="center"/>
              <w:ind w:right="34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60" w:type="dxa"/>
            <w:vAlign w:val="bottom"/>
          </w:tcPr>
          <w:p>
            <w:pPr>
              <w:spacing w:after="0"/>
              <w:rPr>
                <w:sz w:val="9"/>
                <w:szCs w:val="9"/>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60" w:type="dxa"/>
            <w:vAlign w:val="bottom"/>
          </w:tcPr>
          <w:p>
            <w:pPr>
              <w:spacing w:after="0"/>
              <w:rPr>
                <w:sz w:val="9"/>
                <w:szCs w:val="9"/>
                <w:color w:val="auto"/>
              </w:rPr>
            </w:pPr>
          </w:p>
        </w:tc>
        <w:tc>
          <w:tcPr>
            <w:tcW w:w="1200" w:type="dxa"/>
            <w:vAlign w:val="bottom"/>
            <w:vMerge w:val="restart"/>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144,005</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21,344</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40,990</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206,339</w:t>
            </w: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 (eliminations)</w:t>
            </w: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143,751</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21,115</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40,853</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205,719</w:t>
            </w: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Less: Cost of services (excludes depreciation and amortization)</w:t>
            </w:r>
            <w:r>
              <w:rPr>
                <w:rFonts w:ascii="Times New Roman" w:cs="Times New Roman" w:eastAsia="Times New Roman" w:hAnsi="Times New Roman"/>
                <w:sz w:val="15"/>
                <w:szCs w:val="15"/>
                <w:color w:val="auto"/>
                <w:vertAlign w:val="superscript"/>
              </w:rPr>
              <w:t>1</w:t>
            </w: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(112,119)</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(2,643)</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(7,215)</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(4,562)</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(3,736)</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25,023</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1,747</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34,727</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61,497</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1"/>
          <w:szCs w:val="11"/>
          <w:b w:val="1"/>
          <w:bCs w:val="1"/>
          <w:color w:val="auto"/>
        </w:rPr>
        <w:t>Reconciliation of Segment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78040" cy="97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78040" cy="97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14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60" w:hanging="1160"/>
        <w:spacing w:after="0"/>
        <w:tabs>
          <w:tab w:leader="none" w:pos="116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61,497</w:t>
      </w:r>
    </w:p>
    <w:p>
      <w:pPr>
        <w:spacing w:after="0" w:line="16"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(14,537)</w:t>
      </w:r>
    </w:p>
    <w:p>
      <w:pPr>
        <w:spacing w:after="0" w:line="15" w:lineRule="exact"/>
        <w:rPr>
          <w:rFonts w:ascii="Times New Roman" w:cs="Times New Roman" w:eastAsia="Times New Roman" w:hAnsi="Times New Roman"/>
          <w:sz w:val="12"/>
          <w:szCs w:val="12"/>
          <w:color w:val="auto"/>
        </w:rPr>
      </w:pPr>
    </w:p>
    <w:p>
      <w:pPr>
        <w:ind w:left="12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(620)</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(15,253)</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(20,880)</w:t>
      </w:r>
    </w:p>
    <w:p>
      <w:pPr>
        <w:spacing w:after="0" w:line="15" w:lineRule="exact"/>
        <w:rPr>
          <w:rFonts w:ascii="Times New Roman" w:cs="Times New Roman" w:eastAsia="Times New Roman" w:hAnsi="Times New Roman"/>
          <w:sz w:val="12"/>
          <w:szCs w:val="12"/>
          <w:color w:val="auto"/>
        </w:rPr>
      </w:pPr>
    </w:p>
    <w:p>
      <w:pPr>
        <w:ind w:left="12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(798)</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(1,634)</w:t>
      </w:r>
    </w:p>
    <w:p>
      <w:pPr>
        <w:spacing w:after="0" w:line="18" w:lineRule="exact"/>
        <w:rPr>
          <w:sz w:val="20"/>
          <w:szCs w:val="20"/>
          <w:color w:val="auto"/>
        </w:rPr>
      </w:pPr>
    </w:p>
    <w:p>
      <w:pPr>
        <w:ind w:left="1220" w:hanging="1220"/>
        <w:spacing w:after="0"/>
        <w:tabs>
          <w:tab w:leader="none" w:pos="1220" w:val="left"/>
        </w:tabs>
        <w:numPr>
          <w:ilvl w:val="0"/>
          <w:numId w:val="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7,775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9040" w:space="720"/>
            <w:col w:w="1540"/>
          </w:cols>
          <w:pgMar w:left="300" w:top="1052" w:right="299" w:bottom="1440" w:gutter="0" w:footer="0" w:header="0"/>
          <w:type w:val="continuous"/>
        </w:sectPr>
      </w:pPr>
    </w:p>
    <w:p>
      <w:pPr>
        <w:spacing w:after="0" w:line="87" w:lineRule="exact"/>
        <w:rPr>
          <w:sz w:val="20"/>
          <w:szCs w:val="20"/>
          <w:color w:val="auto"/>
        </w:rPr>
      </w:pPr>
    </w:p>
    <w:p>
      <w:pPr>
        <w:ind w:left="420" w:hanging="212"/>
        <w:spacing w:after="0"/>
        <w:tabs>
          <w:tab w:leader="none" w:pos="42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intersegment revenue and stock 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85" w:lineRule="exact"/>
        <w:rPr>
          <w:sz w:val="20"/>
          <w:szCs w:val="20"/>
          <w:color w:val="auto"/>
        </w:rPr>
      </w:pPr>
    </w:p>
    <w:tbl>
      <w:tblPr>
        <w:tblLayout w:type="fixed"/>
        <w:tblInd w:w="1280" w:type="dxa"/>
        <w:tblCellMar>
          <w:top w:w="0" w:type="dxa"/>
          <w:left w:w="0" w:type="dxa"/>
          <w:bottom w:w="0" w:type="dxa"/>
          <w:right w:w="0" w:type="dxa"/>
        </w:tblCellMar>
      </w:tblPr>
      <w:tr>
        <w:trPr>
          <w:trHeight w:val="15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2024</w:t>
            </w:r>
          </w:p>
        </w:tc>
      </w:tr>
      <w:tr>
        <w:trPr>
          <w:trHeight w:val="14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80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w:t>
            </w:r>
          </w:p>
        </w:tc>
      </w:tr>
      <w:tr>
        <w:trPr>
          <w:trHeight w:val="153"/>
        </w:trPr>
        <w:tc>
          <w:tcPr>
            <w:tcW w:w="6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operating expenses</w:t>
            </w:r>
          </w:p>
        </w:tc>
        <w:tc>
          <w:tcPr>
            <w:tcW w:w="8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(17,632)</w:t>
            </w:r>
          </w:p>
        </w:tc>
      </w:tr>
      <w:tr>
        <w:trPr>
          <w:trHeight w:val="153"/>
        </w:trPr>
        <w:tc>
          <w:tcPr>
            <w:tcW w:w="61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80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2,476</w:t>
            </w:r>
          </w:p>
        </w:tc>
      </w:tr>
      <w:tr>
        <w:trPr>
          <w:trHeight w:val="142"/>
        </w:trPr>
        <w:tc>
          <w:tcPr>
            <w:tcW w:w="6100" w:type="dxa"/>
            <w:vAlign w:val="bottom"/>
          </w:tcPr>
          <w:p>
            <w:pPr>
              <w:spacing w:after="0"/>
              <w:rPr>
                <w:sz w:val="12"/>
                <w:szCs w:val="12"/>
                <w:color w:val="auto"/>
              </w:rPr>
            </w:pPr>
          </w:p>
        </w:tc>
        <w:tc>
          <w:tcPr>
            <w:tcW w:w="8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(14,537)</w:t>
            </w:r>
          </w:p>
        </w:tc>
      </w:tr>
      <w:tr>
        <w:trPr>
          <w:trHeight w:val="20"/>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 based compensation expense, and selling general and administrative (non-recurring expense)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Other specified segment disclosure</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40" w:type="dxa"/>
            <w:vAlign w:val="bottom"/>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2024</w:t>
            </w:r>
          </w:p>
        </w:tc>
        <w:tc>
          <w:tcPr>
            <w:tcW w:w="3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840" w:type="dxa"/>
            <w:vAlign w:val="bottom"/>
          </w:tcPr>
          <w:p>
            <w:pPr>
              <w:spacing w:after="0"/>
              <w:rPr>
                <w:sz w:val="9"/>
                <w:szCs w:val="9"/>
                <w:color w:val="auto"/>
              </w:rPr>
            </w:pPr>
          </w:p>
        </w:tc>
        <w:tc>
          <w:tcPr>
            <w:tcW w:w="1720" w:type="dxa"/>
            <w:vAlign w:val="bottom"/>
            <w:vMerge w:val="restart"/>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80" w:type="dxa"/>
            <w:vAlign w:val="bottom"/>
          </w:tcPr>
          <w:p>
            <w:pPr>
              <w:jc w:val="center"/>
              <w:ind w:left="320"/>
              <w:spacing w:after="0" w:line="109"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460" w:type="dxa"/>
            <w:vAlign w:val="bottom"/>
          </w:tcPr>
          <w:p>
            <w:pPr>
              <w:spacing w:after="0"/>
              <w:rPr>
                <w:sz w:val="9"/>
                <w:szCs w:val="9"/>
                <w:color w:val="auto"/>
              </w:rPr>
            </w:pPr>
          </w:p>
        </w:tc>
        <w:tc>
          <w:tcPr>
            <w:tcW w:w="1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28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720" w:type="dxa"/>
            <w:vAlign w:val="bottom"/>
            <w:tcBorders>
              <w:top w:val="single" w:sz="8" w:color="auto"/>
            </w:tcBorders>
            <w:shd w:val="clear" w:color="auto" w:fill="CCEEFF"/>
          </w:tcPr>
          <w:p>
            <w:pPr>
              <w:jc w:val="right"/>
              <w:ind w:right="16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8,586</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jc w:val="right"/>
              <w:ind w:right="174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1,470</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4,039</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7"/>
        </w:trPr>
        <w:tc>
          <w:tcPr>
            <w:tcW w:w="2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3"/>
          </w:tcPr>
          <w:p>
            <w:pPr>
              <w:jc w:val="right"/>
              <w:ind w:right="1280"/>
              <w:spacing w:after="0"/>
              <w:rPr>
                <w:sz w:val="20"/>
                <w:szCs w:val="20"/>
                <w:color w:val="auto"/>
              </w:rPr>
            </w:pPr>
            <w:r>
              <w:rPr>
                <w:rFonts w:ascii="Times New Roman" w:cs="Times New Roman" w:eastAsia="Times New Roman" w:hAnsi="Times New Roman"/>
                <w:sz w:val="12"/>
                <w:szCs w:val="12"/>
                <w:color w:val="auto"/>
              </w:rPr>
              <w:t>22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59"/>
        </w:trPr>
        <w:tc>
          <w:tcPr>
            <w:tcW w:w="8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16.  Earnings (Loss) per Common Share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88"/>
        </w:trPr>
        <w:tc>
          <w:tcPr>
            <w:tcW w:w="858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tables set forth the computation of the Company's basic and diluted earnings (loss) per common share: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5"/>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8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33"/>
        </w:trPr>
        <w:tc>
          <w:tcPr>
            <w:tcW w:w="8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Numerator:</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53"/>
        </w:trPr>
        <w:tc>
          <w:tcPr>
            <w:tcW w:w="85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8,268</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5,193</w:t>
            </w:r>
          </w:p>
        </w:tc>
      </w:tr>
      <w:tr>
        <w:trPr>
          <w:trHeight w:val="153"/>
        </w:trPr>
        <w:tc>
          <w:tcPr>
            <w:tcW w:w="8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(12,662)</w:t>
            </w:r>
          </w:p>
        </w:tc>
      </w:tr>
      <w:tr>
        <w:trPr>
          <w:trHeight w:val="153"/>
        </w:trPr>
        <w:tc>
          <w:tcPr>
            <w:tcW w:w="85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w:t>
            </w:r>
          </w:p>
        </w:tc>
        <w:tc>
          <w:tcPr>
            <w:tcW w:w="30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w:t>
            </w:r>
          </w:p>
        </w:tc>
      </w:tr>
      <w:tr>
        <w:trPr>
          <w:trHeight w:val="158"/>
        </w:trPr>
        <w:tc>
          <w:tcPr>
            <w:tcW w:w="85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income (loss) attributable to common stockholders</w:t>
            </w: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8,268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(8,050)</w:t>
            </w:r>
          </w:p>
        </w:tc>
      </w:tr>
      <w:tr>
        <w:trPr>
          <w:trHeight w:val="162"/>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3"/>
        </w:trPr>
        <w:tc>
          <w:tcPr>
            <w:tcW w:w="858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Weighted average shares outstanding</w:t>
            </w:r>
            <w:r>
              <w:rPr>
                <w:rFonts w:ascii="Times New Roman" w:cs="Times New Roman" w:eastAsia="Times New Roman" w:hAnsi="Times New Roman"/>
                <w:sz w:val="15"/>
                <w:szCs w:val="15"/>
                <w:color w:val="auto"/>
                <w:vertAlign w:val="superscript"/>
              </w:rPr>
              <w:t>(1)</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78,774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78,021</w:t>
            </w:r>
          </w:p>
        </w:tc>
      </w:tr>
      <w:tr>
        <w:trPr>
          <w:trHeight w:val="153"/>
        </w:trPr>
        <w:tc>
          <w:tcPr>
            <w:tcW w:w="85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Effect of dilutive potential common shares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Adjusted Weighted average shares outstanding</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79,857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78,021</w:t>
            </w:r>
          </w:p>
        </w:tc>
      </w:tr>
      <w:tr>
        <w:trPr>
          <w:trHeight w:val="180"/>
        </w:trPr>
        <w:tc>
          <w:tcPr>
            <w:tcW w:w="8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53"/>
        </w:trPr>
        <w:tc>
          <w:tcPr>
            <w:tcW w:w="8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Basic Earnings (loss) per common share</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(0.10)</w:t>
            </w:r>
          </w:p>
        </w:tc>
      </w:tr>
      <w:tr>
        <w:trPr>
          <w:trHeight w:val="155"/>
        </w:trPr>
        <w:tc>
          <w:tcPr>
            <w:tcW w:w="85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 Earnings (loss) per share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r>
    </w:tbl>
    <w:p>
      <w:pPr>
        <w:spacing w:after="0" w:line="194" w:lineRule="exact"/>
        <w:rPr>
          <w:sz w:val="20"/>
          <w:szCs w:val="20"/>
          <w:color w:val="auto"/>
        </w:rPr>
      </w:pPr>
    </w:p>
    <w:p>
      <w:pPr>
        <w:ind w:left="420" w:right="180" w:hanging="212"/>
        <w:spacing w:after="0" w:line="231" w:lineRule="auto"/>
        <w:tabs>
          <w:tab w:leader="none" w:pos="412"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the three months ended March 31, 2024, the weighted-average common shares outstanding includes 1,803,841 warrants. These shares of common stock had an exercise price of $0.001 and were exercised on January 14, 2025.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13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2025, the Company had 1.1 million dilutive securities that were included in the Company's diluted earnings per share. For the three months ended March 31, 2024, all potentially dilutive securities were anti-dilutive, so diluted net loss per share was equivalent to basic net loss per share. Anti-dilutive securities that were excluded from the Company's earnings (loss) per common share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20" w:type="dxa"/>
            <w:vAlign w:val="bottom"/>
          </w:tcPr>
          <w:p>
            <w:pPr>
              <w:spacing w:after="0"/>
              <w:rPr>
                <w:sz w:val="13"/>
                <w:szCs w:val="13"/>
                <w:color w:val="auto"/>
              </w:rPr>
            </w:pPr>
          </w:p>
        </w:tc>
        <w:tc>
          <w:tcPr>
            <w:tcW w:w="298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8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Restricted stock awards</w:t>
            </w:r>
            <w:r>
              <w:rPr>
                <w:rFonts w:ascii="Times New Roman" w:cs="Times New Roman" w:eastAsia="Times New Roman" w:hAnsi="Times New Roman"/>
                <w:sz w:val="15"/>
                <w:szCs w:val="15"/>
                <w:color w:val="auto"/>
                <w:vertAlign w:val="superscript"/>
              </w:rPr>
              <w:t>(1)</w:t>
            </w:r>
          </w:p>
        </w:tc>
        <w:tc>
          <w:tcPr>
            <w:tcW w:w="14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w:t>
            </w:r>
          </w:p>
        </w:tc>
      </w:tr>
      <w:tr>
        <w:trPr>
          <w:trHeight w:val="153"/>
        </w:trPr>
        <w:tc>
          <w:tcPr>
            <w:tcW w:w="832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Outstanding stock option awards</w:t>
            </w:r>
            <w:r>
              <w:rPr>
                <w:rFonts w:ascii="Times New Roman" w:cs="Times New Roman" w:eastAsia="Times New Roman" w:hAnsi="Times New Roman"/>
                <w:sz w:val="15"/>
                <w:szCs w:val="15"/>
                <w:color w:val="auto"/>
                <w:vertAlign w:val="superscript"/>
              </w:rPr>
              <w:t>(1)</w:t>
            </w: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864</w:t>
            </w:r>
          </w:p>
        </w:tc>
      </w:tr>
      <w:tr>
        <w:trPr>
          <w:trHeight w:val="158"/>
        </w:trPr>
        <w:tc>
          <w:tcPr>
            <w:tcW w:w="8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4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1,942</w:t>
            </w:r>
          </w:p>
        </w:tc>
      </w:tr>
    </w:tbl>
    <w:p>
      <w:pPr>
        <w:spacing w:after="0" w:line="158"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Granted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2024. Certain amounts in this section may not add mathematically due to rounding.</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25" w:lineRule="exact"/>
        <w:rPr>
          <w:sz w:val="20"/>
          <w:szCs w:val="20"/>
          <w:color w:val="auto"/>
        </w:rPr>
      </w:pPr>
    </w:p>
    <w:p>
      <w:pPr>
        <w:ind w:left="420" w:right="280" w:hanging="212"/>
        <w:spacing w:after="0" w:line="279" w:lineRule="auto"/>
        <w:tabs>
          <w:tab w:leader="none" w:pos="417" w:val="left"/>
        </w:tabs>
        <w:numPr>
          <w:ilvl w:val="0"/>
          <w:numId w:val="2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111" w:lineRule="exact"/>
        <w:rPr>
          <w:rFonts w:ascii="Times New Roman" w:cs="Times New Roman" w:eastAsia="Times New Roman" w:hAnsi="Times New Roman"/>
          <w:sz w:val="12"/>
          <w:szCs w:val="12"/>
          <w:color w:val="auto"/>
          <w:strike w:val="1"/>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in the payment processing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distribution partners;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unauthorized disclosures of merchant or cardholder data, whether through breach of our computer systems, computer viruses or otherwise;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breakdowns in our processing systems;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 regulation, including regulation of consumer information;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third-party vendors;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changes in card association and debit network fees or products;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to comply with the rules established by payment networks or standards established by third-party processors;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proposed acquisitions or dispositions or any risks associated with completed acquisitions or dispositions;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caution you that the foregoing list may not contain all of the forward-looking statements made in this Quarterly Report on Form 10-Q.</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 that may cause our actual results or performance to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27" w:name="page28"/>
    <w:bookmarkEnd w:id="27"/>
    <w:p>
      <w:pPr>
        <w:ind w:right="160"/>
        <w:spacing w:after="0" w:line="279" w:lineRule="auto"/>
        <w:rPr>
          <w:sz w:val="20"/>
          <w:szCs w:val="20"/>
          <w:color w:val="auto"/>
        </w:rPr>
      </w:pPr>
      <w:r>
        <w:rPr>
          <w:rFonts w:ascii="Times New Roman" w:cs="Times New Roman" w:eastAsia="Times New Roman" w:hAnsi="Times New Roman"/>
          <w:sz w:val="12"/>
          <w:szCs w:val="12"/>
          <w:color w:val="auto"/>
        </w:rPr>
        <w:t>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11"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9"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Terms Used in this Quarterly Report on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This section includes certain components of our results of operations for the three months ended March 31, 2025, compared to the three months ended March 31, 2024.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For the three months ended March 31, 2025, our consolidated revenue of $224.6 million increased by $18.9 million, or 9.2%, from $205.7 million for the three months ended March 31, 2024. This overall increase was mainly driven by increase in merchant bankcard dollar value and total card dollar value processed in our SMB Payments segment, an increase in new enrollments and higher interest income in our Enterprise Payments segment and, an increase in issuing volume in our B2B Payments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our revenues by type:</w:t>
            </w:r>
          </w:p>
        </w:tc>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40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33"/>
        </w:trPr>
        <w:tc>
          <w:tcPr>
            <w:tcW w:w="4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3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404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167,079</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157,947</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9,132</w:t>
            </w:r>
          </w:p>
        </w:tc>
        <w:tc>
          <w:tcPr>
            <w:tcW w:w="0" w:type="dxa"/>
            <w:vAlign w:val="bottom"/>
          </w:tcPr>
          <w:p>
            <w:pPr>
              <w:spacing w:after="0"/>
              <w:rPr>
                <w:sz w:val="1"/>
                <w:szCs w:val="1"/>
                <w:color w:val="auto"/>
              </w:rPr>
            </w:pPr>
          </w:p>
        </w:tc>
      </w:tr>
      <w:tr>
        <w:trPr>
          <w:trHeight w:val="15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3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37,449</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29,144</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8,305</w:t>
            </w:r>
          </w:p>
        </w:tc>
        <w:tc>
          <w:tcPr>
            <w:tcW w:w="0" w:type="dxa"/>
            <w:vAlign w:val="bottom"/>
          </w:tcPr>
          <w:p>
            <w:pPr>
              <w:spacing w:after="0"/>
              <w:rPr>
                <w:sz w:val="1"/>
                <w:szCs w:val="1"/>
                <w:color w:val="auto"/>
              </w:rPr>
            </w:pPr>
          </w:p>
        </w:tc>
      </w:tr>
      <w:tr>
        <w:trPr>
          <w:trHeight w:val="153"/>
        </w:trPr>
        <w:tc>
          <w:tcPr>
            <w:tcW w:w="4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Outsourced services and other services</w:t>
            </w:r>
          </w:p>
        </w:tc>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17,002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15,665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1,337</w:t>
            </w:r>
          </w:p>
        </w:tc>
        <w:tc>
          <w:tcPr>
            <w:tcW w:w="0" w:type="dxa"/>
            <w:vAlign w:val="bottom"/>
          </w:tcPr>
          <w:p>
            <w:pPr>
              <w:spacing w:after="0"/>
              <w:rPr>
                <w:sz w:val="1"/>
                <w:szCs w:val="1"/>
                <w:color w:val="auto"/>
              </w:rPr>
            </w:pPr>
          </w:p>
        </w:tc>
      </w:tr>
      <w:tr>
        <w:trPr>
          <w:trHeight w:val="15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37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3,100</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2,963</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137</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37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224,630</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205,719</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18,911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780" w:type="dxa"/>
            <w:vAlign w:val="bottom"/>
            <w:vMerge w:val="restart"/>
          </w:tcPr>
          <w:p>
            <w:pPr>
              <w:jc w:val="right"/>
              <w:ind w:right="2020"/>
              <w:spacing w:after="0"/>
              <w:rPr>
                <w:sz w:val="20"/>
                <w:szCs w:val="20"/>
                <w:color w:val="auto"/>
              </w:rPr>
            </w:pPr>
            <w:r>
              <w:rPr>
                <w:rFonts w:ascii="Times New Roman" w:cs="Times New Roman" w:eastAsia="Times New Roman" w:hAnsi="Times New Roman"/>
                <w:sz w:val="12"/>
                <w:szCs w:val="12"/>
                <w:color w:val="auto"/>
              </w:rPr>
              <w:t>25</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40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9A9A9A"/>
            </w:tcBorders>
          </w:tcPr>
          <w:p>
            <w:pPr>
              <w:spacing w:after="0"/>
              <w:rPr>
                <w:sz w:val="18"/>
                <w:szCs w:val="18"/>
                <w:color w:val="auto"/>
              </w:rPr>
            </w:pPr>
          </w:p>
        </w:tc>
        <w:tc>
          <w:tcPr>
            <w:tcW w:w="37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auto"/>
        </w:rPr>
        <w:t>Merchant card fees</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three months ended March 31, 2025 was $167.1 million an increase of $9.1 million or 5.8%, from $157.9 million for the three months ended March 31, 2024. The increase was primarily driven by an increase in merchant bankcard value, total card value, and the transaction count processed by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Money transmission services</w:t>
      </w:r>
    </w:p>
    <w:p>
      <w:pPr>
        <w:spacing w:after="0" w:line="15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three months ended March 31, 2025 was $37.4 million, an increase of $8.3 million, or 28.5%, from $29.1 million for the three months ended March 31, 2024. This increase was primarily driven by an increase in new customer enrollments and average billed clients.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Outsourced services and other services revenue</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Outsourced services and other services revenue of $17.0 million for the three months ended March 31, 2025 increased by $1.3 million, or 8.5%, from $15.7 million for the three months ended March 31, 2024, primarily due to growth in interest income due to higher balances of permissible investments offset by reduction in interest rates.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Equipment</w:t>
      </w:r>
    </w:p>
    <w:p>
      <w:pPr>
        <w:spacing w:after="0" w:line="150"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Equipment revenue of $3.1 million for the three months ended March 31, 2025 increased by $0.1 million, or 4.6% from $3.0 million for the three months ended March 31, 2024. The increase was primarily due to increased sales of point-of-sale equipment.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4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 were as follows: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15"/>
        </w:trPr>
        <w:tc>
          <w:tcPr>
            <w:tcW w:w="7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880" w:type="dxa"/>
            <w:vAlign w:val="bottom"/>
            <w:tcBorders>
              <w:bottom w:val="single" w:sz="8" w:color="auto"/>
            </w:tcBorders>
          </w:tcPr>
          <w:p>
            <w:pPr>
              <w:spacing w:after="0"/>
              <w:rPr>
                <w:sz w:val="24"/>
                <w:szCs w:val="24"/>
                <w:color w:val="auto"/>
              </w:rPr>
            </w:pPr>
          </w:p>
        </w:tc>
      </w:tr>
      <w:tr>
        <w:trPr>
          <w:trHeight w:val="142"/>
        </w:trPr>
        <w:tc>
          <w:tcPr>
            <w:tcW w:w="77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7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53"/>
        </w:trPr>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137,353</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129,298</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8,055</w:t>
            </w:r>
          </w:p>
        </w:tc>
      </w:tr>
      <w:tr>
        <w:trPr>
          <w:trHeight w:val="15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25,775</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22,150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3,625</w:t>
            </w:r>
          </w:p>
        </w:tc>
      </w:tr>
      <w:tr>
        <w:trPr>
          <w:trHeight w:val="153"/>
        </w:trPr>
        <w:tc>
          <w:tcPr>
            <w:tcW w:w="7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13,777</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15,253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(1,476)</w:t>
            </w:r>
          </w:p>
        </w:tc>
      </w:tr>
      <w:tr>
        <w:trPr>
          <w:trHeight w:val="15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15,100</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10,995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4,105</w:t>
            </w:r>
          </w:p>
        </w:tc>
      </w:tr>
      <w:tr>
        <w:trPr>
          <w:trHeight w:val="142"/>
        </w:trPr>
        <w:tc>
          <w:tcPr>
            <w:tcW w:w="7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192,005</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177,696</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14,309</w:t>
            </w: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Cost of revenue (excludes depreciation and amortization)</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$137.4 million for the three months ended March 31, 2025 increased by $8.1 million, or 6.2%, from $129.3 million for the three months ended March 31, 2024, primarily due to the corresponding increase in revenues offset by recovery of certain bad debts.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Salary and employee benefits</w:t>
      </w:r>
    </w:p>
    <w:p>
      <w:pPr>
        <w:spacing w:after="0" w:line="15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Salary and employee benefits expense of $25.8 million for the three months ended March 31, 2025 increased by $3.6 million, or 16.4%, from $22.2 million for the three months ended March 31, 2024, primarily due to merit increases and increased headcount to support the overall growth of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Depreciation and amortization expense</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$13.8 million for the three months ended March 31, 2025 decreased by $1.5 million, or 9.7%, from $15.3 million for the three months ended March 31, 2024, primarily due to full amortization of certain intangible assets.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auto"/>
        </w:rPr>
        <w:t>Selling, general and administrative</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of $15.1 million for the three months ended March 31, 2025 increased by $4.1 million, or 37.3%, from $11.0 million for the three months ended March 31, 2024, primarily due to increase in professional charges related to SOX compliance, increased marketing and software expenses to support overall growth, and legal expenses related to the Company's secondary offering of common shares.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4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 were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5"/>
        </w:trPr>
        <w:tc>
          <w:tcPr>
            <w:tcW w:w="7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840" w:type="dxa"/>
            <w:vAlign w:val="bottom"/>
            <w:tcBorders>
              <w:bottom w:val="single" w:sz="8" w:color="auto"/>
            </w:tcBorders>
          </w:tcPr>
          <w:p>
            <w:pPr>
              <w:spacing w:after="0"/>
              <w:rPr>
                <w:sz w:val="24"/>
                <w:szCs w:val="24"/>
                <w:color w:val="auto"/>
              </w:rPr>
            </w:pPr>
          </w:p>
        </w:tc>
      </w:tr>
      <w:tr>
        <w:trPr>
          <w:trHeight w:val="142"/>
        </w:trPr>
        <w:tc>
          <w:tcPr>
            <w:tcW w:w="78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7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3"/>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(23,176)</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(20,880)</w:t>
            </w:r>
          </w:p>
        </w:tc>
        <w:tc>
          <w:tcPr>
            <w:tcW w:w="6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(2,296)</w:t>
            </w:r>
          </w:p>
        </w:tc>
      </w:tr>
      <w:tr>
        <w:trPr>
          <w:trHeight w:val="153"/>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r>
      <w:tr>
        <w:trPr>
          <w:trHeight w:val="153"/>
        </w:trPr>
        <w:tc>
          <w:tcPr>
            <w:tcW w:w="7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1,107</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632</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475</w:t>
            </w:r>
          </w:p>
        </w:tc>
      </w:tr>
      <w:tr>
        <w:trPr>
          <w:trHeight w:val="15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expense, net</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(22,107)</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(20,248)</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(1,859)</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Interest expense of $23.2 million for the three months ended March 31, 2025 increased by $2.3 million, or 11.0%, from $20.9 million for the three months ended March 31, 2024, due to increased outstanding balance of the term loan facility used for the redemption of redeemable senior preferred stock, offset by decrease in interest rates.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(benefit) expense</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88"/>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was as follows:</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5"/>
        </w:trPr>
        <w:tc>
          <w:tcPr>
            <w:tcW w:w="76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720" w:type="dxa"/>
            <w:vAlign w:val="bottom"/>
            <w:tcBorders>
              <w:bottom w:val="single" w:sz="8" w:color="auto"/>
            </w:tcBorders>
          </w:tcPr>
          <w:p>
            <w:pPr>
              <w:spacing w:after="0"/>
              <w:rPr>
                <w:sz w:val="24"/>
                <w:szCs w:val="24"/>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6"/>
              </w:rPr>
              <w:t>Change</w:t>
            </w:r>
          </w:p>
        </w:tc>
      </w:tr>
      <w:tr>
        <w:trPr>
          <w:trHeight w:val="142"/>
        </w:trPr>
        <w:tc>
          <w:tcPr>
            <w:tcW w:w="7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10,518</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7,775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2,743</w:t>
            </w:r>
          </w:p>
        </w:tc>
      </w:tr>
      <w:tr>
        <w:trPr>
          <w:trHeight w:val="153"/>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74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2,250</w:t>
            </w:r>
          </w:p>
        </w:tc>
        <w:tc>
          <w:tcPr>
            <w:tcW w:w="80" w:type="dxa"/>
            <w:vAlign w:val="bottom"/>
          </w:tcPr>
          <w:p>
            <w:pPr>
              <w:spacing w:after="0"/>
              <w:rPr>
                <w:sz w:val="13"/>
                <w:szCs w:val="13"/>
                <w:color w:val="auto"/>
              </w:rPr>
            </w:pPr>
          </w:p>
        </w:tc>
        <w:tc>
          <w:tcPr>
            <w:tcW w:w="78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2,582</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w:t>
            </w:r>
          </w:p>
        </w:tc>
      </w:tr>
      <w:tr>
        <w:trPr>
          <w:trHeight w:val="15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21.4 %</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bl>
    <w:p>
      <w:pPr>
        <w:spacing w:after="0" w:line="18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We compute our interim period income tax expense or benefit by using a forecasted EAETR and adjust for any discrete items arising during the interim period and any changes in our projected full-year business interest expense and taxable income. The EAETR for 2025 is 28.0% and includes the income tax provision on pre-tax income and a tax provision related to the establishment of a valuation allowance for deferred income tax on the future portion of the Section 163(j) limitation created by additional 2025 interest expense. The effective tax rate for 2025 changed primarily due to an increase in the valuation allowance against certain business interest carryover deferred tax assets.</w:t>
      </w:r>
    </w:p>
    <w:p>
      <w:pPr>
        <w:spacing w:after="0" w:line="119"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Our consolidated effective income tax rates differ from the statutory rate due to timing and permanent differences between amounts calculated under GAAP and the U.S. tax code. The consolidated effective income tax rate for 2025 may not be indicative of our effective tax rate for future periods.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Results</w:t>
      </w:r>
    </w:p>
    <w:p>
      <w:pPr>
        <w:spacing w:after="0" w:line="154"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The CODM's review of segment performance and allocation of resources are based on the Adjusted EBITDA (a non-GAAP financial measure). Adjusted EBITDA at each segment level includes revenues of the segment, less costs of revenue (excluding</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color w:val="auto"/>
        </w:rPr>
        <w:t>depreciation and amortization) and operating expenses that are directly related those revenues. Operating overhead and shared costs are managed centrally and included in corporate segment.</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This non-GAAP financial measure helps to illustrate the underlying financial and business trends relating to results of operations of the Company and therefore used as a measure of segment profit or loss for the purposes of evaluation of segment performance and allocation of resources.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SMB Payments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15"/>
        </w:trPr>
        <w:tc>
          <w:tcPr>
            <w:tcW w:w="70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020" w:type="dxa"/>
            <w:vAlign w:val="bottom"/>
            <w:tcBorders>
              <w:bottom w:val="single" w:sz="8" w:color="auto"/>
            </w:tcBorders>
          </w:tcPr>
          <w:p>
            <w:pPr>
              <w:spacing w:after="0"/>
              <w:rPr>
                <w:sz w:val="24"/>
                <w:szCs w:val="2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70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151,690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144,005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7,685</w:t>
            </w:r>
          </w:p>
        </w:tc>
      </w:tr>
      <w:tr>
        <w:trPr>
          <w:trHeight w:val="153"/>
        </w:trPr>
        <w:tc>
          <w:tcPr>
            <w:tcW w:w="7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25,705</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25,023</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682</w:t>
            </w:r>
          </w:p>
        </w:tc>
      </w:tr>
      <w:tr>
        <w:trPr>
          <w:trHeight w:val="15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3"/>
        </w:trPr>
        <w:tc>
          <w:tcPr>
            <w:tcW w:w="7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15,294,133</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14,788,095</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506,038</w:t>
            </w:r>
          </w:p>
        </w:tc>
      </w:tr>
      <w:tr>
        <w:trPr>
          <w:trHeight w:val="1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185,539</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175,228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10,311</w:t>
            </w:r>
          </w:p>
        </w:tc>
      </w:tr>
      <w:tr>
        <w:trPr>
          <w:trHeight w:val="155"/>
        </w:trPr>
        <w:tc>
          <w:tcPr>
            <w:tcW w:w="7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17,685,491</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17,098,758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586,733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Revenue from our SMB Payments segment was $151.7 million for the three months ended March 31, 2025, compared to $144.0 million for the three months ended March 31, 2024. The increase of $7.7 million, or 5.3%, was primarily driven by an increase in merchant card fee rate, increased card processing dollar value, and transaction count increases. The Company's merchant card fee revenue from the SMB Payments segment ($147.5 million for the three months ended March 31 2025 and $139.8 million for the three months ended March 31, 2024) as a percentage of merchant bankcard processing dollar value during the three months ended March 31, 2025 increased to 0.96% from 0.94% as compared to the three months ended March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Adjusted EBITDA from our SMB Payments segment was $25.7 million for the three months ended March 31, 2025, compared to $25.0 million for the three months ended March 31, 2024. The increase of $0.7 million, or 2.7% was primarily driven by an increase in revenue, and recovery of certain chargeback losses, offset by mix related margin compression and other operating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B2B Payments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15"/>
        </w:trPr>
        <w:tc>
          <w:tcPr>
            <w:tcW w:w="7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040" w:type="dxa"/>
            <w:vAlign w:val="bottom"/>
            <w:tcBorders>
              <w:bottom w:val="single" w:sz="8" w:color="auto"/>
            </w:tcBorders>
          </w:tcPr>
          <w:p>
            <w:pPr>
              <w:spacing w:after="0"/>
              <w:rPr>
                <w:sz w:val="24"/>
                <w:szCs w:val="24"/>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710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23,918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21,344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2,574</w:t>
            </w:r>
          </w:p>
        </w:tc>
      </w:tr>
      <w:tr>
        <w:trPr>
          <w:trHeight w:val="153"/>
        </w:trPr>
        <w:tc>
          <w:tcPr>
            <w:tcW w:w="7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1,747</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1,769</w:t>
            </w:r>
          </w:p>
        </w:tc>
      </w:tr>
      <w:tr>
        <w:trPr>
          <w:trHeight w:val="171"/>
        </w:trPr>
        <w:tc>
          <w:tcPr>
            <w:tcW w:w="7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7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237,290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227,811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9,479</w:t>
            </w:r>
          </w:p>
        </w:tc>
      </w:tr>
      <w:tr>
        <w:trPr>
          <w:trHeight w:val="155"/>
        </w:trPr>
        <w:tc>
          <w:tcPr>
            <w:tcW w:w="7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(29)</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jc w:val="both"/>
        <w:ind w:right="120"/>
        <w:spacing w:after="0" w:line="279" w:lineRule="auto"/>
        <w:rPr>
          <w:sz w:val="20"/>
          <w:szCs w:val="20"/>
          <w:color w:val="auto"/>
        </w:rPr>
      </w:pPr>
      <w:r>
        <w:rPr>
          <w:rFonts w:ascii="Times New Roman" w:cs="Times New Roman" w:eastAsia="Times New Roman" w:hAnsi="Times New Roman"/>
          <w:sz w:val="12"/>
          <w:szCs w:val="12"/>
          <w:color w:val="auto"/>
        </w:rPr>
        <w:t>Revenue from our B2B Payments segment was $23.9 million for the three months ended March 31, 2025, compared to $21.3 million for the three months ended March 31, 2024. The increase of $2.6 million, or 12.1% was primarily driven by increase in issuing dollar volume in the CPX business and total card volume processed by Plastiq business.</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029"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Adjusted EBITDA from our B2B Payments segment of $3.5 million for the three months ended March 31, 2025, compared to $1.7 million for the three months ended March 31, 2024.The increase in Adjusted EBITDA of $1.8 million or 101.3% was contributed by $0.5 million in the CPX business and $1.3 million in the Plastiq business.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Enterprise Payments</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15"/>
        </w:trPr>
        <w:tc>
          <w:tcPr>
            <w:tcW w:w="7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040" w:type="dxa"/>
            <w:vAlign w:val="bottom"/>
            <w:tcBorders>
              <w:bottom w:val="single" w:sz="8" w:color="auto"/>
            </w:tcBorders>
          </w:tcPr>
          <w:p>
            <w:pPr>
              <w:spacing w:after="0"/>
              <w:rPr>
                <w:sz w:val="24"/>
                <w:szCs w:val="24"/>
                <w:color w:val="auto"/>
              </w:rPr>
            </w:pPr>
          </w:p>
        </w:tc>
      </w:tr>
      <w:tr>
        <w:trPr>
          <w:trHeight w:val="142"/>
        </w:trPr>
        <w:tc>
          <w:tcPr>
            <w:tcW w:w="72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72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80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50,088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40,990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9,098</w:t>
            </w:r>
          </w:p>
        </w:tc>
      </w:tr>
      <w:tr>
        <w:trPr>
          <w:trHeight w:val="153"/>
        </w:trPr>
        <w:tc>
          <w:tcPr>
            <w:tcW w:w="7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42,442</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34,727</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7,715</w:t>
            </w:r>
          </w:p>
        </w:tc>
      </w:tr>
      <w:tr>
        <w:trPr>
          <w:trHeight w:val="180"/>
        </w:trPr>
        <w:tc>
          <w:tcPr>
            <w:tcW w:w="7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53"/>
        </w:trPr>
        <w:tc>
          <w:tcPr>
            <w:tcW w:w="7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Average CFTPay billed clients</w:t>
            </w: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940,463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703,887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236,576</w:t>
            </w:r>
          </w:p>
        </w:tc>
      </w:tr>
      <w:tr>
        <w:trPr>
          <w:trHeight w:val="155"/>
        </w:trPr>
        <w:tc>
          <w:tcPr>
            <w:tcW w:w="7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new enrollments</w:t>
            </w:r>
          </w:p>
        </w:tc>
        <w:tc>
          <w:tcPr>
            <w:tcW w:w="80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55,946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53,551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2,395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1"/>
          <w:szCs w:val="11"/>
          <w:color w:val="auto"/>
        </w:rPr>
        <w:t>Revenue from our Enterprise Payments segment was $50.1 million for the three months ended March 31, 2025, compared to $41.0 million for the three months ended March 31, 2024. The increase of $9.1 million, or 22.2%, was primarily driven by an increase in billed clients and new customer enrollments, the addition of new integrated partners and growth in interest income due to higher balances of permissible investments offset by reduction in interest rates.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Adjusted EBITDA from our Enterprise Payments segment was $42.4 million for the three months ended March 31, 2025, compared to $34.7 million for the three months ended March 31, 2024. The increase of $7.7 million, or 22.2%, was primarily driven by increases in revenues.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53"/>
        </w:trPr>
        <w:tc>
          <w:tcPr>
            <w:tcW w:w="49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540" w:type="dxa"/>
            <w:vAlign w:val="bottom"/>
            <w:tcBorders>
              <w:bottom w:val="single" w:sz="8" w:color="auto"/>
            </w:tcBorders>
            <w:gridSpan w:val="8"/>
            <w:shd w:val="clear" w:color="auto" w:fill="CCEEFF"/>
          </w:tcPr>
          <w:p>
            <w:pPr>
              <w:ind w:left="78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r>
      <w:tr>
        <w:trPr>
          <w:trHeight w:val="142"/>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2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1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3"/>
        </w:trPr>
        <w:tc>
          <w:tcPr>
            <w:tcW w:w="4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42,442</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(20,369)</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51,294</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(22,170)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(23,176)</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(13,777)</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(2,199)</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19,076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1,165</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37,768</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(47,491)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10,518</w:t>
            </w:r>
          </w:p>
        </w:tc>
      </w:tr>
      <w:tr>
        <w:trPr>
          <w:trHeight w:val="133"/>
        </w:trPr>
        <w:tc>
          <w:tcPr>
            <w:tcW w:w="4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(2,250)</w:t>
            </w: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8,268</w:t>
            </w: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63"/>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53"/>
        </w:trPr>
        <w:tc>
          <w:tcPr>
            <w:tcW w:w="49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540" w:type="dxa"/>
            <w:vAlign w:val="bottom"/>
            <w:tcBorders>
              <w:bottom w:val="single" w:sz="8" w:color="auto"/>
            </w:tcBorders>
            <w:gridSpan w:val="8"/>
            <w:shd w:val="clear" w:color="auto" w:fill="CCEEFF"/>
          </w:tcPr>
          <w:p>
            <w:pPr>
              <w:ind w:left="780"/>
              <w:spacing w:after="0"/>
              <w:rPr>
                <w:sz w:val="20"/>
                <w:szCs w:val="20"/>
                <w:color w:val="auto"/>
              </w:rPr>
            </w:pPr>
            <w:r>
              <w:rPr>
                <w:rFonts w:ascii="Times New Roman" w:cs="Times New Roman" w:eastAsia="Times New Roman" w:hAnsi="Times New Roman"/>
                <w:sz w:val="12"/>
                <w:szCs w:val="12"/>
                <w:b w:val="1"/>
                <w:bCs w:val="1"/>
                <w:color w:val="auto"/>
              </w:rPr>
              <w:t>Three Months Ended March 31, 2024</w:t>
            </w: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r>
      <w:tr>
        <w:trPr>
          <w:trHeight w:val="142"/>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2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1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3"/>
        </w:trPr>
        <w:tc>
          <w:tcPr>
            <w:tcW w:w="4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25,023</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1,747</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34,727</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(15,157)</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46,340</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(20,880)</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w:t>
            </w:r>
          </w:p>
        </w:tc>
      </w:tr>
      <w:tr>
        <w:trPr>
          <w:trHeight w:val="153"/>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(1,634)</w:t>
            </w:r>
          </w:p>
        </w:tc>
      </w:tr>
      <w:tr>
        <w:trPr>
          <w:trHeight w:val="14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before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16,432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(814)</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30,656</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(38,499)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7,775</w:t>
            </w:r>
          </w:p>
        </w:tc>
      </w:tr>
      <w:tr>
        <w:trPr>
          <w:trHeight w:val="133"/>
        </w:trPr>
        <w:tc>
          <w:tcPr>
            <w:tcW w:w="49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(2,582)</w:t>
            </w:r>
          </w:p>
        </w:tc>
      </w:tr>
      <w:tr>
        <w:trPr>
          <w:trHeight w:val="15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057"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2024. There have been no material changes to these critical accounting policies and estimates as of March 31, 2025.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principal uses of cash are to fund business operations and administrative costs, and to service our debt.</w:t>
      </w:r>
    </w:p>
    <w:p>
      <w:pPr>
        <w:spacing w:after="0" w:line="150"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1"/>
          <w:szCs w:val="11"/>
          <w:color w:val="auto"/>
        </w:rPr>
        <w:t>Our working capital, defined as current assets less current liabilities, was $61.9 million at March 31, 2025 and $32.4 million at March 31, 2024. As of March 31, 2025, we had cash totaling $47.6 million compared to $34.3 million at March 31, 2024. These cash balances do not include restricted cash of $11.5 million and $12.7 million at March 31, 2025 and March 31, 2024, respectively, which reflects cash accounts holding customer settlement funds and cash</w:t>
      </w:r>
    </w:p>
    <w:p>
      <w:pPr>
        <w:spacing w:after="0" w:line="1"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reserves for potential losses. The current portion of long-term debt included in current liabilities was $1.9 million and $6.7 million at March 31, 2025 and March 31, 2024, respectively. At March 31, 2025, we had availability of approximately $70.0 million under our revolving credit facility.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and discussion reflect our changes in cash flows for the comparative three month periods.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315"/>
        </w:trPr>
        <w:tc>
          <w:tcPr>
            <w:tcW w:w="77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w:t>
            </w: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53"/>
        </w:trPr>
        <w:tc>
          <w:tcPr>
            <w:tcW w:w="7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activities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9,956</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13,307</w:t>
            </w:r>
          </w:p>
        </w:tc>
      </w:tr>
      <w:tr>
        <w:trPr>
          <w:trHeight w:val="153"/>
        </w:trPr>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Investing activities</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(7,669)</w:t>
            </w:r>
          </w:p>
        </w:tc>
      </w:tr>
      <w:tr>
        <w:trPr>
          <w:trHeight w:val="153"/>
        </w:trPr>
        <w:tc>
          <w:tcPr>
            <w:tcW w:w="7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Financing activities</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47,260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(10,279)</w:t>
            </w:r>
          </w:p>
        </w:tc>
      </w:tr>
      <w:tr>
        <w:trPr>
          <w:trHeight w:val="1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cash and cash equivalents and restricted cash</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47,501</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Operating Activities</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Net cash provided by operating activities was $10.0 million for the three months ended March 31, 2025 compared to $13.3 million for the three months ended March 31, 2024. The $3.3 million decrease was primarily driven by changes in the operating assets and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Investing Activities</w:t>
      </w:r>
    </w:p>
    <w:p>
      <w:pPr>
        <w:spacing w:after="0" w:line="152"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Net cash used in investing activities was $9.7 million and $7.7 million for the three months ended March 31, 2025 and 2024, respectively. For the three months ended March 31, 2025, investing activities included additions to property, equipment and software of $5.1 million, $0.1 million related to net funding of new loans to ISOs and $4.5 million related to the acquisition of a business. For the three months ended March 31, 2024, net cash used in investing activities included additions to property, equipment and software of $6.6 million and $1.1 million related funding of new loans to ISOs.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i w:val="1"/>
          <w:iCs w:val="1"/>
          <w:color w:val="auto"/>
        </w:rPr>
        <w:t>Cash Provided by (Used in) Financing Activities</w:t>
      </w:r>
    </w:p>
    <w:p>
      <w:pPr>
        <w:spacing w:after="0" w:line="15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Net cash provided by financing activities was $47.3 million for the three months ended March 31, 2025, compared to $10.3 million of cash used in financing activities for the three months ended March 31, 2024. The net cash used in financing activities for the three months ended March 31, 2025 included changes in the net obligations for funds held on the behalf of customers of $59.1 million and proceeds from the exercise of stock options of $0.1 million offset by $10.0 million of cashed used for the unscheduled repayment of the term loan principal, $1.5 million of cash used for shares withheld for taxes and $0.4 million of payments of contingent consideration. The net cash used in financing activities for the three months ended March 31, 2024 included changes in the net obligations for funds held on the behalf of customers of $1.9 million, offset by $1.7 million of cash used for the repayment of debt, $7.0 million of cash dividends paid to redeemable senior preferred stockholders, $0.4 million of cash used for shares withheld for taxes and $3.1 million of payments of contingent consideration.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Long-term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2025, we had outstanding debt obligations, including the current portion and net of unamortized debt discount of $935.5 million, compared to $945.5 million at December 31, 2024, resulting in a decrease of</w:t>
      </w:r>
    </w:p>
    <w:p>
      <w:pPr>
        <w:spacing w:after="0" w:line="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$10.0 million . The decrease is to an unscheduled principal payment. The debt balance at March 31, 2025 consisted of $935.5 million outstanding under the term facility offset by $14.7 million of unamortized debt discounts and issuance costs. Minimum amortization of the term facility are equal quarterly installments in aggregate annual amounts equal to 1.0% of the original principal, with the balance paid upon maturity. The term facility matures on May 16, 2031 and the revolving credit facility matures on May 16, 2029.</w:t>
      </w:r>
    </w:p>
    <w:p>
      <w:pPr>
        <w:spacing w:after="0" w:line="12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less unrestricted cash to consolidated adjusted EBITDA (as defined in the Credit Agreement). 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 ended September 30, 2024 through December 31, 2025; 2) 6.40:1.00 at each fiscal quarter ended March 31, 2026 and each fiscal quarter thereafter. As of March 31, 2025, the Company was in compliance with the covenants in the 2024 Credit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New Accounting Pronouncements and Recently Issued Accounting Pronouncements Not Yet Adopted</w:t>
      </w:r>
    </w:p>
    <w:p>
      <w:pPr>
        <w:spacing w:after="0" w:line="15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 xml:space="preserve">From time to time, new accounting pronouncements are issued by the FASB or other standards setting bodies that may affect our current and/or future financial statements. See </w:t>
      </w:r>
      <w:r>
        <w:rPr>
          <w:rFonts w:ascii="Times New Roman" w:cs="Times New Roman" w:eastAsia="Times New Roman" w:hAnsi="Times New Roman"/>
          <w:sz w:val="12"/>
          <w:szCs w:val="12"/>
          <w:u w:val="single" w:color="auto"/>
          <w:color w:val="0000FF"/>
        </w:rPr>
        <w:t>Note 1, Basis of Presentation and Significant Accounting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Policies</w:t>
      </w:r>
      <w:r>
        <w:rPr>
          <w:rFonts w:ascii="Times New Roman" w:cs="Times New Roman" w:eastAsia="Times New Roman" w:hAnsi="Times New Roman"/>
          <w:sz w:val="12"/>
          <w:szCs w:val="12"/>
          <w:color w:val="000000"/>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For quantitative and qualitative disclosures about market risk, see Item 7A, "Quantitative and Qualitative Disclosures About Market Risk," of our Annual Report on Form 10-K for the year ended December 31, 2024. Our exposures to market risk have not changed materially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02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5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19"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Management, with the participation of the CEO and CFO, has evaluated the effectiveness of the Company's disclosure controls and procedures as of March 31, 2025. Based on that evaluation, the Company's CEO and CFO concluded that the Company's disclosure controls and procedures were not effective as of March 31, 2025 because of a material weakness within our internal controls over financial reporting, as described below.</w:t>
      </w:r>
    </w:p>
    <w:p>
      <w:pPr>
        <w:spacing w:after="0" w:line="11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Notwithstanding that conclusion, based on review, analysis and inquiries conducted subsequent to March 31, 2025, management believes that the consolidated financial statements and related financial information included in this Form 10-Q fairly present in all material respects the Company’s financial condition, results of operations and cash flows as of the dates presented, and for the periods ended on such dates, in conformity with GAAP.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Previously Disclosed Material Weakness</w:t>
      </w:r>
    </w:p>
    <w:p>
      <w:pPr>
        <w:spacing w:after="0" w:line="15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our Annual Report on Form 10-K for the year ended December 31, 2024, we identified a material weakness related to the design and operation of certain automated controls (including related information technology general controls) for certain tools or applications involved in the transformation and ingestion of third-party processors’ data in the Company’s control environment. The Company began implementing a remediation plan to address this material weakness.</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A material weakness is a deficiency, or a combination of deficiencies, in internal control over financial reporting, such that a reasonable possibility exists that a material misstatement of annual or interim financial statements would not be prevented or detected on a timely basis.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5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Other than described above, there were no changes in the Company's internal control over financial reporting during the three months ended March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may also materially adversely affect our business, financial condition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 and Use of Proceeds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purchases of its Common Stock during the three months ended March 31,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Total Number 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Average Price Paid</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Total Number of Shares Purchased as 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Maximum Number of Shares that May Yet Be Purchased</w:t>
            </w:r>
          </w:p>
        </w:tc>
        <w:tc>
          <w:tcPr>
            <w:tcW w:w="0" w:type="dxa"/>
            <w:vAlign w:val="bottom"/>
          </w:tcPr>
          <w:p>
            <w:pPr>
              <w:spacing w:after="0"/>
              <w:rPr>
                <w:sz w:val="1"/>
                <w:szCs w:val="1"/>
                <w:color w:val="auto"/>
              </w:rPr>
            </w:pPr>
          </w:p>
        </w:tc>
      </w:tr>
      <w:tr>
        <w:trPr>
          <w:trHeight w:val="162"/>
        </w:trPr>
        <w:tc>
          <w:tcPr>
            <w:tcW w:w="2200" w:type="dxa"/>
            <w:vAlign w:val="bottom"/>
            <w:gridSpan w:val="2"/>
            <w:vMerge w:val="continue"/>
          </w:tcPr>
          <w:p>
            <w:pPr>
              <w:spacing w:after="0"/>
              <w:rPr>
                <w:sz w:val="14"/>
                <w:szCs w:val="14"/>
                <w:color w:val="auto"/>
              </w:rPr>
            </w:pPr>
          </w:p>
        </w:tc>
        <w:tc>
          <w:tcPr>
            <w:tcW w:w="1460" w:type="dxa"/>
            <w:vAlign w:val="bottom"/>
          </w:tcPr>
          <w:p>
            <w:pPr>
              <w:jc w:val="right"/>
              <w:ind w:right="360"/>
              <w:spacing w:after="0" w:line="162" w:lineRule="exact"/>
              <w:rPr>
                <w:sz w:val="20"/>
                <w:szCs w:val="20"/>
                <w:color w:val="auto"/>
              </w:rPr>
            </w:pPr>
            <w:r>
              <w:rPr>
                <w:rFonts w:ascii="Times New Roman" w:cs="Times New Roman" w:eastAsia="Times New Roman" w:hAnsi="Times New Roman"/>
                <w:sz w:val="12"/>
                <w:szCs w:val="12"/>
                <w:b w:val="1"/>
                <w:bCs w:val="1"/>
                <w:color w:val="auto"/>
              </w:rPr>
              <w:t>Purchased</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per Share</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Announced Plans or Programs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Under the Plans or Programs</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January 1-31, 2025</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99,450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w:t>
            </w:r>
          </w:p>
        </w:tc>
        <w:tc>
          <w:tcPr>
            <w:tcW w:w="8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690,296</w:t>
            </w: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February 1-28,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22,067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11.41</w:t>
            </w: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690,296</w:t>
            </w:r>
          </w:p>
        </w:tc>
        <w:tc>
          <w:tcPr>
            <w:tcW w:w="0" w:type="dxa"/>
            <w:vAlign w:val="bottom"/>
          </w:tcPr>
          <w:p>
            <w:pPr>
              <w:spacing w:after="0"/>
              <w:rPr>
                <w:sz w:val="1"/>
                <w:szCs w:val="1"/>
                <w:color w:val="auto"/>
              </w:rPr>
            </w:pPr>
          </w:p>
        </w:tc>
      </w:tr>
      <w:tr>
        <w:trPr>
          <w:trHeight w:val="15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March 1-31,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690,296</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121,517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w:t>
            </w:r>
          </w:p>
        </w:tc>
        <w:tc>
          <w:tcPr>
            <w:tcW w:w="8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hanging="212"/>
        <w:spacing w:after="0" w:line="222" w:lineRule="auto"/>
        <w:tabs>
          <w:tab w:leader="none" w:pos="412"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shares (in whole units) withheld to satisfy employees' tax withholding obligations related to the vesting of restricted stock awards, which was determined based on the fair market value on the day prior to the vesting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Director and Officer Trading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16, 2023, Sean Kiewiet, an officer of the Company as defined in Section 16 of the Exchange Act, adopted a Rule 10b5-1 trading arrangement as defined in Item 408(a) of the SEC's Regulation 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auto"/>
              </w:rPr>
              <w:t>Officer or Director Name and Title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Action</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Plan Type</w:t>
            </w:r>
          </w:p>
        </w:tc>
        <w:tc>
          <w:tcPr>
            <w:tcW w:w="2020" w:type="dxa"/>
            <w:vAlign w:val="bottom"/>
            <w:gridSpan w:val="2"/>
          </w:tcPr>
          <w:p>
            <w:pPr>
              <w:ind w:left="860"/>
              <w:spacing w:after="0"/>
              <w:rPr>
                <w:sz w:val="20"/>
                <w:szCs w:val="20"/>
                <w:color w:val="auto"/>
              </w:rPr>
            </w:pPr>
            <w:r>
              <w:rPr>
                <w:rFonts w:ascii="Times New Roman" w:cs="Times New Roman" w:eastAsia="Times New Roman" w:hAnsi="Times New Roman"/>
                <w:sz w:val="12"/>
                <w:szCs w:val="12"/>
                <w:b w:val="1"/>
                <w:bCs w:val="1"/>
                <w:color w:val="auto"/>
              </w:rPr>
              <w:t>Date</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Number of Shares to be sold</w:t>
            </w:r>
          </w:p>
        </w:tc>
        <w:tc>
          <w:tcPr>
            <w:tcW w:w="204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rPr>
              <w:t>Expiration</w:t>
            </w:r>
          </w:p>
        </w:tc>
      </w:tr>
      <w:tr>
        <w:trPr>
          <w:trHeight w:val="106"/>
        </w:trPr>
        <w:tc>
          <w:tcPr>
            <w:tcW w:w="1180" w:type="dxa"/>
            <w:vAlign w:val="bottom"/>
            <w:tcBorders>
              <w:top w:val="single" w:sz="8" w:color="auto"/>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Sean Kiewiet,</w:t>
            </w:r>
          </w:p>
        </w:tc>
        <w:tc>
          <w:tcPr>
            <w:tcW w:w="1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9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40" w:type="dxa"/>
            <w:vAlign w:val="bottom"/>
            <w:tcBorders>
              <w:top w:val="single" w:sz="8" w:color="auto"/>
            </w:tcBorders>
            <w:shd w:val="clear" w:color="auto" w:fill="CCEEFF"/>
          </w:tcPr>
          <w:p>
            <w:pPr>
              <w:spacing w:after="0"/>
              <w:rPr>
                <w:sz w:val="9"/>
                <w:szCs w:val="9"/>
                <w:color w:val="auto"/>
              </w:rPr>
            </w:pPr>
          </w:p>
        </w:tc>
      </w:tr>
      <w:tr>
        <w:trPr>
          <w:trHeight w:val="162"/>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Strategy Officer</w:t>
            </w:r>
          </w:p>
        </w:tc>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Adopted</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Rule 10b5-1</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11,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600,000</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August 31, 2026</w:t>
            </w:r>
          </w:p>
        </w:tc>
      </w:tr>
      <w:tr>
        <w:trPr>
          <w:trHeight w:val="657"/>
        </w:trPr>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2"/>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06"/>
        </w:trPr>
        <w:tc>
          <w:tcPr>
            <w:tcW w:w="1100" w:type="dxa"/>
            <w:vAlign w:val="bottom"/>
            <w:tcBorders>
              <w:top w:val="single" w:sz="8" w:color="auto"/>
            </w:tcBorders>
          </w:tcPr>
          <w:p>
            <w:pPr>
              <w:spacing w:after="0" w:line="106" w:lineRule="exact"/>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2.1</w:t>
              </w:r>
            </w:hyperlink>
          </w:p>
        </w:tc>
        <w:tc>
          <w:tcPr>
            <w:tcW w:w="80" w:type="dxa"/>
            <w:vAlign w:val="bottom"/>
          </w:tcPr>
          <w:p>
            <w:pPr>
              <w:spacing w:after="0"/>
              <w:rPr>
                <w:sz w:val="9"/>
                <w:szCs w:val="9"/>
                <w:color w:val="auto"/>
              </w:rPr>
            </w:pPr>
          </w:p>
        </w:tc>
        <w:tc>
          <w:tcPr>
            <w:tcW w:w="10120" w:type="dxa"/>
            <w:vAlign w:val="bottom"/>
            <w:tcBorders>
              <w:top w:val="single" w:sz="8" w:color="auto"/>
            </w:tcBorders>
            <w:gridSpan w:val="11"/>
          </w:tcPr>
          <w:p>
            <w:pPr>
              <w:spacing w:after="0" w:line="106" w:lineRule="exact"/>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Second Amended and Restated Contribution Agreement, dated as of April 17, 2018, by and among Priority Investment Holdings, Priority Incentive Equity Holdings, LLC and M I Acquisitions, Inc.</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(incorporated by reference to Annex A to the Company's Proxy Statement on Schedule 14(a), filed July 5,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5">
              <w:r>
                <w:rPr>
                  <w:rFonts w:ascii="Times New Roman" w:cs="Times New Roman" w:eastAsia="Times New Roman" w:hAnsi="Times New Roman"/>
                  <w:sz w:val="12"/>
                  <w:szCs w:val="12"/>
                  <w:color w:val="0000FF"/>
                </w:rPr>
                <w:t>2.2</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75">
              <w:r>
                <w:rPr>
                  <w:rFonts w:ascii="Times New Roman" w:cs="Times New Roman" w:eastAsia="Times New Roman" w:hAnsi="Times New Roman"/>
                  <w:sz w:val="12"/>
                  <w:szCs w:val="12"/>
                  <w:color w:val="0000FF"/>
                </w:rPr>
                <w:t>Agreement and Plan of Merger, dated as of March 5, 2021, by and among the Company, Finxera, Merger Sub, and the Equityholder Representative.</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76">
              <w:r>
                <w:rPr>
                  <w:rFonts w:ascii="Times New Roman" w:cs="Times New Roman" w:eastAsia="Times New Roman" w:hAnsi="Times New Roman"/>
                  <w:sz w:val="12"/>
                  <w:szCs w:val="12"/>
                  <w:color w:val="0000FF"/>
                </w:rPr>
                <w:t>2.3</w:t>
              </w:r>
            </w:hyperlink>
          </w:p>
        </w:tc>
        <w:tc>
          <w:tcPr>
            <w:tcW w:w="80" w:type="dxa"/>
            <w:vAlign w:val="bottom"/>
          </w:tcPr>
          <w:p>
            <w:pPr>
              <w:spacing w:after="0"/>
              <w:rPr>
                <w:sz w:val="13"/>
                <w:szCs w:val="13"/>
                <w:color w:val="auto"/>
              </w:rPr>
            </w:pPr>
          </w:p>
        </w:tc>
        <w:tc>
          <w:tcPr>
            <w:tcW w:w="8080" w:type="dxa"/>
            <w:vAlign w:val="bottom"/>
            <w:gridSpan w:val="10"/>
          </w:tcPr>
          <w:p>
            <w:pPr>
              <w:spacing w:after="0"/>
              <w:rPr>
                <w:rFonts w:ascii="Times New Roman" w:cs="Times New Roman" w:eastAsia="Times New Roman" w:hAnsi="Times New Roman"/>
                <w:sz w:val="12"/>
                <w:szCs w:val="12"/>
                <w:color w:val="0000FF"/>
              </w:rPr>
            </w:pPr>
            <w:hyperlink r:id="rId76">
              <w:r>
                <w:rPr>
                  <w:rFonts w:ascii="Times New Roman" w:cs="Times New Roman" w:eastAsia="Times New Roman" w:hAnsi="Times New Roman"/>
                  <w:sz w:val="12"/>
                  <w:szCs w:val="12"/>
                  <w:color w:val="0000FF"/>
                </w:rPr>
                <w:t>Certificate of Amendment to the Certificate of Incorporation of Priority Technology Holdings dated April 16, 2021, filed April 29, 2021</w:t>
              </w:r>
            </w:hyperlink>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2.4</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Agreement and Plan of Merger by and among the Company, Finxera Holdings, Inc., Prime Warrior Acquisition Corp., and Stone Point Capital LLC.</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78">
              <w:r>
                <w:rPr>
                  <w:rFonts w:ascii="Times New Roman" w:cs="Times New Roman" w:eastAsia="Times New Roman" w:hAnsi="Times New Roman"/>
                  <w:sz w:val="12"/>
                  <w:szCs w:val="12"/>
                  <w:color w:val="0000FF"/>
                </w:rPr>
                <w:t>3.1</w:t>
              </w:r>
            </w:hyperlink>
          </w:p>
        </w:tc>
        <w:tc>
          <w:tcPr>
            <w:tcW w:w="80" w:type="dxa"/>
            <w:vAlign w:val="bottom"/>
          </w:tcPr>
          <w:p>
            <w:pPr>
              <w:spacing w:after="0"/>
              <w:rPr>
                <w:sz w:val="13"/>
                <w:szCs w:val="13"/>
                <w:color w:val="auto"/>
              </w:rPr>
            </w:pPr>
          </w:p>
        </w:tc>
        <w:tc>
          <w:tcPr>
            <w:tcW w:w="10120" w:type="dxa"/>
            <w:vAlign w:val="bottom"/>
            <w:gridSpan w:val="11"/>
          </w:tcPr>
          <w:p>
            <w:pPr>
              <w:spacing w:after="0"/>
              <w:rPr>
                <w:rFonts w:ascii="Times New Roman" w:cs="Times New Roman" w:eastAsia="Times New Roman" w:hAnsi="Times New Roman"/>
                <w:sz w:val="12"/>
                <w:szCs w:val="12"/>
                <w:color w:val="0000FF"/>
              </w:rPr>
            </w:pPr>
            <w:hyperlink r:id="rId78">
              <w:r>
                <w:rPr>
                  <w:rFonts w:ascii="Times New Roman" w:cs="Times New Roman" w:eastAsia="Times New Roman" w:hAnsi="Times New Roman"/>
                  <w:sz w:val="12"/>
                  <w:szCs w:val="12"/>
                  <w:color w:val="0000FF"/>
                </w:rPr>
                <w:t>Second Amended and Restated Certificate of Incorporation of Priority Technology Holdings, Inc. (incorporated by reference to Exhibit 3.1 to the Company's Current Report on Form 8-K, filed July 31, 2018).</w:t>
              </w:r>
            </w:hyperlink>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9">
              <w:r>
                <w:rPr>
                  <w:rFonts w:ascii="Times New Roman" w:cs="Times New Roman" w:eastAsia="Times New Roman" w:hAnsi="Times New Roman"/>
                  <w:sz w:val="12"/>
                  <w:szCs w:val="12"/>
                  <w:color w:val="0000FF"/>
                </w:rPr>
                <w:t>3.2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79">
              <w:r>
                <w:rPr>
                  <w:rFonts w:ascii="Times New Roman" w:cs="Times New Roman" w:eastAsia="Times New Roman" w:hAnsi="Times New Roman"/>
                  <w:sz w:val="12"/>
                  <w:szCs w:val="12"/>
                  <w:color w:val="0000FF"/>
                </w:rPr>
                <w:t>Amended and Restated Bylaws of Priority Technology Holdings, Inc. (incorporated by reference to Exhibit 3.2 to the Company's Current Report on Form 8-K, filed July 31, 2018).</w:t>
              </w:r>
            </w:hyperlink>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4.1</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Warrant Agreement, dated September 13, 2016, by and between American Stock Transfer &amp; Trust Company, LLC and the Registrant (incorporated by reference to Exhibit 4.1 to the Current Report on Form 8-</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spacing w:after="0"/>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K, filed September 16, 2016).</w:t>
              </w:r>
            </w:hyperlink>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4.2</w:t>
              </w:r>
            </w:hyperlink>
          </w:p>
        </w:tc>
        <w:tc>
          <w:tcPr>
            <w:tcW w:w="8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Certificate of Designations of Senior Preferred Stock</w:t>
              </w:r>
            </w:hyperlink>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10.1</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Registration Rights Agreement dated as of July 25, 2018 by and among M I Acquisitions, Inc. and the other parties thereto (incorporated by reference to Exhibit 10.1 to the Company's Current Report on Form</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spacing w:after="0"/>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8-K, filed July 31, 2018).</w:t>
              </w:r>
            </w:hyperlink>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10.2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Priority Technology Holdings, Inc. 2018 Equity Incentive Plan (incorporated by reference to Exhibit 10.2 to the Company's Current Report on Form 8-K, filed July 31, 2018).</w:t>
              </w:r>
            </w:hyperlink>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10.3</w:t>
              </w:r>
            </w:hyperlink>
          </w:p>
        </w:tc>
        <w:tc>
          <w:tcPr>
            <w:tcW w:w="80" w:type="dxa"/>
            <w:vAlign w:val="bottom"/>
          </w:tcPr>
          <w:p>
            <w:pPr>
              <w:spacing w:after="0"/>
              <w:rPr>
                <w:sz w:val="13"/>
                <w:szCs w:val="13"/>
                <w:color w:val="auto"/>
              </w:rPr>
            </w:pPr>
          </w:p>
        </w:tc>
        <w:tc>
          <w:tcPr>
            <w:tcW w:w="4140" w:type="dxa"/>
            <w:vAlign w:val="bottom"/>
            <w:gridSpan w:val="6"/>
          </w:tcPr>
          <w:p>
            <w:pPr>
              <w:spacing w:after="0"/>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Priority Technology Holdings, Inc. 2021 Employee Stock Purchase Plan</w:t>
              </w:r>
            </w:hyperlink>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10.3.1</w:t>
              </w:r>
            </w:hyperlink>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Amendment No. 1 to Priority Technology Holdings, Inc. 2021 Employee Stock Purchase Plan</w:t>
              </w:r>
            </w:hyperlink>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17"/>
        </w:trPr>
        <w:tc>
          <w:tcPr>
            <w:tcW w:w="1180" w:type="dxa"/>
            <w:vAlign w:val="bottom"/>
            <w:gridSpan w:val="2"/>
          </w:tcPr>
          <w:p>
            <w:pPr>
              <w:spacing w:after="0" w:line="117" w:lineRule="exact"/>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 xml:space="preserve">10.4 </w:t>
              </w:r>
            </w:hyperlink>
            <w:r>
              <w:rPr>
                <w:rFonts w:ascii="Arial" w:cs="Arial" w:eastAsia="Arial" w:hAnsi="Arial"/>
                <w:sz w:val="12"/>
                <w:szCs w:val="12"/>
                <w:color w:val="000000"/>
              </w:rPr>
              <w:t>†</w:t>
            </w: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Director Agreement by and among Priority Holdings LLC, Pipeline Cynergy Holdings, LLC, Priority Payment Systems Holdings, LLC and Thomas C. Priore, dated May 21, 2014 (incorporated by reference to</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Exhibit 10.6 to the Company's Registration Statement on Form S-4/A, filed December 26,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21"/>
        </w:trPr>
        <w:tc>
          <w:tcPr>
            <w:tcW w:w="1180" w:type="dxa"/>
            <w:vAlign w:val="bottom"/>
            <w:gridSpan w:val="2"/>
            <w:shd w:val="clear" w:color="auto" w:fill="CCEEFF"/>
          </w:tcPr>
          <w:p>
            <w:pPr>
              <w:spacing w:after="0" w:line="121" w:lineRule="exact"/>
              <w:rPr>
                <w:rFonts w:ascii="Times New Roman" w:cs="Times New Roman" w:eastAsia="Times New Roman" w:hAnsi="Times New Roman"/>
                <w:sz w:val="12"/>
                <w:szCs w:val="12"/>
                <w:color w:val="0000FF"/>
              </w:rPr>
            </w:pPr>
            <w:hyperlink r:id="rId87">
              <w:r>
                <w:rPr>
                  <w:rFonts w:ascii="Times New Roman" w:cs="Times New Roman" w:eastAsia="Times New Roman" w:hAnsi="Times New Roman"/>
                  <w:sz w:val="12"/>
                  <w:szCs w:val="12"/>
                  <w:color w:val="0000FF"/>
                </w:rPr>
                <w:t xml:space="preserve">10.5 </w:t>
              </w:r>
            </w:hyperlink>
            <w:r>
              <w:rPr>
                <w:rFonts w:ascii="Arial" w:cs="Arial" w:eastAsia="Arial" w:hAnsi="Arial"/>
                <w:sz w:val="12"/>
                <w:szCs w:val="12"/>
                <w:color w:val="000000"/>
              </w:rPr>
              <w:t>†</w:t>
            </w:r>
          </w:p>
        </w:tc>
        <w:tc>
          <w:tcPr>
            <w:tcW w:w="10120" w:type="dxa"/>
            <w:vAlign w:val="bottom"/>
            <w:gridSpan w:val="11"/>
            <w:shd w:val="clear" w:color="auto" w:fill="CCEEFF"/>
          </w:tcPr>
          <w:p>
            <w:pPr>
              <w:spacing w:after="0" w:line="121" w:lineRule="exact"/>
              <w:rPr>
                <w:rFonts w:ascii="Times New Roman" w:cs="Times New Roman" w:eastAsia="Times New Roman" w:hAnsi="Times New Roman"/>
                <w:sz w:val="12"/>
                <w:szCs w:val="12"/>
                <w:color w:val="0000FF"/>
              </w:rPr>
            </w:pPr>
            <w:hyperlink r:id="rId87">
              <w:r>
                <w:rPr>
                  <w:rFonts w:ascii="Times New Roman" w:cs="Times New Roman" w:eastAsia="Times New Roman" w:hAnsi="Times New Roman"/>
                  <w:sz w:val="12"/>
                  <w:szCs w:val="12"/>
                  <w:color w:val="0000FF"/>
                </w:rPr>
                <w:t>Amendment No. 1 to Director Agreement by and among Priority Holdings LLC, Pipeline Cynergy Holdings, LLC, Priority Payment Systems Holdings, LLC and Thomas C. Priore, dated April 19, 2018</w:t>
              </w:r>
            </w:hyperlink>
          </w:p>
        </w:tc>
      </w:tr>
      <w:tr>
        <w:trPr>
          <w:trHeight w:val="162"/>
        </w:trPr>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87">
              <w:r>
                <w:rPr>
                  <w:rFonts w:ascii="Times New Roman" w:cs="Times New Roman" w:eastAsia="Times New Roman" w:hAnsi="Times New Roman"/>
                  <w:sz w:val="12"/>
                  <w:szCs w:val="12"/>
                  <w:color w:val="0000FF"/>
                </w:rPr>
                <w:t>(incorporated by reference to Exhibit 10.7 to the Company's Registration Statement on Form S-4/A, filed December 26, 2018).</w:t>
              </w:r>
            </w:hyperlink>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88">
              <w:r>
                <w:rPr>
                  <w:rFonts w:ascii="Times New Roman" w:cs="Times New Roman" w:eastAsia="Times New Roman" w:hAnsi="Times New Roman"/>
                  <w:sz w:val="12"/>
                  <w:szCs w:val="12"/>
                  <w:color w:val="0000FF"/>
                </w:rPr>
                <w:t>10.6</w:t>
              </w:r>
            </w:hyperlink>
          </w:p>
        </w:tc>
        <w:tc>
          <w:tcPr>
            <w:tcW w:w="80" w:type="dxa"/>
            <w:vAlign w:val="bottom"/>
          </w:tcPr>
          <w:p>
            <w:pPr>
              <w:spacing w:after="0"/>
              <w:rPr>
                <w:sz w:val="13"/>
                <w:szCs w:val="13"/>
                <w:color w:val="auto"/>
              </w:rPr>
            </w:pPr>
          </w:p>
        </w:tc>
        <w:tc>
          <w:tcPr>
            <w:tcW w:w="8080" w:type="dxa"/>
            <w:vAlign w:val="bottom"/>
            <w:gridSpan w:val="10"/>
          </w:tcPr>
          <w:p>
            <w:pPr>
              <w:spacing w:after="0"/>
              <w:rPr>
                <w:rFonts w:ascii="Times New Roman" w:cs="Times New Roman" w:eastAsia="Times New Roman" w:hAnsi="Times New Roman"/>
                <w:sz w:val="12"/>
                <w:szCs w:val="12"/>
                <w:color w:val="0000FF"/>
              </w:rPr>
            </w:pPr>
            <w:hyperlink r:id="rId88">
              <w:r>
                <w:rPr>
                  <w:rFonts w:ascii="Times New Roman" w:cs="Times New Roman" w:eastAsia="Times New Roman" w:hAnsi="Times New Roman"/>
                  <w:sz w:val="12"/>
                  <w:szCs w:val="12"/>
                  <w:color w:val="0000FF"/>
                </w:rPr>
                <w:t>Form of Independent Director Agreement (incorporated by reference to Exhibit 10.19 to the Company's Annual Report on Form 10-K, filed March 29, 2019).</w:t>
              </w:r>
            </w:hyperlink>
          </w:p>
        </w:tc>
        <w:tc>
          <w:tcPr>
            <w:tcW w:w="2040" w:type="dxa"/>
            <w:vAlign w:val="bottom"/>
          </w:tcPr>
          <w:p>
            <w:pPr>
              <w:spacing w:after="0"/>
              <w:rPr>
                <w:sz w:val="13"/>
                <w:szCs w:val="13"/>
                <w:color w:val="auto"/>
              </w:rPr>
            </w:pPr>
          </w:p>
        </w:tc>
      </w:tr>
      <w:tr>
        <w:trPr>
          <w:trHeight w:val="117"/>
        </w:trPr>
        <w:tc>
          <w:tcPr>
            <w:tcW w:w="110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89">
              <w:r>
                <w:rPr>
                  <w:rFonts w:ascii="Times New Roman" w:cs="Times New Roman" w:eastAsia="Times New Roman" w:hAnsi="Times New Roman"/>
                  <w:sz w:val="12"/>
                  <w:szCs w:val="12"/>
                  <w:color w:val="0000FF"/>
                </w:rPr>
                <w:t>10.7</w:t>
              </w:r>
            </w:hyperlink>
          </w:p>
        </w:tc>
        <w:tc>
          <w:tcPr>
            <w:tcW w:w="80" w:type="dxa"/>
            <w:vAlign w:val="bottom"/>
            <w:shd w:val="clear" w:color="auto" w:fill="CCEEFF"/>
          </w:tcPr>
          <w:p>
            <w:pPr>
              <w:spacing w:after="0"/>
              <w:rPr>
                <w:sz w:val="10"/>
                <w:szCs w:val="10"/>
                <w:color w:val="auto"/>
              </w:rPr>
            </w:pPr>
          </w:p>
        </w:tc>
        <w:tc>
          <w:tcPr>
            <w:tcW w:w="10120" w:type="dxa"/>
            <w:vAlign w:val="bottom"/>
            <w:gridSpan w:val="11"/>
            <w:shd w:val="clear" w:color="auto" w:fill="CCEEFF"/>
          </w:tcPr>
          <w:p>
            <w:pPr>
              <w:spacing w:after="0" w:line="117" w:lineRule="exact"/>
              <w:rPr>
                <w:rFonts w:ascii="Times New Roman" w:cs="Times New Roman" w:eastAsia="Times New Roman" w:hAnsi="Times New Roman"/>
                <w:sz w:val="12"/>
                <w:szCs w:val="12"/>
                <w:color w:val="0000FF"/>
              </w:rPr>
            </w:pPr>
            <w:hyperlink r:id="rId89">
              <w:r>
                <w:rPr>
                  <w:rFonts w:ascii="Times New Roman" w:cs="Times New Roman" w:eastAsia="Times New Roman" w:hAnsi="Times New Roman"/>
                  <w:sz w:val="12"/>
                  <w:szCs w:val="12"/>
                  <w:color w:val="0000FF"/>
                </w:rPr>
                <w:t>Asset Purchase Agreement by and between MRI Payments LLC, MRI Software LLC, and Priority Real Estate Technology LLC, dated August 31, 2020 (incorporated by reference to Exhibit 10.1 to the</w:t>
              </w:r>
            </w:hyperlink>
          </w:p>
        </w:tc>
      </w:tr>
      <w:tr>
        <w:trPr>
          <w:trHeight w:val="162"/>
        </w:trPr>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140" w:type="dxa"/>
            <w:vAlign w:val="bottom"/>
            <w:gridSpan w:val="6"/>
            <w:shd w:val="clear" w:color="auto" w:fill="CCEEFF"/>
          </w:tcPr>
          <w:p>
            <w:pPr>
              <w:spacing w:after="0"/>
              <w:rPr>
                <w:rFonts w:ascii="Times New Roman" w:cs="Times New Roman" w:eastAsia="Times New Roman" w:hAnsi="Times New Roman"/>
                <w:sz w:val="12"/>
                <w:szCs w:val="12"/>
                <w:color w:val="0000FF"/>
              </w:rPr>
            </w:pPr>
            <w:hyperlink r:id="rId89">
              <w:r>
                <w:rPr>
                  <w:rFonts w:ascii="Times New Roman" w:cs="Times New Roman" w:eastAsia="Times New Roman" w:hAnsi="Times New Roman"/>
                  <w:sz w:val="12"/>
                  <w:szCs w:val="12"/>
                  <w:color w:val="0000FF"/>
                </w:rPr>
                <w:t>Company's Current Report on Form 8-K filed September 1, 2020).</w:t>
              </w:r>
            </w:hyperlink>
          </w:p>
        </w:tc>
        <w:tc>
          <w:tcPr>
            <w:tcW w:w="1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90">
              <w:r>
                <w:rPr>
                  <w:rFonts w:ascii="Times New Roman" w:cs="Times New Roman" w:eastAsia="Times New Roman" w:hAnsi="Times New Roman"/>
                  <w:sz w:val="12"/>
                  <w:szCs w:val="12"/>
                  <w:color w:val="0000FF"/>
                </w:rPr>
                <w:t>10.8</w:t>
              </w:r>
            </w:hyperlink>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90">
              <w:r>
                <w:rPr>
                  <w:rFonts w:ascii="Times New Roman" w:cs="Times New Roman" w:eastAsia="Times New Roman" w:hAnsi="Times New Roman"/>
                  <w:sz w:val="12"/>
                  <w:szCs w:val="12"/>
                  <w:color w:val="0000FF"/>
                </w:rPr>
                <w:t>Support Agreement, dated as of March 5, 2021, by and among the Stockholders and Finxera</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10.9</w:t>
              </w:r>
            </w:hyperlink>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Debt Commitment Letter, dated as of March 5, 2021, between Priority Holdings, LLC and Truist Securities, Inc.</w:t>
              </w:r>
            </w:hyperlink>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810"/>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38" w:name="page39"/>
    <w:bookmarkEnd w:id="38"/>
    <w:tbl>
      <w:tblPr>
        <w:tblLayout w:type="fixed"/>
        <w:tblInd w:w="8" w:type="dxa"/>
        <w:tblCellMar>
          <w:top w:w="0" w:type="dxa"/>
          <w:left w:w="0" w:type="dxa"/>
          <w:bottom w:w="0" w:type="dxa"/>
          <w:right w:w="0" w:type="dxa"/>
        </w:tblCellMar>
      </w:tblPr>
      <w:tr>
        <w:trPr>
          <w:trHeight w:val="155"/>
        </w:trPr>
        <w:tc>
          <w:tcPr>
            <w:tcW w:w="860" w:type="dxa"/>
            <w:vAlign w:val="bottom"/>
          </w:tcPr>
          <w:p>
            <w:pPr>
              <w:spacing w:after="0"/>
              <w:rPr>
                <w:rFonts w:ascii="Times New Roman" w:cs="Times New Roman" w:eastAsia="Times New Roman" w:hAnsi="Times New Roman"/>
                <w:sz w:val="12"/>
                <w:szCs w:val="12"/>
                <w:color w:val="0000FF"/>
              </w:rPr>
            </w:pPr>
            <w:hyperlink r:id="rId94">
              <w:r>
                <w:rPr>
                  <w:rFonts w:ascii="Times New Roman" w:cs="Times New Roman" w:eastAsia="Times New Roman" w:hAnsi="Times New Roman"/>
                  <w:sz w:val="12"/>
                  <w:szCs w:val="12"/>
                  <w:color w:val="0000FF"/>
                </w:rPr>
                <w:t>10.10</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94">
              <w:r>
                <w:rPr>
                  <w:rFonts w:ascii="Times New Roman" w:cs="Times New Roman" w:eastAsia="Times New Roman" w:hAnsi="Times New Roman"/>
                  <w:sz w:val="12"/>
                  <w:szCs w:val="12"/>
                  <w:color w:val="0000FF"/>
                </w:rPr>
                <w:t>Preferred Stock Commitment Letter, dated as of March 5, 2021, among the Company and certain affiliates of Ares Capital Management LLC</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10.11</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Securities Purchase Agreement, dated as of April 27, 2021, among the Company and the Investors named therein</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10.12</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Registration Rights Agreement, dated as of April 27, 2021, among the Company and the Investors name therein</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10.17</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Form Restricted Stock Unit Award Agreement.</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 xml:space="preserve">10.18 </w:t>
              </w:r>
            </w:hyperlink>
            <w:r>
              <w:rPr>
                <w:rFonts w:ascii="Arial" w:cs="Arial" w:eastAsia="Arial" w:hAnsi="Arial"/>
                <w:sz w:val="12"/>
                <w:szCs w:val="12"/>
                <w:color w:val="000000"/>
              </w:rPr>
              <w:t>†</w:t>
            </w:r>
          </w:p>
        </w:tc>
        <w:tc>
          <w:tcPr>
            <w:tcW w:w="10440" w:type="dxa"/>
            <w:vAlign w:val="bottom"/>
          </w:tcPr>
          <w:p>
            <w:pPr>
              <w:ind w:left="320"/>
              <w:spacing w:after="0"/>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Executive Employment Agreement between Priority Technology Holdings, Inc. and Tim O'Leary, dated September 19, 2022.</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10.19</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Priority Technology Holdings, Inc. Recoupment Policy adopted March 1, 2023</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10.20</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Amendment No. 1 to Equity and Asset Purchase Agreement, dated July 31, 2023, by and among Plastiq, Powered by Priority, LLC, Plastiq Inc., PLV Inc. and Nearside Business Corp.</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10.21</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Side Letter Agreement, dated July 28, 2023, by and between Plastiq, Powered by Priority, LLC and Colonnade Acquisition Corp. II.</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10.22</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Earnout Agreement, dated July 31, 2023, by and among Plastiq, Powered by Priority, LLC, Plastiq Inc., PLV Inc., Nearside Business Corp., Blue Torch Finance, LLC and Priority Holdings, LLC.</w:t>
              </w:r>
            </w:hyperlink>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10.23</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Priority Technology Holdings, Inc. Amended and Restated Certificate of Designations of the Powers, Preferences and Relative, Participating, Optional and Other Special Rights, and Qualifications, Limitations</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and Restrictions thereof, of Senior Preferred Stock.</w:t>
              </w:r>
            </w:hyperlink>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10.24</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Rule 10b5-1 Sales Plan, dated March 11, 2025, by and between Sean Kiewiet and J.P. Morgan Securities LLC.</w:t>
            </w:r>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10.25</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Credit and Guaranty Agreement, dated as of May 16, 2024, by and among Priority Holdings, LLC, as the Initial Borrower, the Credit Parties party thereto, the Lenders party thereto and Truist Bank, as</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Administrative Agent and Collateral Agent.</w:t>
              </w:r>
            </w:hyperlink>
          </w:p>
        </w:tc>
      </w:tr>
      <w:tr>
        <w:trPr>
          <w:trHeight w:val="117"/>
        </w:trPr>
        <w:tc>
          <w:tcPr>
            <w:tcW w:w="860" w:type="dxa"/>
            <w:vAlign w:val="bottom"/>
          </w:tcPr>
          <w:p>
            <w:pPr>
              <w:spacing w:after="0" w:line="117" w:lineRule="exact"/>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10.26</w:t>
              </w:r>
            </w:hyperlink>
          </w:p>
        </w:tc>
        <w:tc>
          <w:tcPr>
            <w:tcW w:w="10440" w:type="dxa"/>
            <w:vAlign w:val="bottom"/>
          </w:tcPr>
          <w:p>
            <w:pPr>
              <w:ind w:left="320"/>
              <w:spacing w:after="0" w:line="117" w:lineRule="exact"/>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Amendment No. 1 to the Credit and Guaranty Agreement, dated as of November 21, 2024, by and among Priority Holdings, LLC, as the Initial Borrower, the Credit Parties party thereto, the 2024-1 Incremental</w:t>
              </w:r>
            </w:hyperlink>
          </w:p>
        </w:tc>
      </w:tr>
      <w:tr>
        <w:trPr>
          <w:trHeight w:val="158"/>
        </w:trPr>
        <w:tc>
          <w:tcPr>
            <w:tcW w:w="860" w:type="dxa"/>
            <w:vAlign w:val="bottom"/>
          </w:tcPr>
          <w:p>
            <w:pPr>
              <w:spacing w:after="0"/>
              <w:rPr>
                <w:sz w:val="13"/>
                <w:szCs w:val="13"/>
                <w:color w:val="auto"/>
              </w:rPr>
            </w:pPr>
          </w:p>
        </w:tc>
        <w:tc>
          <w:tcPr>
            <w:tcW w:w="10440" w:type="dxa"/>
            <w:vAlign w:val="bottom"/>
          </w:tcPr>
          <w:p>
            <w:pPr>
              <w:ind w:left="320"/>
              <w:spacing w:after="0"/>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Term Lenders and Truist Bank, as Administrative Agent and Collateral Agent.</w:t>
              </w:r>
            </w:hyperlink>
          </w:p>
        </w:tc>
      </w:tr>
      <w:tr>
        <w:trPr>
          <w:trHeight w:val="15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10.27</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Share Purchase Agreement by and between Ayrshire Developments Corp., Priority Canada Acquisition Company, Inc., and Priority Technology Holdings, Inc., dated January 21, 2025.</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21.1</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Subsidiaries</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31.1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pursuant to Rule 13a-14 and Rule 15d-14(a), promulgated under the Securities and Exchange Act of 1934, as amended.</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 xml:space="preserve">31.2 </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Certification of Chief Financial Officer pursuant to Rule 13a-14 and Rule 15d-14(a), promulgated under the Securities and Exchange Act of 1934, as amended.</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32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and Chief Financial Officer pursuant to 18 U.S.C. Section 1350, as adopted pursuant to Section 906 of the Sarbanes-Oxley Act of 2002.</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101.INS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Instance Document - the instance document does not appear in the Interactive Data File because its XBRL tags are embedded within the Inline XBRL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101.SCH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Schema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101.CAL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101.LAB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101.PRE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101.DEF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Filed herewith.</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Furnished herewith.</w:t>
      </w:r>
    </w:p>
    <w:p>
      <w:pPr>
        <w:spacing w:after="0" w:line="150" w:lineRule="exact"/>
        <w:rPr>
          <w:sz w:val="20"/>
          <w:szCs w:val="20"/>
          <w:color w:val="auto"/>
        </w:rPr>
      </w:pPr>
    </w:p>
    <w:p>
      <w:pPr>
        <w:ind w:left="88" w:hanging="88"/>
        <w:spacing w:after="0"/>
        <w:tabs>
          <w:tab w:leader="none" w:pos="88" w:val="left"/>
        </w:tabs>
        <w:numPr>
          <w:ilvl w:val="0"/>
          <w:numId w:val="27"/>
        </w:numPr>
        <w:rPr>
          <w:rFonts w:ascii="Arial" w:cs="Arial" w:eastAsia="Arial" w:hAnsi="Arial"/>
          <w:sz w:val="12"/>
          <w:szCs w:val="12"/>
          <w:color w:val="auto"/>
        </w:rPr>
      </w:pPr>
      <w:r>
        <w:rPr>
          <w:rFonts w:ascii="Times New Roman" w:cs="Times New Roman" w:eastAsia="Times New Roman" w:hAnsi="Times New Roman"/>
          <w:sz w:val="12"/>
          <w:szCs w:val="12"/>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56" w:right="299" w:bottom="1440" w:gutter="0" w:footer="0" w:header="0"/>
        </w:sectPr>
      </w:pPr>
    </w:p>
    <w:bookmarkStart w:id="39" w:name="page40"/>
    <w:bookmarkEnd w:id="39"/>
    <w:p>
      <w:pPr>
        <w:ind w:left="52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5520" w:type="dxa"/>
            <w:vAlign w:val="bottom"/>
            <w:gridSpan w:val="4"/>
          </w:tcPr>
          <w:p>
            <w:pPr>
              <w:ind w:left="2120"/>
              <w:spacing w:after="0"/>
              <w:rPr>
                <w:sz w:val="20"/>
                <w:szCs w:val="20"/>
                <w:color w:val="auto"/>
              </w:rPr>
            </w:pPr>
            <w:r>
              <w:rPr>
                <w:rFonts w:ascii="Times New Roman" w:cs="Times New Roman" w:eastAsia="Times New Roman" w:hAnsi="Times New Roman"/>
                <w:sz w:val="12"/>
                <w:szCs w:val="12"/>
                <w:color w:val="auto"/>
              </w:rPr>
              <w:t>PRIORITY TECHNOLOGY HOLDINGS, INC.</w:t>
            </w:r>
          </w:p>
        </w:tc>
      </w:tr>
      <w:tr>
        <w:trPr>
          <w:trHeight w:val="387"/>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May 6, 2025</w:t>
            </w:r>
          </w:p>
        </w:tc>
        <w:tc>
          <w:tcPr>
            <w:tcW w:w="316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93"/>
        </w:trPr>
        <w:tc>
          <w:tcPr>
            <w:tcW w:w="27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980" w:type="dxa"/>
            <w:vAlign w:val="bottom"/>
            <w:tcBorders>
              <w:top w:val="single" w:sz="8" w:color="auto"/>
            </w:tcBorders>
          </w:tcPr>
          <w:p>
            <w:pPr>
              <w:spacing w:after="0" w:line="93" w:lineRule="exact"/>
              <w:rPr>
                <w:sz w:val="20"/>
                <w:szCs w:val="20"/>
                <w:color w:val="auto"/>
              </w:rPr>
            </w:pPr>
            <w:r>
              <w:rPr>
                <w:rFonts w:ascii="Times New Roman" w:cs="Times New Roman" w:eastAsia="Times New Roman" w:hAnsi="Times New Roman"/>
                <w:sz w:val="10"/>
                <w:szCs w:val="10"/>
                <w:color w:val="auto"/>
              </w:rPr>
              <w:t>Thomas C. Priore</w:t>
            </w: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121"/>
        </w:trPr>
        <w:tc>
          <w:tcPr>
            <w:tcW w:w="27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w w:val="98"/>
              </w:rPr>
              <w:t>President, Chief Executive Officer and Chairman</w:t>
            </w:r>
          </w:p>
        </w:tc>
      </w:tr>
      <w:tr>
        <w:trPr>
          <w:trHeight w:val="157"/>
        </w:trPr>
        <w:tc>
          <w:tcPr>
            <w:tcW w:w="27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r>
        <w:trPr>
          <w:trHeight w:val="221"/>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May 6, 2025</w:t>
            </w:r>
          </w:p>
        </w:tc>
        <w:tc>
          <w:tcPr>
            <w:tcW w:w="3160" w:type="dxa"/>
            <w:vAlign w:val="bottom"/>
          </w:tcPr>
          <w:p>
            <w:pPr>
              <w:spacing w:after="0"/>
              <w:rPr>
                <w:sz w:val="19"/>
                <w:szCs w:val="19"/>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Timothy M. O'Leary</w:t>
            </w:r>
          </w:p>
        </w:tc>
      </w:tr>
      <w:tr>
        <w:trPr>
          <w:trHeight w:val="107"/>
        </w:trPr>
        <w:tc>
          <w:tcPr>
            <w:tcW w:w="27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120" w:type="dxa"/>
            <w:vAlign w:val="bottom"/>
            <w:tcBorders>
              <w:top w:val="single" w:sz="8" w:color="auto"/>
            </w:tcBorders>
            <w:gridSpan w:val="2"/>
          </w:tcPr>
          <w:p>
            <w:pPr>
              <w:spacing w:after="0" w:line="107" w:lineRule="exact"/>
              <w:rPr>
                <w:sz w:val="20"/>
                <w:szCs w:val="20"/>
                <w:color w:val="auto"/>
              </w:rPr>
            </w:pPr>
            <w:r>
              <w:rPr>
                <w:rFonts w:ascii="Times New Roman" w:cs="Times New Roman" w:eastAsia="Times New Roman" w:hAnsi="Times New Roman"/>
                <w:sz w:val="12"/>
                <w:szCs w:val="12"/>
                <w:color w:val="auto"/>
              </w:rPr>
              <w:t>Timothy M. O'Leary</w:t>
            </w:r>
          </w:p>
        </w:tc>
        <w:tc>
          <w:tcPr>
            <w:tcW w:w="1240" w:type="dxa"/>
            <w:vAlign w:val="bottom"/>
          </w:tcPr>
          <w:p>
            <w:pPr>
              <w:spacing w:after="0"/>
              <w:rPr>
                <w:sz w:val="9"/>
                <w:szCs w:val="9"/>
                <w:color w:val="auto"/>
              </w:rPr>
            </w:pPr>
          </w:p>
        </w:tc>
      </w:tr>
    </w:tbl>
    <w:p>
      <w:pPr>
        <w:ind w:left="5880"/>
        <w:spacing w:after="0" w:line="203" w:lineRule="auto"/>
        <w:rPr>
          <w:sz w:val="20"/>
          <w:szCs w:val="20"/>
          <w:color w:val="auto"/>
        </w:rPr>
      </w:pPr>
      <w:r>
        <w:rPr>
          <w:rFonts w:ascii="Times New Roman" w:cs="Times New Roman" w:eastAsia="Times New Roman" w:hAnsi="Times New Roman"/>
          <w:sz w:val="12"/>
          <w:szCs w:val="12"/>
          <w:i w:val="1"/>
          <w:iCs w:val="1"/>
          <w:color w:val="auto"/>
        </w:rPr>
        <w:t>Chief Financial Officer</w:t>
      </w:r>
    </w:p>
    <w:p>
      <w:pPr>
        <w:ind w:left="588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0159"/>
          </w:cols>
          <w:pgMar w:left="300" w:top="1331" w:right="1440" w:bottom="1440"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81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7130415" cy="5181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5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7130415"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5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7130415"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5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7130415"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5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7130415"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5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7130415"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61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7130415" cy="4861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61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7130415" cy="4861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Subsidiaries of Priority Technology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Technology Holdings,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Holdings,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Finance,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Payment Systems,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Hospitality Technology,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Ovvi,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Payright Health Solutions,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Commerce Canada, Inc.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Real Estate Technology,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Commerce Payments,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Plastiq, Powered by Priority,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Plastiq Canada, Inc.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Account Administration Services,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Holdings,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Intermediate,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Enhanced Capital RETC Fund XII,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IDC Private Limited (India)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Tech Ventures,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IR,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Wave,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Ambient TPA Solutions,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Build, LLC</w:t>
      </w:r>
    </w:p>
    <w:p>
      <w:pPr>
        <w:sectPr>
          <w:pgSz w:w="11900" w:h="16838" w:orient="portrait"/>
          <w:cols w:equalWidth="0" w:num="1">
            <w:col w:w="11300"/>
          </w:cols>
          <w:pgMar w:left="300" w:top="126" w:right="29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Rollfi,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Prisma Prop Tech,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Canada Acquisition Company, Inc. (Canada)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Payslate, Inc.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Rentmoola Payment Solutions, Ltd. (UK)</w:t>
      </w:r>
    </w:p>
    <w:p>
      <w:pPr>
        <w:sectPr>
          <w:pgSz w:w="11900" w:h="16838" w:orient="portrait"/>
          <w:cols w:equalWidth="0" w:num="1">
            <w:col w:w="11300"/>
          </w:cols>
          <w:pgMar w:left="300" w:top="126" w:right="29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28"/>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w:t>
      </w:r>
    </w:p>
    <w:p>
      <w:pPr>
        <w:spacing w:after="0" w:line="33" w:lineRule="exact"/>
        <w:rPr>
          <w:sz w:val="20"/>
          <w:szCs w:val="20"/>
          <w:color w:val="auto"/>
        </w:rPr>
      </w:pPr>
    </w:p>
    <w:p>
      <w:pPr>
        <w:ind w:left="3888"/>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Thomas C. Priore, certify that:</w:t>
      </w:r>
    </w:p>
    <w:p>
      <w:pPr>
        <w:spacing w:after="0" w:line="186" w:lineRule="exact"/>
        <w:rPr>
          <w:sz w:val="20"/>
          <w:szCs w:val="20"/>
          <w:color w:val="auto"/>
        </w:rPr>
      </w:pPr>
    </w:p>
    <w:p>
      <w:pPr>
        <w:ind w:left="208" w:hanging="208"/>
        <w:spacing w:after="0"/>
        <w:tabs>
          <w:tab w:leader="none" w:pos="20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195" w:lineRule="exact"/>
        <w:rPr>
          <w:rFonts w:ascii="Times New Roman" w:cs="Times New Roman" w:eastAsia="Times New Roman" w:hAnsi="Times New Roman"/>
          <w:sz w:val="12"/>
          <w:szCs w:val="12"/>
          <w:color w:val="auto"/>
        </w:rPr>
      </w:pPr>
    </w:p>
    <w:p>
      <w:pPr>
        <w:ind w:left="208" w:right="200" w:hanging="208"/>
        <w:spacing w:after="0" w:line="311" w:lineRule="auto"/>
        <w:tabs>
          <w:tab w:leader="none" w:pos="20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2"/>
          <w:szCs w:val="12"/>
          <w:color w:val="auto"/>
        </w:rPr>
      </w:pPr>
    </w:p>
    <w:p>
      <w:pPr>
        <w:ind w:left="208" w:right="100" w:hanging="208"/>
        <w:spacing w:after="0" w:line="311" w:lineRule="auto"/>
        <w:tabs>
          <w:tab w:leader="none" w:pos="20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2"/>
          <w:szCs w:val="12"/>
          <w:color w:val="auto"/>
        </w:rPr>
      </w:pPr>
    </w:p>
    <w:p>
      <w:pPr>
        <w:ind w:left="208" w:right="220" w:hanging="208"/>
        <w:spacing w:after="0" w:line="311" w:lineRule="auto"/>
        <w:tabs>
          <w:tab w:leader="none" w:pos="20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Times New Roman" w:cs="Times New Roman" w:eastAsia="Times New Roman" w:hAnsi="Times New Roman"/>
          <w:sz w:val="12"/>
          <w:szCs w:val="12"/>
          <w:color w:val="auto"/>
        </w:rPr>
      </w:pPr>
    </w:p>
    <w:p>
      <w:pPr>
        <w:ind w:left="648" w:right="440" w:hanging="216"/>
        <w:spacing w:after="0" w:line="289" w:lineRule="auto"/>
        <w:tabs>
          <w:tab w:leader="none" w:pos="646"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289" w:lineRule="auto"/>
        <w:tabs>
          <w:tab w:leader="none" w:pos="644"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289" w:lineRule="auto"/>
        <w:tabs>
          <w:tab w:leader="none" w:pos="646"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326" w:lineRule="auto"/>
        <w:tabs>
          <w:tab w:leader="none" w:pos="644"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12"/>
          <w:szCs w:val="12"/>
          <w:color w:val="auto"/>
        </w:rPr>
      </w:pPr>
    </w:p>
    <w:p>
      <w:pPr>
        <w:ind w:left="208" w:right="40" w:hanging="208"/>
        <w:spacing w:after="0" w:line="326" w:lineRule="auto"/>
        <w:tabs>
          <w:tab w:leader="none" w:pos="20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2"/>
          <w:szCs w:val="12"/>
          <w:color w:val="auto"/>
        </w:rPr>
      </w:pPr>
    </w:p>
    <w:p>
      <w:pPr>
        <w:ind w:left="648" w:right="40" w:hanging="216"/>
        <w:spacing w:after="0" w:line="289" w:lineRule="auto"/>
        <w:tabs>
          <w:tab w:leader="none" w:pos="646"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8" w:hanging="216"/>
        <w:spacing w:after="0"/>
        <w:tabs>
          <w:tab w:leader="none" w:pos="648"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8"/>
          </w:cols>
          <w:pgMar w:left="292" w:top="138" w:right="29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23"/>
          <w:szCs w:val="23"/>
          <w:color w:val="auto"/>
          <w:vertAlign w:val="subscript"/>
        </w:rPr>
        <w:t>May 6, 2025</w:t>
      </w:r>
      <w:r>
        <w:rPr>
          <w:sz w:val="20"/>
          <w:szCs w:val="20"/>
          <w:color w:val="auto"/>
        </w:rPr>
        <w:tab/>
      </w:r>
      <w:r>
        <w:rPr>
          <w:rFonts w:ascii="Times New Roman" w:cs="Times New Roman" w:eastAsia="Times New Roman" w:hAnsi="Times New Roman"/>
          <w:sz w:val="12"/>
          <w:szCs w:val="12"/>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26670</wp:posOffset>
            </wp:positionV>
            <wp:extent cx="3691890" cy="114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3691890" cy="11430"/>
                    </a:xfrm>
                    <a:prstGeom prst="rect">
                      <a:avLst/>
                    </a:prstGeom>
                    <a:noFill/>
                  </pic:spPr>
                </pic:pic>
              </a:graphicData>
            </a:graphic>
          </wp:anchor>
        </w:drawing>
      </w:r>
    </w:p>
    <w:p>
      <w:pPr>
        <w:spacing w:after="0" w:line="47"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2"/>
          <w:szCs w:val="12"/>
          <w:color w:val="auto"/>
        </w:rPr>
        <w:t>Thomas C. Priore</w:t>
      </w:r>
    </w:p>
    <w:p>
      <w:pPr>
        <w:spacing w:after="0" w:line="67"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p>
      <w:pPr>
        <w:spacing w:after="0" w:line="69"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ectPr>
          <w:pgSz w:w="11900" w:h="16838" w:orient="portrait"/>
          <w:cols w:equalWidth="0" w:num="1">
            <w:col w:w="10860"/>
          </w:cols>
          <w:pgMar w:left="740" w:top="138" w:right="29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w:t>
      </w:r>
    </w:p>
    <w:p>
      <w:pPr>
        <w:spacing w:after="0" w:line="33" w:lineRule="exact"/>
        <w:rPr>
          <w:sz w:val="20"/>
          <w:szCs w:val="20"/>
          <w:color w:val="auto"/>
        </w:rPr>
      </w:pPr>
    </w:p>
    <w:p>
      <w:pPr>
        <w:ind w:left="3888"/>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3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Timothy M. O’Leary, certify that:</w:t>
      </w:r>
    </w:p>
    <w:p>
      <w:pPr>
        <w:spacing w:after="0" w:line="186" w:lineRule="exact"/>
        <w:rPr>
          <w:sz w:val="20"/>
          <w:szCs w:val="20"/>
          <w:color w:val="auto"/>
        </w:rPr>
      </w:pPr>
    </w:p>
    <w:p>
      <w:pPr>
        <w:ind w:left="208" w:hanging="208"/>
        <w:spacing w:after="0"/>
        <w:tabs>
          <w:tab w:leader="none" w:pos="20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195" w:lineRule="exact"/>
        <w:rPr>
          <w:rFonts w:ascii="Times New Roman" w:cs="Times New Roman" w:eastAsia="Times New Roman" w:hAnsi="Times New Roman"/>
          <w:sz w:val="12"/>
          <w:szCs w:val="12"/>
          <w:color w:val="auto"/>
        </w:rPr>
      </w:pPr>
    </w:p>
    <w:p>
      <w:pPr>
        <w:ind w:left="208" w:right="200" w:hanging="208"/>
        <w:spacing w:after="0" w:line="311" w:lineRule="auto"/>
        <w:tabs>
          <w:tab w:leader="none" w:pos="20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2"/>
          <w:szCs w:val="12"/>
          <w:color w:val="auto"/>
        </w:rPr>
      </w:pPr>
    </w:p>
    <w:p>
      <w:pPr>
        <w:ind w:left="208" w:right="100" w:hanging="208"/>
        <w:spacing w:after="0" w:line="311" w:lineRule="auto"/>
        <w:tabs>
          <w:tab w:leader="none" w:pos="20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2"/>
          <w:szCs w:val="12"/>
          <w:color w:val="auto"/>
        </w:rPr>
      </w:pPr>
    </w:p>
    <w:p>
      <w:pPr>
        <w:ind w:left="208" w:right="220" w:hanging="208"/>
        <w:spacing w:after="0" w:line="311" w:lineRule="auto"/>
        <w:tabs>
          <w:tab w:leader="none" w:pos="20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Times New Roman" w:cs="Times New Roman" w:eastAsia="Times New Roman" w:hAnsi="Times New Roman"/>
          <w:sz w:val="12"/>
          <w:szCs w:val="12"/>
          <w:color w:val="auto"/>
        </w:rPr>
      </w:pPr>
    </w:p>
    <w:p>
      <w:pPr>
        <w:ind w:left="648" w:right="440" w:hanging="216"/>
        <w:spacing w:after="0" w:line="289" w:lineRule="auto"/>
        <w:tabs>
          <w:tab w:leader="none" w:pos="646"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289" w:lineRule="auto"/>
        <w:tabs>
          <w:tab w:leader="none" w:pos="644"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289" w:lineRule="auto"/>
        <w:tabs>
          <w:tab w:leader="none" w:pos="646"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326" w:lineRule="auto"/>
        <w:tabs>
          <w:tab w:leader="none" w:pos="644"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12"/>
          <w:szCs w:val="12"/>
          <w:color w:val="auto"/>
        </w:rPr>
      </w:pPr>
    </w:p>
    <w:p>
      <w:pPr>
        <w:ind w:left="208" w:right="40" w:hanging="208"/>
        <w:spacing w:after="0" w:line="326" w:lineRule="auto"/>
        <w:tabs>
          <w:tab w:leader="none" w:pos="20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2"/>
          <w:szCs w:val="12"/>
          <w:color w:val="auto"/>
        </w:rPr>
      </w:pPr>
    </w:p>
    <w:p>
      <w:pPr>
        <w:ind w:left="648" w:right="40" w:hanging="216"/>
        <w:spacing w:after="0" w:line="326" w:lineRule="auto"/>
        <w:tabs>
          <w:tab w:leader="none" w:pos="646"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308"/>
          </w:cols>
          <w:pgMar w:left="292" w:top="138" w:right="29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(b) 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7940" w:val="left"/>
        </w:tabs>
        <w:rPr>
          <w:sz w:val="20"/>
          <w:szCs w:val="20"/>
          <w:color w:val="auto"/>
        </w:rPr>
      </w:pPr>
      <w:r>
        <w:rPr>
          <w:rFonts w:ascii="Times New Roman" w:cs="Times New Roman" w:eastAsia="Times New Roman" w:hAnsi="Times New Roman"/>
          <w:sz w:val="23"/>
          <w:szCs w:val="23"/>
          <w:color w:val="auto"/>
          <w:vertAlign w:val="subscript"/>
        </w:rPr>
        <w:t>May 6, 2025</w:t>
      </w:r>
      <w:r>
        <w:rPr>
          <w:sz w:val="20"/>
          <w:szCs w:val="20"/>
          <w:color w:val="auto"/>
        </w:rPr>
        <w:tab/>
      </w:r>
      <w:r>
        <w:rPr>
          <w:rFonts w:ascii="Times New Roman" w:cs="Times New Roman" w:eastAsia="Times New Roman" w:hAnsi="Times New Roman"/>
          <w:sz w:val="11"/>
          <w:szCs w:val="11"/>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26670</wp:posOffset>
            </wp:positionV>
            <wp:extent cx="3068955" cy="11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3068955" cy="11430"/>
                    </a:xfrm>
                    <a:prstGeom prst="rect">
                      <a:avLst/>
                    </a:prstGeom>
                    <a:noFill/>
                  </pic:spPr>
                </pic:pic>
              </a:graphicData>
            </a:graphic>
          </wp:anchor>
        </w:drawing>
      </w:r>
    </w:p>
    <w:p>
      <w:pPr>
        <w:spacing w:after="0" w:line="4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2"/>
          <w:szCs w:val="12"/>
          <w:color w:val="auto"/>
        </w:rPr>
        <w:t>Timothy M. O’Leary</w:t>
      </w:r>
    </w:p>
    <w:p>
      <w:pPr>
        <w:spacing w:after="0" w:line="67"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6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ectPr>
          <w:pgSz w:w="11900" w:h="16838" w:orient="portrait"/>
          <w:cols w:equalWidth="0" w:num="1">
            <w:col w:w="11260"/>
          </w:cols>
          <w:pgMar w:left="340" w:top="138" w:right="29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2"/>
          <w:szCs w:val="1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AND PRINCIPAL FINANCIAL OFFICER</w:t>
      </w:r>
    </w:p>
    <w:p>
      <w:pPr>
        <w:spacing w:after="0" w:line="3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2"/>
          <w:szCs w:val="12"/>
          <w:b w:val="1"/>
          <w:bCs w:val="1"/>
          <w:color w:val="auto"/>
        </w:rPr>
        <w:t>PURSUANT TO 18 U.S.C. SECTION 1350, AS ADOPTED PURSUANT TO SECTION 906 OF THE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361"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2"/>
          <w:szCs w:val="12"/>
          <w:color w:val="auto"/>
        </w:rPr>
        <w:t>In connection with the Quarterly Report on Form 10-Q of Priority Technology Holdings, Inc. (the "Company") for the quarter ended March 31, 2025 as filed with the Securities and Exchange Commission (the "Report"), each of the undersigned, on the dates indicated below, hereby certifies pursuant to 18 U.S.C. Section 1350, as adopted pursuant to Section 906 of the Sarbanes-Oxley Act of 2002, that:</w:t>
      </w:r>
    </w:p>
    <w:p>
      <w:pPr>
        <w:spacing w:after="0" w:line="137"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Act of 1934; and</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 of the Company.</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May 6, 2025</w:t>
            </w:r>
          </w:p>
        </w:tc>
        <w:tc>
          <w:tcPr>
            <w:tcW w:w="6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147"/>
        </w:trPr>
        <w:tc>
          <w:tcPr>
            <w:tcW w:w="4600" w:type="dxa"/>
            <w:vAlign w:val="bottom"/>
          </w:tcPr>
          <w:p>
            <w:pPr>
              <w:spacing w:after="0"/>
              <w:rPr>
                <w:sz w:val="12"/>
                <w:szCs w:val="12"/>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Thomas C. Priore</w:t>
            </w:r>
          </w:p>
        </w:tc>
      </w:tr>
      <w:tr>
        <w:trPr>
          <w:trHeight w:val="153"/>
        </w:trPr>
        <w:tc>
          <w:tcPr>
            <w:tcW w:w="4600" w:type="dxa"/>
            <w:vAlign w:val="bottom"/>
          </w:tcPr>
          <w:p>
            <w:pPr>
              <w:spacing w:after="0"/>
              <w:rPr>
                <w:sz w:val="13"/>
                <w:szCs w:val="13"/>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tc>
      </w:tr>
      <w:tr>
        <w:trPr>
          <w:trHeight w:val="157"/>
        </w:trPr>
        <w:tc>
          <w:tcPr>
            <w:tcW w:w="4600" w:type="dxa"/>
            <w:vAlign w:val="bottom"/>
          </w:tcPr>
          <w:p>
            <w:pPr>
              <w:spacing w:after="0"/>
              <w:rPr>
                <w:sz w:val="13"/>
                <w:szCs w:val="13"/>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r>
        <w:trPr>
          <w:trHeight w:val="720"/>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May 6, 2025</w:t>
            </w:r>
          </w:p>
        </w:tc>
        <w:tc>
          <w:tcPr>
            <w:tcW w:w="6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TIMOTHY M. O’LEARY</w:t>
            </w:r>
          </w:p>
        </w:tc>
      </w:tr>
      <w:tr>
        <w:trPr>
          <w:trHeight w:val="147"/>
        </w:trPr>
        <w:tc>
          <w:tcPr>
            <w:tcW w:w="4600" w:type="dxa"/>
            <w:vAlign w:val="bottom"/>
          </w:tcPr>
          <w:p>
            <w:pPr>
              <w:spacing w:after="0"/>
              <w:rPr>
                <w:sz w:val="12"/>
                <w:szCs w:val="12"/>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Timothy M. O’Leary</w:t>
            </w:r>
          </w:p>
        </w:tc>
      </w:tr>
      <w:tr>
        <w:trPr>
          <w:trHeight w:val="153"/>
        </w:trPr>
        <w:tc>
          <w:tcPr>
            <w:tcW w:w="4600" w:type="dxa"/>
            <w:vAlign w:val="bottom"/>
          </w:tcPr>
          <w:p>
            <w:pPr>
              <w:spacing w:after="0"/>
              <w:rPr>
                <w:sz w:val="13"/>
                <w:szCs w:val="13"/>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r>
      <w:tr>
        <w:trPr>
          <w:trHeight w:val="157"/>
        </w:trPr>
        <w:tc>
          <w:tcPr>
            <w:tcW w:w="4600" w:type="dxa"/>
            <w:vAlign w:val="bottom"/>
          </w:tcPr>
          <w:p>
            <w:pPr>
              <w:spacing w:after="0"/>
              <w:rPr>
                <w:sz w:val="13"/>
                <w:szCs w:val="13"/>
                <w:color w:val="auto"/>
              </w:rPr>
            </w:pPr>
          </w:p>
        </w:tc>
        <w:tc>
          <w:tcPr>
            <w:tcW w:w="666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300"/>
      </w:cols>
      <w:pgMar w:left="300" w:top="13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1"/>
    </w:lvl>
    <w:lvl w:ilvl="1">
      <w:lvlJc w:val="left"/>
      <w:lvlText w:val="(%2)"/>
      <w:numFmt w:val="decimal"/>
      <w:start w:val="1"/>
    </w:lvl>
  </w:abstractNum>
  <w:abstractNum w:abstractNumId="7">
    <w:nsid w:val="7C83E458"/>
    <w:multiLevelType w:val="hybridMultilevel"/>
    <w:lvl w:ilvl="0">
      <w:lvlJc w:val="left"/>
      <w:lvlText w:val="%1."/>
      <w:numFmt w:val="decimal"/>
      <w:start w:val="5"/>
    </w:lvl>
    <w:lvl w:ilvl="1">
      <w:lvlJc w:val="left"/>
      <w:lvlText w:val="%2"/>
      <w:numFmt w:val="decimal"/>
      <w:start w:val="1"/>
    </w:lvl>
  </w:abstractNum>
  <w:abstractNum w:abstractNumId="8">
    <w:nsid w:val="257130A3"/>
    <w:multiLevelType w:val="hybridMultilevel"/>
    <w:lvl w:ilvl="0">
      <w:lvlJc w:val="left"/>
      <w:lvlText w:val="%1"/>
      <w:numFmt w:val="decimal"/>
      <w:start w:val="1"/>
    </w:lvl>
    <w:lvl w:ilvl="1">
      <w:lvlJc w:val="left"/>
      <w:lvlText w:val="(%2)"/>
      <w:numFmt w:val="decimal"/>
      <w:start w:val="1"/>
    </w:lvl>
  </w:abstractNum>
  <w:abstractNum w:abstractNumId="9">
    <w:nsid w:val="62BBD95A"/>
    <w:multiLevelType w:val="hybridMultilevel"/>
    <w:lvl w:ilvl="0">
      <w:lvlJc w:val="left"/>
      <w:lvlText w:val="%1."/>
      <w:numFmt w:val="decimal"/>
      <w:start w:val="8"/>
    </w:lvl>
    <w:lvl w:ilvl="1">
      <w:lvlJc w:val="left"/>
      <w:lvlText w:val="%2"/>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5"/>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5"/>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74" Type="http://schemas.openxmlformats.org/officeDocument/2006/relationships/hyperlink" Target="https://www.sec.gov/Archives/edgar/data/1653558/000161577418006226/s111183_defm14a.htm" TargetMode="External"/><Relationship Id="rId75" Type="http://schemas.openxmlformats.org/officeDocument/2006/relationships/hyperlink" Target="https://www.sec.gov/Archives/edgar/data/1653558/000165355821000031/projectwarriorfinxera-merg.htm" TargetMode="External"/><Relationship Id="rId76" Type="http://schemas.openxmlformats.org/officeDocument/2006/relationships/hyperlink" Target="https://www.sec.gov/Archives/edgar/data/1653558/000165355821000060/annex1certificateofamendme.htm" TargetMode="External"/><Relationship Id="rId77" Type="http://schemas.openxmlformats.org/officeDocument/2006/relationships/hyperlink" Target="https://www.sec.gov/Archives/edgar/data/0001653558/000165355821000031/projectwarriorfinxera-merg.htm" TargetMode="External"/><Relationship Id="rId78" Type="http://schemas.openxmlformats.org/officeDocument/2006/relationships/hyperlink" Target="https://www.sec.gov/Archives/edgar/data/1653558/000161577418007231/s111606_ex3-1.htm" TargetMode="External"/><Relationship Id="rId79" Type="http://schemas.openxmlformats.org/officeDocument/2006/relationships/hyperlink" Target="https://www.sec.gov/Archives/edgar/data/1653558/000161577418007231/s111606_ex3-2.htm" TargetMode="External"/><Relationship Id="rId80" Type="http://schemas.openxmlformats.org/officeDocument/2006/relationships/hyperlink" Target="https://www.sec.gov/Archives/edgar/data/1653558/000161577416007233/s104127_ex4-1.htm" TargetMode="External"/><Relationship Id="rId81" Type="http://schemas.openxmlformats.org/officeDocument/2006/relationships/hyperlink" Target="https://www.sec.gov/Archives/edgar/data/1653558/000165355821000065/exhibit31-priorityxcertifi.htm" TargetMode="External"/><Relationship Id="rId82" Type="http://schemas.openxmlformats.org/officeDocument/2006/relationships/hyperlink" Target="https://www.sec.gov/Archives/edgar/data/1653558/000161577418007231/s111606_ex10-1.htm" TargetMode="External"/><Relationship Id="rId83" Type="http://schemas.openxmlformats.org/officeDocument/2006/relationships/hyperlink" Target="https://www.sec.gov/Archives/edgar/data/1653558/000161577418007231/s111606_ex10-2.htm" TargetMode="External"/><Relationship Id="rId84" Type="http://schemas.openxmlformats.org/officeDocument/2006/relationships/hyperlink" Target="https://www.sec.gov/Archives/edgar/data/0001653558/000165355821000101/ex1021prioritytechnologyq2.htm" TargetMode="External"/><Relationship Id="rId85" Type="http://schemas.openxmlformats.org/officeDocument/2006/relationships/hyperlink" Target="https://www.sec.gov/Archives/edgar/data/1653558/000165355822000028/prioritytechnology-ex1031x.htm" TargetMode="External"/><Relationship Id="rId86" Type="http://schemas.openxmlformats.org/officeDocument/2006/relationships/hyperlink" Target="https://www.sec.gov/Archives/edgar/data/1653558/000161577418014981/s114881_ex10-6.htm" TargetMode="External"/><Relationship Id="rId87" Type="http://schemas.openxmlformats.org/officeDocument/2006/relationships/hyperlink" Target="https://www.sec.gov/Archives/edgar/data/1653558/000161577418014981/s114881_ex10-7.htm" TargetMode="External"/><Relationship Id="rId88" Type="http://schemas.openxmlformats.org/officeDocument/2006/relationships/hyperlink" Target="http://www.sec.gov/Archives/edgar/data/1653558/000162828019003666/prioritytechnology-ex1019.htm" TargetMode="External"/><Relationship Id="rId89" Type="http://schemas.openxmlformats.org/officeDocument/2006/relationships/hyperlink" Target="https://www.sec.gov/Archives/edgar/data/1653558/000165355820000148/assetpurchaseagreement.htm" TargetMode="External"/><Relationship Id="rId90" Type="http://schemas.openxmlformats.org/officeDocument/2006/relationships/hyperlink" Target="https://www.sec.gov/Archives/edgar/data/0001653558/000165355821000031/exhibith-supportagreemente.htm" TargetMode="External"/><Relationship Id="rId91" Type="http://schemas.openxmlformats.org/officeDocument/2006/relationships/hyperlink" Target="https://www.sec.gov/Archives/edgar/data/0001653558/000165355821000031/priorityprojectwarrior-tru.htm" TargetMode="External"/><Relationship Id="rId94" Type="http://schemas.openxmlformats.org/officeDocument/2006/relationships/hyperlink" Target="https://www.sec.gov/Archives/edgar/data/0001653558/000165355821000031/priority-arespreferredcomm.htm" TargetMode="External"/><Relationship Id="rId95" Type="http://schemas.openxmlformats.org/officeDocument/2006/relationships/hyperlink" Target="https://www.sec.gov/Archives/edgar/data/0001653558/000165355821000065/exhibit101-priorityxpurcha.htm" TargetMode="External"/><Relationship Id="rId96" Type="http://schemas.openxmlformats.org/officeDocument/2006/relationships/hyperlink" Target="https://www.sec.gov/Archives/edgar/data/0001653558/000165355821000065/exhibit102-priorityxregist.htm" TargetMode="External"/><Relationship Id="rId97" Type="http://schemas.openxmlformats.org/officeDocument/2006/relationships/hyperlink" Target="https://www.sec.gov/Archives/edgar/data/1653558/000165355822000094/ex1023formrestrictedstocku.htm" TargetMode="External"/><Relationship Id="rId98" Type="http://schemas.openxmlformats.org/officeDocument/2006/relationships/hyperlink" Target="https://www.sec.gov/Archives/edgar/data/1653558/000165355823000030/prioritytechnology-ex108.htm" TargetMode="External"/><Relationship Id="rId99" Type="http://schemas.openxmlformats.org/officeDocument/2006/relationships/hyperlink" Target="https://www.sec.gov/Archives/edgar/data/1653558/000165355823000056/ex1025priorityrecoupmentcl.htm" TargetMode="External"/><Relationship Id="rId100" Type="http://schemas.openxmlformats.org/officeDocument/2006/relationships/hyperlink" Target="https://www.sec.gov/Archives/edgar/data/1653558/000165355823000087/ex101projectbellamy-amen.htm" TargetMode="External"/><Relationship Id="rId101" Type="http://schemas.openxmlformats.org/officeDocument/2006/relationships/hyperlink" Target="https://www.sec.gov/Archives/edgar/data/1653558/000165355823000087/ex102priority-sideletter.htm" TargetMode="External"/><Relationship Id="rId102" Type="http://schemas.openxmlformats.org/officeDocument/2006/relationships/hyperlink" Target="https://www.sec.gov/Archives/edgar/data/1653558/000165355823000087/ex103projectbellamy-earnou.htm" TargetMode="External"/><Relationship Id="rId103" Type="http://schemas.openxmlformats.org/officeDocument/2006/relationships/hyperlink" Target="https://www.sec.gov/Archives/edgar/data/1653558/000165355823000100/ex1023priority-amendedandr.htm" TargetMode="External"/><Relationship Id="rId104" Type="http://schemas.openxmlformats.org/officeDocument/2006/relationships/hyperlink" Target="https://www.sec.gov/ix?doc=/Archives/edgar/data/1653558/000165355824000073/prth-20240516.htm" TargetMode="External"/><Relationship Id="rId105" Type="http://schemas.openxmlformats.org/officeDocument/2006/relationships/hyperlink" Target="https://www.sec.gov/ix?doc=/Archives/edgar/data/0001653558/000165355824000153/prth-20241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2025-05-06T08:25:44Z</dcterms:created>
  <dcterms:modified xsi:type="dcterms:W3CDTF">2025-05-06T08:25:44Z</dcterms:modified>
</cp:coreProperties>
</file>