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Priority Technology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Thomas C. Priore</w:t>
              <w:br/>
              <w:t>c/o Priority Technology Holdings, Inc., 2001 Westside Parkway, Suite 155</w:t>
              <w:br/>
              <w:t>Alpharetta, GA, 30004</w:t>
              <w:br/>
              <w:t>(800) 935-5961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Thomas C. Priore</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34,066,776.00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12,500,000.00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34,066,776.00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12,500,000.00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46,566,776.00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56.5 %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Calculated based on 82,440,372 shares of common stock, par value $0.001 per share ("Common Stock"), of Priority Technology Holdings, Inc. (the "Issuer") issued and outstanding as of July 31, 2026, as reported in the Issuer's Quarterly Report on Form 10-Q filed with the Securities and Exchange Commission ("SEC") on August 6, 2026 (the "Quarterly Report").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John V. Priore</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67,207.00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4,000,000.00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67,207.00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4,000,000.00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4,067,207.00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Rows 8, 10, and 11: Includes 4,000,000 shares of Common Stock held directly by AESV CreditCard Consulting, LLC. Row 13: Calculated based on 82,440,372 shares of Common Stock issued and outstanding as of July 31, 2026, as reported in the Quarterly Report.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AESV CreditCard Consulting,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4,000,000.00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4,000,000.00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4,000,000.00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4.9 %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Row 13: Calculated based on 82,440,372 shares of Common Stock issued and outstanding as of July 31, 2026, as reported in the Quarterly Report.</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item1to7"/>
      <w:bookmarkStart w:id="19" w:name="item1to7"/>
      <w:bookmarkEnd w:id="19"/>
    </w:p>
    <w:tbl>
      <w:tblPr>
        <w:tblW w:w="10205" w:type="dxa"/>
        <w:jc w:val="left"/>
        <w:tblInd w:w="0" w:type="dxa"/>
        <w:tblLayout w:type="fixed"/>
        <w:tblCellMar>
          <w:top w:w="28" w:type="dxa"/>
          <w:left w:w="28" w:type="dxa"/>
          <w:bottom w:w="28" w:type="dxa"/>
          <w:right w:w="28" w:type="dxa"/>
        </w:tblCellMar>
      </w:tblPr>
      <w:tblGrid>
        <w:gridCol w:w="1164"/>
        <w:gridCol w:w="8886"/>
        <w:gridCol w:w="155"/>
      </w:tblGrid>
      <w:tr>
        <w:trPr/>
        <w:tc>
          <w:tcPr>
            <w:tcW w:w="1164" w:type="dxa"/>
            <w:tcBorders/>
            <w:vAlign w:val="center"/>
          </w:tcPr>
          <w:p>
            <w:pPr>
              <w:pStyle w:val="TableContents"/>
              <w:bidi w:val="0"/>
              <w:spacing w:before="0" w:after="283"/>
              <w:jc w:val="left"/>
              <w:rPr/>
            </w:pPr>
            <w:r>
              <w:rPr/>
              <w:t>Item 1.</w:t>
            </w:r>
          </w:p>
        </w:tc>
        <w:tc>
          <w:tcPr>
            <w:tcW w:w="8886"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jc w:val="left"/>
              <w:rPr/>
            </w:pPr>
            <w:r>
              <w:rPr/>
              <w:t xml:space="preserve">Name of Issuer: </w:t>
            </w:r>
          </w:p>
          <w:p>
            <w:pPr>
              <w:pStyle w:val="TableContents"/>
              <w:bidi w:val="0"/>
              <w:spacing w:before="0" w:after="0"/>
              <w:jc w:val="left"/>
              <w:rPr/>
            </w:pPr>
            <w:r>
              <w:rPr/>
              <w:t>Priority Technology Holdings, Inc.</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2001 Westside Parkway, Suite 155, Alpharetta, GEORGIA , 30004.</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7 ("Amendment No. 7") and amends and supplements the statement on Schedule 13D filed with the SEC on July 25, 2018 (the "Original Schedule 13D"), as amended by Amendment No. 1 to the Original Schedule 13D filed with the SEC on August 21, 2019 ("Amendment No. 1"), Amendment No. 2 to the Original Schedule 13D filed with the SEC on November 19, 2019 ("Amendment No. 2"), Amendment No. 3 to the Original Schedule 13D filed with the SEC on April 6, 2020 ("Amendment No. 3"), Amendment No. 4 to the Original Schedule 13D filed with the SEC on June 21, 2024 ("Amendment No. 4"), Amendment No. 5 to Original Schedule 13D filed with the SEC on November 10, 2025 ("Amendment No. 5") and Amendment No. 6 to the Original Schedule 13D filed with the SEC on December 18, 2025 ("Amendment No. 6") (collectively, the "Schedule 13D"). The Schedule 13D remains in full force and effect, except as specifically amended by this Amendment No. 7. Capitalized terms used herein and not otherwise defined in this Amendment No. 7 have the meanings set forth in the Schedule 13D.</w:t>
            </w:r>
          </w:p>
        </w:tc>
      </w:tr>
      <w:tr>
        <w:trPr/>
        <w:tc>
          <w:tcPr>
            <w:tcW w:w="1164" w:type="dxa"/>
            <w:tcBorders/>
            <w:vAlign w:val="center"/>
          </w:tcPr>
          <w:p>
            <w:pPr>
              <w:pStyle w:val="TableContents"/>
              <w:bidi w:val="0"/>
              <w:spacing w:before="0" w:after="283"/>
              <w:jc w:val="left"/>
              <w:rPr/>
            </w:pPr>
            <w:r>
              <w:rPr/>
              <w:t>Item 2.</w:t>
            </w:r>
          </w:p>
        </w:tc>
        <w:tc>
          <w:tcPr>
            <w:tcW w:w="8886"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0"/>
              <w:jc w:val="left"/>
              <w:rPr/>
            </w:pPr>
            <w:r>
              <w:rPr/>
              <w:t>Item 2 of the Schedule 13D is hereby amended and restated as follows: This statement is filed by the following reporting persons (each a "Reporting Person" and collectively, the "Reporting Persons"): 1. Thomas C. Priore 2. John V. Priore 3. AESV CreditCard Consulting LLC ("AESV"). It is a Delaware limited liability company and its principal business address is 13620 Pondview Circle, Naples, FL. 34119. Its principal business is to hold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0"/>
              <w:jc w:val="left"/>
              <w:rPr/>
            </w:pPr>
            <w:r>
              <w:rPr/>
              <w:t>With respect to the individuals identified by number in Item 2(a) above: 1. His principal business address is c/o Priority Technology Holdings, Inc., 2001 Westside Parkway, Suite 155, Alpharetta, GA 30004. 2. His principal business address is 13620 Pondview Circle, Naples, FL. 34119.</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0"/>
              <w:jc w:val="left"/>
              <w:rPr/>
            </w:pPr>
            <w:r>
              <w:rPr/>
              <w:t>With respect to the individuals identified by number in Item 2(a) above: 1. His principal occupation is Chairman and Chief Executive Officer of the Issuer. 2. His principal occupation is Manager of AESV.</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0"/>
              <w:jc w:val="left"/>
              <w:rPr/>
            </w:pPr>
            <w:r>
              <w:rPr/>
              <w:t>With respect to all persons identified in Item 2(a) above: None.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0"/>
              <w:jc w:val="left"/>
              <w:rPr/>
            </w:pPr>
            <w:r>
              <w:rPr/>
              <w:t>With respect to all persons identified in Item 2(a) above: None.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(f)</w:t>
            </w:r>
          </w:p>
        </w:tc>
        <w:tc>
          <w:tcPr>
            <w:tcW w:w="8886" w:type="dxa"/>
            <w:tcBorders/>
            <w:vAlign w:val="center"/>
          </w:tcPr>
          <w:p>
            <w:pPr>
              <w:pStyle w:val="TableContents"/>
              <w:bidi w:val="0"/>
              <w:spacing w:before="0" w:after="0"/>
              <w:jc w:val="left"/>
              <w:rPr/>
            </w:pPr>
            <w:r>
              <w:rPr/>
              <w:t>With respect to the individuals identified by number (1 and 2) in Item 2(a) above: United States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3.</w:t>
            </w:r>
          </w:p>
        </w:tc>
        <w:tc>
          <w:tcPr>
            <w:tcW w:w="8886"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Item 3 of the Schedule 13D is hereby amended and supplemented by adding the following: The information set forth in Item 4 of this Amendment No. 7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4.</w:t>
            </w:r>
          </w:p>
        </w:tc>
        <w:tc>
          <w:tcPr>
            <w:tcW w:w="8886"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Item 4 of the Schedule 13D is hereby amended and supplemented by adding the following: Merger Agreement On September 18, 2026, the Issuer entered into an Agreement and Plan of Merger (as it may be amended, restated, supplemented or modified from time to time, the "Merger Agreement") with WD Capital Partners Parent Inc., a Delaware corporation ("Parent") and WD Capital Partners Merger Sub Inc., a Delaware corporation and a direct, wholly owned subsidiary of Parent ("Merger Sub"), pursuant to which Merger Sub will merge with and into the Company (the "Merger"), with the Issuer surviving the Merger as a wholly owned subsidiary of Parent. Parent and Merger Sub are entities controlled by Thomas C. Priore, the Issuer's Chairman and Chief Executive Officer (the "Majority Stockholder") and certain of his affiliates. Pursuant to the Merger Agreement, at the effective time of the Merger (the "Effective Time"), each share of Common Stock of the Issuer issued and outstanding immediately prior to the Effective Time (other than (a) shares held by the Issuer or any of its direct or indirect wholly owned subsidiaries, (b) shares owned by Parent, Merger Sub or any of their respective affiliates including the Rollover Shares (as defined below), and (c) shares held by the Issuer's stockholders who have properly perfected appraisal rights under Section 262 of the Delaware General Corporation Law (the "DGCL")) will be converted automatically into the right to receive from Parent $8.05 per share in cash, without interest and subject to any withholding taxes required by applicable law. At the Effective Time, all outstanding Issuer stock options granted under the Issuer's 2018 Equity Incentive Plan (the "Issuer Stock Plan") will become fully vested, be canceled and converted into the right to receive a cash payment equal to the excess, if any, of the Merger Consideration over the applicable exercise price, multiplied by the number of shares of Common Stock subject to such option. All outstanding restricted stock unit awards will become fully vested and be canceled and be converted into the right to receive the Merger Consideration per underlying share of Common Stock. All outstanding performance stock unit awards will become fully vested (with performance deemed achieved at target-level performance) and be canceled and be converted into the right to receive the Merger Consideration per underlying share of Common Stock. All such payments will be made as promptly as practicable following, but in no event later than ten business days after, the Effective Time. All such payments will be subject to applicable tax withholdings. The Merger Agreement contains customary non-solicitation provisions restricting the Issuer's ability to solicit or engage in discussions regarding competing acquisition proposals. The Issuer is permitted to grant waivers of, and not enforce, any standstill provision that has the effect of prohibiting the counterparty from making an unsolicited acquisition proposal. Notwithstanding these restrictions, prior to receipt of the stockholder approval described below, the Issuer may engage with parties who submit unsolicited bona fide written acquisition proposals after the date of the Merger Agreement that the special committee of the Issuer determines in good faith constitute or could reasonably be expected to lead to a Company Superior Proposal (as defined in the Merger Agreement) and where the failure to engage would reasonably be expected to be inconsistent with the Special Committee's fiduciary duties under applicable law. The consummation of the Merger is subject to customary closing conditions, including the receipt of the (i)(a) the affirmative vote of holders of a majority of the voting power of all outstanding shares of Common Stock, entitled to vote, voting as a single class, and (b) the affirmative vote of a majority of the votes cast by the "disinterested stockholders" (as defined in Section 144 of the DGCL) (the foregoing clauses (a) and (b), collectively, the "Issuer Stockholder Approval"), (ii) the absence of any law or governmental order in the United States prohibiting the Merger, (iii) the receipt of certain state regulatory approvals in respect of the Issuer's money transmitter licenses arising out of a change of control of the Issuer as a result of the Merger and related transactions, (iv) the accuracy of the representations and warranties of the parties (generally subject to a material adverse effect standard), (v) the performance of the covenants of the parties in all material respects, and (vi) the absence of a Company Material Adverse Effect (as defined in the Merger Agreement). The obligation of Parent and Merger Sub to consummate the Merger is also conditioned on each of the Issuer's existing credit agreements with Truist Bank and Varde Partners, respectively, remaining in full force and effect. The Merger Agreement may be terminated by mutual written consent at any time prior to the closing of the Merger. Either party may also terminate the Merger Agreement if the Merger has not been consummated by December 18, 2027 (the "Outside Date"), if a final, non-appealable United States governmental order prohibits the Merger, or if the Issuer Stockholder Approval is not obtained. Either party may also terminate if the other party (or, in the case of the Parent, the Supporting Stockholders) breaches any representation, warranty, covenant or agreement such that the related closing conditions would not be satisfied, subject to a 30-day cure period (to the extent curable), provided that the terminating party (or, in the case of Parent, the Supporting Stockholders) is not then in breach that would cause its own closing conditions to fail. In certain specified situations described in the Merger Agreement, the Issuer may be required to pay Parent a termination fee of $15,750,000 and Parent may be required to pay the Issuer a termination fee of $35,250,000. If the Merger is consummated, the shares of Common Stock, which are currently listed on the Nasdaq Capital Market ("Nasdaq"), will be delisted from Nasdaq and deregistered under the Exchange Act, and the Issuer will no longer be publicly traded and will become a wholly owned subsidiary of Parent, which is controlled by the Majority Stockholder through WD Capital Partners Holdings LP, a Delaware limited partnership and an affiliate of Parent ("Holdings"). Limited Guaranty and Equity Commitment Letter Parent expects to fund the payment of the aggregate Merger Consideration and related fees and expenses through a combination of: (i) equity financing up to $160 million from funds advised by Searchlight Capital Partners, L.P. (collectively, the "Equity Financing Source") pursuant to an equity commitment letter delivered to the Issuer concurrently with the execution of the Merger Agreement (the "Equity Commitment Letter," and such equity financing, the "Financing"); (ii) a borrowing under the Issuer's existing credit agreement with Truist Bank; and (iii) available cash of the Issuer and its subsidiaries. The Issuer is a third-party beneficiary of the Equity Commitment Letter for purposes of specifically enforcing the terms and provisions thereunder under certain circumstances. Concurrently with the execution of the Equity Commitment Letter, the Equity Financing Source delivered to the Company a limited guaranty (the "Limited Guaranty"), pursuant to which the Equity Financing Source has guaranteed certain obligations of Parent under the Merger Agreement, subject to an aggregate cap. The Merger is not subject to a financing condition. Support Agreement On September 18, 2026, concurrently with the execution of the Merger Agreement, Thomas C. Priore, certain of his affiliates and certain other stockholders of the Company (collectively, the "Supporting Stockholders"), who collectively own approximately 61.4% of the outstanding shares of Common Stock, entered into Support Agreements (collectively, the "Support Agreements") with the Company, Parent and Holdings. Pursuant to the Support Agreements, each of the Supporting Stockholders have agreed, among other things: (a) to vote all shares of Common Stock owned by them or their controlled affiliates (i) in favor of the adoption of the Merger Agreement and the approval of the Merger and any related proposals and (ii) against any competing acquisition proposal and any other action that would reasonably be expected to impede or delay the Merger; (b) immediately prior to the Effective Time, to contribute and transfer all of such Supporting Stockholder's shares of Common Stock (the "Rollover Shares") to Holdings in exchange for newly issued equity interests of Holdings (the "Rollover"), (c) use reasonable best efforts to supply complete and accurate information for regulatory filings and comply with notice and coordination requirements for regulatory matters; (d) not to transfer its Rollover Shares prior to the Effective Time, subject to certain exceptions, and (e) to waive any appraisal or dissenters' rights under Section 262 of the DGCL with respect to such Supporting Stockholder's shares. The Support Agreements will terminate upon the earlier of the termination of the Merger Agreement in accordance with its terms and the Effective Time. Interim Investors Agreement In connection with the Merger, Holdings, Parent, Merger Sub, the Controlling Stockholder, and an affiliate of the Equity Financing Source entered into an interim investors agreement (the "Interim Investors Agreement") in order to establish certain terms and conditions that will govern the relationship among them with respect to the Merger Agreement and the transactions contemplated thereby. The foregoing descriptions of the Merger Agreement, the Support Agreement and the Interim Investors Agreement (each a "Merger Document", and collectively, the "Merger Documents") do not purport to be complete and are qualified in their entirety by reference to the full text of each such Merger Document, and each of the Merger Agreement, the Support Agreement and the Interim Investors Agreement is included as an exhibit to this Schedule 13D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5.</w:t>
            </w:r>
          </w:p>
        </w:tc>
        <w:tc>
          <w:tcPr>
            <w:tcW w:w="8886"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(a)</w:t>
            </w:r>
          </w:p>
        </w:tc>
        <w:tc>
          <w:tcPr>
            <w:tcW w:w="8886" w:type="dxa"/>
            <w:tcBorders/>
            <w:vAlign w:val="center"/>
          </w:tcPr>
          <w:p>
            <w:pPr>
              <w:pStyle w:val="TableContents"/>
              <w:bidi w:val="0"/>
              <w:spacing w:before="0" w:after="0"/>
              <w:jc w:val="left"/>
              <w:rPr/>
            </w:pPr>
            <w:r>
              <w:rPr/>
              <w:t>The information set forth on the cover pages hereto is hereby incorporated by reference.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(b)</w:t>
            </w:r>
          </w:p>
        </w:tc>
        <w:tc>
          <w:tcPr>
            <w:tcW w:w="8886" w:type="dxa"/>
            <w:tcBorders/>
            <w:vAlign w:val="center"/>
          </w:tcPr>
          <w:p>
            <w:pPr>
              <w:pStyle w:val="TableContents"/>
              <w:bidi w:val="0"/>
              <w:spacing w:before="0" w:after="0"/>
              <w:jc w:val="left"/>
              <w:rPr/>
            </w:pPr>
            <w:r>
              <w:rPr/>
              <w:t>The information set forth on the cover pages hereto is hereby incorporated by reference. As a result of each Reporting Person's actions in respect of the Merger, each Reporting Person may be deemed to be members of a "group" within the meaning of Section 13(d)(3) of the Exchange Act. As a result, the group may be deemed to have acquired beneficial ownership of all the shares of Common Stock beneficially owned by each member of the "group." As such, the group may be deemed to beneficially own in the aggregate 50,633,983 shares, which represents approximately 61.4% of the total outstanding shares of Common Stock of the Issuer. The foregoing does not include any shares of Common Stock which may be beneficially owned by any of the other parties to the Merger Documents who is not a Reporting Person in this Schedule 13D. Neither the filing of this Schedule 13D nor any of its contents, however, shall be deemed to constitute an admission by the Reporting Persons that any of them is the beneficial owner of any of the shares of Common Stock beneficially owned by any other members of the "group" and their respective affiliates for purposes of Section 13(d) of the Exchange Act or for any other purpose, and such beneficial ownership is expressly disclaimed.</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(c)</w:t>
            </w:r>
          </w:p>
        </w:tc>
        <w:tc>
          <w:tcPr>
            <w:tcW w:w="8886" w:type="dxa"/>
            <w:tcBorders/>
            <w:vAlign w:val="center"/>
          </w:tcPr>
          <w:p>
            <w:pPr>
              <w:pStyle w:val="TableContents"/>
              <w:bidi w:val="0"/>
              <w:spacing w:before="0" w:after="0"/>
              <w:jc w:val="left"/>
              <w:rPr/>
            </w:pPr>
            <w:r>
              <w:rPr/>
              <w:t>Except as set forth in this Schedule 13D, the Reporting Persons have not engaged in any transaction during the past 60 days involving shares of the Issuer's Common Stock.</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(d)</w:t>
            </w:r>
          </w:p>
        </w:tc>
        <w:tc>
          <w:tcPr>
            <w:tcW w:w="8886"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(e)</w:t>
            </w:r>
          </w:p>
        </w:tc>
        <w:tc>
          <w:tcPr>
            <w:tcW w:w="8886"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6.</w:t>
            </w:r>
          </w:p>
        </w:tc>
        <w:tc>
          <w:tcPr>
            <w:tcW w:w="8886"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The information set forth in Item 4 hereof is hereby incorporated by reference into this Item 6. Except as described herein, there are no such contracts, arrangements, understandings, or relationships with respect to any securities of the Company, including but not limited to transfer or voting of any of such securities, finder's fees, joint ventures, loan or option arrangements, puts or calls, guarantees of profits, division of profits or loss or the giving or withholding of proxies.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Item 7.</w:t>
            </w:r>
          </w:p>
        </w:tc>
        <w:tc>
          <w:tcPr>
            <w:tcW w:w="8886"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4" w:type="dxa"/>
            <w:tcBorders/>
            <w:vAlign w:val="center"/>
          </w:tcPr>
          <w:p>
            <w:pPr>
              <w:pStyle w:val="TableContents"/>
              <w:bidi w:val="0"/>
              <w:spacing w:before="0" w:after="283"/>
              <w:jc w:val="left"/>
              <w:rPr/>
            </w:pPr>
            <w:r>
              <w:rPr/>
              <w:t> </w:t>
            </w:r>
          </w:p>
        </w:tc>
        <w:tc>
          <w:tcPr>
            <w:tcW w:w="8886" w:type="dxa"/>
            <w:tcBorders/>
            <w:vAlign w:val="center"/>
          </w:tcPr>
          <w:p>
            <w:pPr>
              <w:pStyle w:val="TableContents"/>
              <w:bidi w:val="0"/>
              <w:spacing w:before="0" w:after="0"/>
              <w:jc w:val="left"/>
              <w:rPr/>
            </w:pPr>
            <w:r>
              <w:rPr/>
              <w:t>99.1 Agreement and Plan of Merger, dated September 18, 2026, by and among the Issuer, Parent and Merger Sub (incorporated by reference to Exhibit 2.1 to the Issuer's Current Report Form 8-K, filed with the SEC on September 21, 2026). 99.2 Form of Support Agreement, dated September 18, 2026, by and among the Issuer and each Supporting Stockholder (incorporated by reference to Exhibit 10.1 to the Issuer's Current Report Form 8-K, filed with the SEC on September 21, 2026). 99.3 Interim Investors Agreement, dated September 18, 2026, by and among Holdings, Parent, Merger Sub, the Controlling Stockholder and an affiliate of the Equity Financing Source. 99.4 Joint Filing Agreement by and among the Reporting Persons.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signatureInfo"/>
      <w:bookmarkStart w:id="21" w:name="signatureInfo"/>
      <w:bookmarkEnd w:id="2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Thomas C. Priore</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4"/>
        <w:gridCol w:w="4411"/>
      </w:tblGrid>
      <w:tr>
        <w:trPr/>
        <w:tc>
          <w:tcPr>
            <w:tcW w:w="57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Thomas C. Priore</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Thomas C. Priore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411"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John V. Priore</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0"/>
        <w:gridCol w:w="4485"/>
      </w:tblGrid>
      <w:tr>
        <w:trPr/>
        <w:tc>
          <w:tcPr>
            <w:tcW w:w="57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5"/>
              <w:gridCol w:w="9030"/>
            </w:tblGrid>
            <w:tr>
              <w:trPr/>
              <w:tc>
                <w:tcPr>
                  <w:tcW w:w="1175" w:type="dxa"/>
                  <w:tcBorders/>
                  <w:vAlign w:val="center"/>
                </w:tcPr>
                <w:p>
                  <w:pPr>
                    <w:pStyle w:val="TableContents"/>
                    <w:bidi w:val="0"/>
                    <w:spacing w:before="0" w:after="283"/>
                    <w:jc w:val="left"/>
                    <w:rPr/>
                  </w:pPr>
                  <w:r>
                    <w:rPr/>
                    <w:t>Signature:</w:t>
                  </w:r>
                </w:p>
              </w:tc>
              <w:tc>
                <w:tcPr>
                  <w:tcW w:w="9030" w:type="dxa"/>
                  <w:tcBorders/>
                  <w:vAlign w:val="center"/>
                </w:tcPr>
                <w:p>
                  <w:pPr>
                    <w:pStyle w:val="TableContents"/>
                    <w:bidi w:val="0"/>
                    <w:spacing w:before="0" w:after="283"/>
                    <w:jc w:val="left"/>
                    <w:rPr/>
                  </w:pPr>
                  <w:r>
                    <w:rPr/>
                    <w:t>/s/ John V. Priore</w:t>
                  </w:r>
                </w:p>
              </w:tc>
            </w:tr>
            <w:tr>
              <w:trPr/>
              <w:tc>
                <w:tcPr>
                  <w:tcW w:w="1175" w:type="dxa"/>
                  <w:tcBorders/>
                  <w:vAlign w:val="center"/>
                </w:tcPr>
                <w:p>
                  <w:pPr>
                    <w:pStyle w:val="TableContents"/>
                    <w:bidi w:val="0"/>
                    <w:spacing w:before="0" w:after="283"/>
                    <w:jc w:val="left"/>
                    <w:rPr/>
                  </w:pPr>
                  <w:r>
                    <w:rPr/>
                    <w:t>Name/Title:</w:t>
                  </w:r>
                </w:p>
              </w:tc>
              <w:tc>
                <w:tcPr>
                  <w:tcW w:w="9030" w:type="dxa"/>
                  <w:tcBorders/>
                  <w:vAlign w:val="center"/>
                </w:tcPr>
                <w:p>
                  <w:pPr>
                    <w:pStyle w:val="TableContents"/>
                    <w:bidi w:val="0"/>
                    <w:spacing w:before="0" w:after="283"/>
                    <w:jc w:val="left"/>
                    <w:rPr/>
                  </w:pPr>
                  <w:r>
                    <w:rPr/>
                    <w:t>John V. Priore</w:t>
                  </w:r>
                </w:p>
              </w:tc>
            </w:tr>
            <w:tr>
              <w:trPr/>
              <w:tc>
                <w:tcPr>
                  <w:tcW w:w="1175" w:type="dxa"/>
                  <w:tcBorders/>
                  <w:vAlign w:val="center"/>
                </w:tcPr>
                <w:p>
                  <w:pPr>
                    <w:pStyle w:val="TableContents"/>
                    <w:bidi w:val="0"/>
                    <w:spacing w:before="0" w:after="283"/>
                    <w:jc w:val="left"/>
                    <w:rPr/>
                  </w:pPr>
                  <w:r>
                    <w:rPr/>
                    <w:t>Date:</w:t>
                  </w:r>
                </w:p>
              </w:tc>
              <w:tc>
                <w:tcPr>
                  <w:tcW w:w="9030"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485"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AESV CreditCard Consulting,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John V. Priore</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Manager of AESV CreditCard Consulting, LLC</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30607801ex99-3.htm"/>
      <w:bookmarkStart w:id="23" w:name="ksea030607801ex993"/>
      <w:bookmarkEnd w:id="22"/>
      <w:bookmarkEnd w:id="23"/>
      <w:r>
        <w:rPr>
          <w:rFonts w:ascii="Times New Roman;Times;Serif" w:hAnsi="Times New Roman;Times;Serif"/>
          <w:b/>
          <w:i w:val="false"/>
          <w:caps w:val="false"/>
          <w:smallCaps w:val="false"/>
          <w:sz w:val="20"/>
        </w:rPr>
        <w:t>Exhibit 99.3</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INTERIM INVESTORS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INTERIM INVESTORS AGREEMENT </w:t>
      </w:r>
      <w:r>
        <w:rPr>
          <w:rFonts w:ascii="Times New Roman;Times;Serif" w:hAnsi="Times New Roman;Times;Serif"/>
          <w:b w:val="false"/>
          <w:i w:val="false"/>
          <w:caps w:val="false"/>
          <w:smallCaps w:val="false"/>
          <w:sz w:val="20"/>
        </w:rPr>
        <w:t>(this “</w:t>
      </w:r>
      <w:r>
        <w:rPr>
          <w:rFonts w:ascii="Times New Roman;Times;Serif" w:hAnsi="Times New Roman;Times;Serif"/>
          <w:b/>
          <w:i w:val="false"/>
          <w:caps w:val="false"/>
          <w:smallCaps w:val="false"/>
          <w:sz w:val="20"/>
          <w:u w:val="single"/>
        </w:rPr>
        <w:t>Agreement</w:t>
      </w:r>
      <w:r>
        <w:rPr>
          <w:rFonts w:ascii="Times New Roman;Times;Serif" w:hAnsi="Times New Roman;Times;Serif"/>
          <w:b w:val="false"/>
          <w:i w:val="false"/>
          <w:caps w:val="false"/>
          <w:smallCaps w:val="false"/>
          <w:sz w:val="20"/>
        </w:rPr>
        <w:t>”), dated as of September 18, 2026, is made by and among (i) WD Capital Partners Holdings LP, a Delaware limited partnership (“</w:t>
      </w:r>
      <w:r>
        <w:rPr>
          <w:rFonts w:ascii="Times New Roman;Times;Serif" w:hAnsi="Times New Roman;Times;Serif"/>
          <w:b/>
          <w:i w:val="false"/>
          <w:caps w:val="false"/>
          <w:smallCaps w:val="false"/>
          <w:sz w:val="20"/>
          <w:u w:val="single"/>
        </w:rPr>
        <w:t>Holdings</w:t>
      </w:r>
      <w:r>
        <w:rPr>
          <w:rFonts w:ascii="Times New Roman;Times;Serif" w:hAnsi="Times New Roman;Times;Serif"/>
          <w:b w:val="false"/>
          <w:i w:val="false"/>
          <w:caps w:val="false"/>
          <w:smallCaps w:val="false"/>
          <w:sz w:val="20"/>
        </w:rPr>
        <w:t>”), (ii) WD Capital Partners Parent Inc., a Delaware corporation and direct wholly-owned subsidiary of Holdings (“</w:t>
      </w:r>
      <w:r>
        <w:rPr>
          <w:rFonts w:ascii="Times New Roman;Times;Serif" w:hAnsi="Times New Roman;Times;Serif"/>
          <w:b/>
          <w:i w:val="false"/>
          <w:caps w:val="false"/>
          <w:smallCaps w:val="false"/>
          <w:sz w:val="20"/>
          <w:u w:val="single"/>
        </w:rPr>
        <w:t>Parent</w:t>
      </w:r>
      <w:r>
        <w:rPr>
          <w:rFonts w:ascii="Times New Roman;Times;Serif" w:hAnsi="Times New Roman;Times;Serif"/>
          <w:b w:val="false"/>
          <w:i w:val="false"/>
          <w:caps w:val="false"/>
          <w:smallCaps w:val="false"/>
          <w:sz w:val="20"/>
        </w:rPr>
        <w:t>”), (iii) WD Capital Partners Merger Sub Inc., a Delaware corporation and direct wholly-owned subsidiary of Parent (“</w:t>
      </w:r>
      <w:r>
        <w:rPr>
          <w:rFonts w:ascii="Times New Roman;Times;Serif" w:hAnsi="Times New Roman;Times;Serif"/>
          <w:b/>
          <w:i w:val="false"/>
          <w:caps w:val="false"/>
          <w:smallCaps w:val="false"/>
          <w:sz w:val="20"/>
          <w:u w:val="single"/>
        </w:rPr>
        <w:t>Merger Sub</w:t>
      </w:r>
      <w:r>
        <w:rPr>
          <w:rFonts w:ascii="Times New Roman;Times;Serif" w:hAnsi="Times New Roman;Times;Serif"/>
          <w:b w:val="false"/>
          <w:i w:val="false"/>
          <w:caps w:val="false"/>
          <w:smallCaps w:val="false"/>
          <w:sz w:val="20"/>
        </w:rPr>
        <w:t>”), (iv) Thomas C. Priore, the controlling equity holder of Holdings and the Company (as defined below) (the “</w:t>
      </w:r>
      <w:r>
        <w:rPr>
          <w:rFonts w:ascii="Times New Roman;Times;Serif" w:hAnsi="Times New Roman;Times;Serif"/>
          <w:b/>
          <w:i w:val="false"/>
          <w:caps w:val="false"/>
          <w:smallCaps w:val="false"/>
          <w:sz w:val="20"/>
          <w:u w:val="single"/>
        </w:rPr>
        <w:t>Controlling Investor</w:t>
      </w:r>
      <w:r>
        <w:rPr>
          <w:rFonts w:ascii="Times New Roman;Times;Serif" w:hAnsi="Times New Roman;Times;Serif"/>
          <w:b w:val="false"/>
          <w:i w:val="false"/>
          <w:caps w:val="false"/>
          <w:smallCaps w:val="false"/>
          <w:sz w:val="20"/>
        </w:rPr>
        <w:t>”), and (v) Searchlight IV SAT, L.P., a Delaware limited partnership (the “</w:t>
      </w:r>
      <w:r>
        <w:rPr>
          <w:rFonts w:ascii="Times New Roman;Times;Serif" w:hAnsi="Times New Roman;Times;Serif"/>
          <w:b/>
          <w:i w:val="false"/>
          <w:caps w:val="false"/>
          <w:smallCaps w:val="false"/>
          <w:sz w:val="20"/>
          <w:u w:val="single"/>
        </w:rPr>
        <w:t>Investor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A.</w:t>
            </w:r>
          </w:p>
        </w:tc>
        <w:tc>
          <w:tcPr>
            <w:tcW w:w="9930" w:type="dxa"/>
            <w:tcBorders/>
            <w:vAlign w:val="center"/>
          </w:tcPr>
          <w:p>
            <w:pPr>
              <w:pStyle w:val="TableContents"/>
              <w:bidi w:val="0"/>
              <w:spacing w:before="0" w:after="283"/>
              <w:jc w:val="both"/>
              <w:rPr/>
            </w:pPr>
            <w:r>
              <w:rPr/>
              <w:t>The Parties (as defined below) have engaged in discussions regarding the Transaction (as defined below).</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B.</w:t>
            </w:r>
          </w:p>
        </w:tc>
        <w:tc>
          <w:tcPr>
            <w:tcW w:w="9945" w:type="dxa"/>
            <w:tcBorders/>
            <w:vAlign w:val="center"/>
          </w:tcPr>
          <w:p>
            <w:pPr>
              <w:pStyle w:val="TableContents"/>
              <w:bidi w:val="0"/>
              <w:spacing w:before="0" w:after="283"/>
              <w:jc w:val="both"/>
              <w:rPr/>
            </w:pPr>
            <w:r>
              <w:rPr/>
              <w:t>On the date hereof, Priority Technology Holdings, Inc., a Delaware corporation, (the “</w:t>
            </w:r>
            <w:r>
              <w:rPr>
                <w:b/>
                <w:u w:val="single"/>
              </w:rPr>
              <w:t>Company</w:t>
            </w:r>
            <w:r>
              <w:rPr/>
              <w:t>”), Parent and Merger Sub have executed an Agreement and Plan of Merger (the “</w:t>
            </w:r>
            <w:r>
              <w:rPr>
                <w:b/>
                <w:u w:val="single"/>
              </w:rPr>
              <w:t>Merger Agreement</w:t>
            </w:r>
            <w:r>
              <w:rPr/>
              <w:t>”), pursuant to which, among other things, Merger Sub will be merged with and into the Company, with the Company surviving the merger as the surviving corporation (such merger and the other transactions contemplated by the Merger Agreement, collectively, the “</w:t>
            </w:r>
            <w:r>
              <w:rPr>
                <w:b/>
                <w:u w:val="single"/>
              </w:rPr>
              <w:t>Acquisition</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283"/>
              <w:jc w:val="both"/>
              <w:rPr/>
            </w:pPr>
            <w:r>
              <w:rPr/>
              <w:t>Affiliates of the Investor have, on the date hereof, executed a preferred equity commitment letter (the “</w:t>
            </w:r>
            <w:r>
              <w:rPr>
                <w:b/>
                <w:u w:val="single"/>
              </w:rPr>
              <w:t>Commitment Letter</w:t>
            </w:r>
            <w:r>
              <w:rPr/>
              <w:t>”), pursuant to which such Affiliates of the Investor have agreed, subject to the terms and conditions set forth therein, to make an equity investment in Holdings (and indirectly in Parent) in connection with the Closing.</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283"/>
              <w:jc w:val="both"/>
              <w:rPr/>
            </w:pPr>
            <w:r>
              <w:rPr/>
              <w:t>Affiliates of the Investor have, on the date hereof, executed a Limited Guaranty in favor of the Company (a “</w:t>
            </w:r>
            <w:r>
              <w:rPr>
                <w:b/>
                <w:u w:val="single"/>
              </w:rPr>
              <w:t>Limited Guaranty</w:t>
            </w:r>
            <w:r>
              <w:rPr/>
              <w:t>”), pursuant to which such Affiliates of the Investor have agreed, subject to the terms and conditions set forth therein, to guarantee the payment of the Guaranteed Obligations (as defined in the Limited Guaranty) of Parent, in each case on the terms and subject to the conditions set forth in the Merger Agreement.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E.</w:t>
            </w:r>
          </w:p>
        </w:tc>
        <w:tc>
          <w:tcPr>
            <w:tcW w:w="9960" w:type="dxa"/>
            <w:tcBorders/>
            <w:vAlign w:val="center"/>
          </w:tcPr>
          <w:p>
            <w:pPr>
              <w:pStyle w:val="TableContents"/>
              <w:bidi w:val="0"/>
              <w:spacing w:before="0" w:after="283"/>
              <w:jc w:val="both"/>
              <w:rPr/>
            </w:pPr>
            <w:r>
              <w:rPr/>
              <w:t>Concurrently with the execution and delivery hereof, the Company, Parent, Merger Sub, the Controlling Investor and the individual holding common stock, par value $0.01 per share, of the Company (the “</w:t>
            </w:r>
            <w:r>
              <w:rPr>
                <w:b/>
                <w:u w:val="single"/>
              </w:rPr>
              <w:t>Common Stock</w:t>
            </w:r>
            <w:r>
              <w:rPr/>
              <w:t xml:space="preserve">”) set forth on </w:t>
            </w:r>
            <w:r>
              <w:rPr>
                <w:u w:val="single"/>
              </w:rPr>
              <w:t>Exhibit A</w:t>
            </w:r>
            <w:r>
              <w:rPr/>
              <w:t xml:space="preserve"> (the Controlling Investor and such individual holding Common Stock, each a “</w:t>
            </w:r>
            <w:r>
              <w:rPr>
                <w:b/>
                <w:u w:val="single"/>
              </w:rPr>
              <w:t>Supporting Stockholder</w:t>
            </w:r>
            <w:r>
              <w:rPr/>
              <w:t>” and, collectively, the “</w:t>
            </w:r>
            <w:r>
              <w:rPr>
                <w:b/>
                <w:u w:val="single"/>
              </w:rPr>
              <w:t>Supporting Stockholders</w:t>
            </w:r>
            <w:r>
              <w:rPr/>
              <w:t>”) have executed the Support Agreement (the “</w:t>
            </w:r>
            <w:r>
              <w:rPr>
                <w:b/>
                <w:u w:val="single"/>
              </w:rPr>
              <w:t>Support Agreement</w:t>
            </w:r>
            <w:r>
              <w:rPr/>
              <w:t>”), pursuant to which, among other things, the Supporting Stockholders have agreed to vote their Covered Shares (as defined in the Support Agreement) in favor of the Merger and to contribute their Owned Shares (as defined in the Support Agreement) to Holdings in exchange for newly issued equity interests of Holdings (the “</w:t>
            </w:r>
            <w:r>
              <w:rPr>
                <w:b/>
                <w:u w:val="single"/>
              </w:rPr>
              <w:t>Holdings Interests</w:t>
            </w:r>
            <w:r>
              <w:rPr/>
              <w:t>”) immediately prior to the Effective Time.</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283"/>
              <w:jc w:val="both"/>
              <w:rPr/>
            </w:pPr>
            <w:r>
              <w:rPr/>
              <w:t>In connection with the consummation of the Closing, and subject to the terms and conditions herein and in the Commitment Letter, Affiliates of the Investor that are party to the Commitment Letter will be issued Series A Preferred Unit Holdings Interests (the “</w:t>
            </w:r>
            <w:r>
              <w:rPr>
                <w:b/>
                <w:u w:val="single"/>
              </w:rPr>
              <w:t>Holdings Preferred Interests</w:t>
            </w:r>
            <w:r>
              <w:rPr/>
              <w:t xml:space="preserve">”) and Common Unit Holdings Interests in accordance with the terms of </w:t>
            </w:r>
            <w:r>
              <w:rPr>
                <w:u w:val="single"/>
              </w:rPr>
              <w:t>Exhibit B</w:t>
            </w:r>
            <w:r>
              <w:rPr/>
              <w:t xml:space="preserve"> to the Commitment Letter (the “</w:t>
            </w:r>
            <w:r>
              <w:rPr>
                <w:b/>
                <w:u w:val="single"/>
              </w:rPr>
              <w:t>Preferred Equity Term Sheet</w:t>
            </w:r>
            <w:r>
              <w:rPr/>
              <w:t>”) in exchange for the Equity Commitment.</w:t>
            </w:r>
          </w:p>
        </w:tc>
      </w:tr>
    </w:tbl>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72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G.</w:t>
            </w:r>
          </w:p>
        </w:tc>
        <w:tc>
          <w:tcPr>
            <w:tcW w:w="9930" w:type="dxa"/>
            <w:tcBorders/>
            <w:vAlign w:val="center"/>
          </w:tcPr>
          <w:p>
            <w:pPr>
              <w:pStyle w:val="TableContents"/>
              <w:bidi w:val="0"/>
              <w:spacing w:before="0" w:after="283"/>
              <w:jc w:val="both"/>
              <w:rPr/>
            </w:pPr>
            <w:r>
              <w:rPr/>
              <w:t>The Parties wish to enter into this Agreement to set out certain terms and conditions of their agreement with respect to their conduct and certain responsibilities relating to their participation in the Transaction, the relationship among the Parties with respect to the Merger Agreement, the Commitment Letter, the Limited Guaranty and certain other Transaction Documents, and the transactions contemplated by each (including the Acquisition).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for good and valuable consideration (the receipt and sufficiency of which is acknowledged), the Parties hereby agree as follows:</w:t>
      </w:r>
    </w:p>
    <w:p>
      <w:pPr>
        <w:pStyle w:val="TextBody"/>
        <w:bidi w:val="0"/>
        <w:spacing w:before="0" w:after="0"/>
        <w:ind w:left="720" w:right="0" w:hanging="720"/>
        <w:jc w:val="both"/>
        <w:rPr>
          <w:caps/>
        </w:rPr>
      </w:pPr>
      <w:r>
        <w:rPr>
          <w:caps/>
        </w:rPr>
        <w:t> </w:t>
      </w:r>
    </w:p>
    <w:tbl>
      <w:tblPr>
        <w:tblW w:w="1825" w:type="dxa"/>
        <w:jc w:val="left"/>
        <w:tblInd w:w="0" w:type="dxa"/>
        <w:tblLayout w:type="fixed"/>
        <w:tblCellMar>
          <w:top w:w="0" w:type="dxa"/>
          <w:left w:w="0" w:type="dxa"/>
          <w:bottom w:w="0" w:type="dxa"/>
          <w:right w:w="0" w:type="dxa"/>
        </w:tblCellMar>
      </w:tblPr>
      <w:tblGrid>
        <w:gridCol w:w="215"/>
        <w:gridCol w:w="1610"/>
      </w:tblGrid>
      <w:tr>
        <w:trPr/>
        <w:tc>
          <w:tcPr>
            <w:tcW w:w="215" w:type="dxa"/>
            <w:tcBorders/>
            <w:vAlign w:val="center"/>
          </w:tcPr>
          <w:p>
            <w:pPr>
              <w:pStyle w:val="TableContents"/>
              <w:bidi w:val="0"/>
              <w:spacing w:before="0" w:after="283"/>
              <w:jc w:val="left"/>
              <w:rPr/>
            </w:pPr>
            <w:r>
              <w:rPr/>
              <w:t>1.</w:t>
            </w:r>
          </w:p>
        </w:tc>
        <w:tc>
          <w:tcPr>
            <w:tcW w:w="1610" w:type="dxa"/>
            <w:tcBorders/>
            <w:vAlign w:val="center"/>
          </w:tcPr>
          <w:p>
            <w:pPr>
              <w:pStyle w:val="TableContents"/>
              <w:bidi w:val="0"/>
              <w:spacing w:before="0" w:after="283"/>
              <w:jc w:val="both"/>
              <w:rPr/>
            </w:pPr>
            <w:r>
              <w:rPr/>
              <w:t>DEFINITIONS.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the following terms shall have the following meanings (all other capitalized terms used but not defined herein shall have the respective meanings ascribed to such terms in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u w:val="single"/>
        </w:rPr>
        <w:t>Affiliate</w:t>
      </w:r>
      <w:r>
        <w:rPr>
          <w:rFonts w:ascii="Times New Roman;Times;Serif" w:hAnsi="Times New Roman;Times;Serif"/>
          <w:b w:val="false"/>
          <w:i w:val="false"/>
          <w:caps w:val="false"/>
          <w:smallCaps w:val="false"/>
          <w:sz w:val="20"/>
        </w:rPr>
        <w:t xml:space="preserve">” has the meaning ascribed to such term in the Merger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in no event shall any of the SCP Persons be considered an Affiliate of Holdings, Parent or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u w:val="single"/>
        </w:rPr>
        <w:t>Antitrust Laws</w:t>
      </w:r>
      <w:r>
        <w:rPr>
          <w:rFonts w:ascii="Times New Roman;Times;Serif" w:hAnsi="Times New Roman;Times;Serif"/>
          <w:b w:val="false"/>
          <w:i w:val="false"/>
          <w:caps w:val="false"/>
          <w:smallCaps w:val="false"/>
          <w:sz w:val="20"/>
        </w:rPr>
        <w:t>” means the Sherman Act, as amended, the Clayton Act, as amended, the HSR Act, the Federal Trade Commission Act, as amended, all applicable state, foreign or supranational antitrust Laws and all other applicable Laws issued by a Governmental Entity that are designed or intended to prohibit, restrict or regulate actions having the purpose or effect of monopolization or restraint of trade or lessening of competition through merger or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u w:val="single"/>
        </w:rPr>
        <w:t>Equity Commitment</w:t>
      </w:r>
      <w:r>
        <w:rPr>
          <w:rFonts w:ascii="Times New Roman;Times;Serif" w:hAnsi="Times New Roman;Times;Serif"/>
          <w:b w:val="false"/>
          <w:i w:val="false"/>
          <w:caps w:val="false"/>
          <w:smallCaps w:val="false"/>
          <w:sz w:val="20"/>
        </w:rPr>
        <w:t>” means the commitment of the Affiliates of the Investor that are party to the Commitment Letter to purchase Series A Preferred Unit Holdings Interests having an aggregate initial stated value of up to $160,000,000 (but not less than $150,000,000), subject to the Commitment Letter and the Equity Documentation.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u w:val="single"/>
        </w:rPr>
        <w:t>Equity Documentation</w:t>
      </w:r>
      <w:r>
        <w:rPr>
          <w:rFonts w:ascii="Times New Roman;Times;Serif" w:hAnsi="Times New Roman;Times;Serif"/>
          <w:b w:val="false"/>
          <w:i w:val="false"/>
          <w:caps w:val="false"/>
          <w:smallCaps w:val="false"/>
          <w:sz w:val="20"/>
        </w:rPr>
        <w:t>” means the Purchase Agreement and Governing Document (as each such term is defined in the Preferred Equity Term Sheet), and any related instruments, pursuant to which the Holdings Preferred Interests are issued and purchased, as contemplated by the Commitment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u w:val="single"/>
        </w:rPr>
        <w:t>Liability</w:t>
      </w:r>
      <w:r>
        <w:rPr>
          <w:rFonts w:ascii="Times New Roman;Times;Serif" w:hAnsi="Times New Roman;Times;Serif"/>
          <w:b w:val="false"/>
          <w:i w:val="false"/>
          <w:caps w:val="false"/>
          <w:smallCaps w:val="false"/>
          <w:sz w:val="20"/>
        </w:rPr>
        <w:t>” means any and all liabilities, debts, guarantees, commitments, assurances, claims or obligations of any nature, whether direct or indirect, accrued or fixed, known or unknown, absolute or contingent, matured or unmatured, liquidated or unliquidated, asserted or unasserted, due or to come due, or determined or determinable, including any direct damages (including reasonable and documented attorneys’ or accountants’ fee incurred in the investigation of any claim), but specifically excluding any special, indirect, consequential (including lost profits or diminution of value) or punitive damages, except to the extent punitive damages are awarded in connection with a third party claim.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u w:val="single"/>
        </w:rPr>
        <w:t>Parties</w:t>
      </w:r>
      <w:r>
        <w:rPr>
          <w:rFonts w:ascii="Times New Roman;Times;Serif" w:hAnsi="Times New Roman;Times;Serif"/>
          <w:b w:val="false"/>
          <w:i w:val="false"/>
          <w:caps w:val="false"/>
          <w:smallCaps w:val="false"/>
          <w:sz w:val="20"/>
        </w:rPr>
        <w:t>” means, collectively, the Controlling Investor, Holdings, Parent, Merger Sub, and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u w:val="single"/>
        </w:rPr>
        <w:t>Proceeding</w:t>
      </w:r>
      <w:r>
        <w:rPr>
          <w:rFonts w:ascii="Times New Roman;Times;Serif" w:hAnsi="Times New Roman;Times;Serif"/>
          <w:b w:val="false"/>
          <w:i w:val="false"/>
          <w:caps w:val="false"/>
          <w:smallCaps w:val="false"/>
          <w:sz w:val="20"/>
        </w:rPr>
        <w:t>” means any claim, action, suit, arbitration, demand, mediation, audit or other proceeding by or before any Governmental Entity (including any Regulatory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u w:val="single"/>
        </w:rPr>
        <w:t>Proportionate Share</w:t>
      </w:r>
      <w:r>
        <w:rPr>
          <w:rFonts w:ascii="Times New Roman;Times;Serif" w:hAnsi="Times New Roman;Times;Serif"/>
          <w:b w:val="false"/>
          <w:i w:val="false"/>
          <w:caps w:val="false"/>
          <w:smallCaps w:val="false"/>
          <w:sz w:val="20"/>
        </w:rPr>
        <w:t>” means, with respect to the Investor and the Controlling Investor, the proportionate share set forth next to such Party’s name as follows, in each case, as may be modified in accordance with this Agreement: (i) the Investor – 9.2% (as such amount shall be ratably reduced in accordance with any reduction in the Initial Aggregate Stated Value of the Holdings Preferred Interests purchased by the Investor on the Closing Date); and (ii) the Controlling Investor – 90.8% (as such amount shall be ratably increased in accordance with any such reduction of the Investor’s Proportionate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u w:val="single"/>
        </w:rPr>
        <w:t>SCP Person(s)</w:t>
      </w:r>
      <w:r>
        <w:rPr>
          <w:rFonts w:ascii="Times New Roman;Times;Serif" w:hAnsi="Times New Roman;Times;Serif"/>
          <w:b w:val="false"/>
          <w:i w:val="false"/>
          <w:caps w:val="false"/>
          <w:smallCaps w:val="false"/>
          <w:sz w:val="20"/>
        </w:rPr>
        <w:t>” means (i) any direct or indirect equity holder, partner, member or manager of Searchlight Capital Partners IV, L.P. or the Investor, (ii) each of the respective Affiliates of the foregoing, from time to time and (iii) any portfolio company invested in by the Persons set forth in the foregoing clauses (i) or (ii).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u w:val="single"/>
        </w:rPr>
        <w:t>Transaction</w:t>
      </w:r>
      <w:r>
        <w:rPr>
          <w:rFonts w:ascii="Times New Roman;Times;Serif" w:hAnsi="Times New Roman;Times;Serif"/>
          <w:b w:val="false"/>
          <w:i w:val="false"/>
          <w:caps w:val="false"/>
          <w:smallCaps w:val="false"/>
          <w:sz w:val="20"/>
        </w:rPr>
        <w:t>” means, collectively, the transactions contemplated by the Merger Agreement, the Commitment Letter, the Equity Documentation, the Limited Guaranty, the Support Agreement and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Merger Agreement, the Commitment Letter, the Equity Documentation, the Limited Guaranty, the Support Agreement and the other agreements and instruments entered into in connection therewith.</w:t>
      </w:r>
    </w:p>
    <w:p>
      <w:pPr>
        <w:pStyle w:val="TextBody"/>
        <w:bidi w:val="0"/>
        <w:spacing w:before="0" w:after="0"/>
        <w:ind w:left="720" w:right="0" w:hanging="720"/>
        <w:jc w:val="both"/>
        <w:rPr>
          <w:caps/>
        </w:rPr>
      </w:pPr>
      <w:r>
        <w:rPr>
          <w:caps/>
        </w:rPr>
        <w:t> </w:t>
      </w:r>
    </w:p>
    <w:tbl>
      <w:tblPr>
        <w:tblW w:w="2800" w:type="dxa"/>
        <w:jc w:val="left"/>
        <w:tblInd w:w="0" w:type="dxa"/>
        <w:tblLayout w:type="fixed"/>
        <w:tblCellMar>
          <w:top w:w="0" w:type="dxa"/>
          <w:left w:w="0" w:type="dxa"/>
          <w:bottom w:w="0" w:type="dxa"/>
          <w:right w:w="0" w:type="dxa"/>
        </w:tblCellMar>
      </w:tblPr>
      <w:tblGrid>
        <w:gridCol w:w="215"/>
        <w:gridCol w:w="2585"/>
      </w:tblGrid>
      <w:tr>
        <w:trPr/>
        <w:tc>
          <w:tcPr>
            <w:tcW w:w="215" w:type="dxa"/>
            <w:tcBorders/>
            <w:vAlign w:val="center"/>
          </w:tcPr>
          <w:p>
            <w:pPr>
              <w:pStyle w:val="TableContents"/>
              <w:bidi w:val="0"/>
              <w:spacing w:before="0" w:after="283"/>
              <w:jc w:val="left"/>
              <w:rPr/>
            </w:pPr>
            <w:r>
              <w:rPr/>
              <w:t>2.</w:t>
            </w:r>
          </w:p>
        </w:tc>
        <w:tc>
          <w:tcPr>
            <w:tcW w:w="2585" w:type="dxa"/>
            <w:tcBorders/>
            <w:vAlign w:val="center"/>
          </w:tcPr>
          <w:p>
            <w:pPr>
              <w:pStyle w:val="TableContents"/>
              <w:bidi w:val="0"/>
              <w:spacing w:before="0" w:after="283"/>
              <w:jc w:val="both"/>
              <w:rPr/>
            </w:pPr>
            <w:r>
              <w:rPr/>
              <w:t>TERM; TERMINATION.</w:t>
            </w:r>
          </w:p>
        </w:tc>
      </w:tr>
    </w:tbl>
    <w:p>
      <w:pPr>
        <w:pStyle w:val="TextBody"/>
        <w:bidi w:val="0"/>
        <w:spacing w:before="0" w:after="0"/>
        <w:ind w:left="720" w:right="0" w:hanging="0"/>
        <w:jc w:val="both"/>
        <w:rPr>
          <w:caps/>
        </w:rPr>
      </w:pPr>
      <w:r>
        <w:rPr>
          <w:caps/>
        </w:rPr>
        <w:t> </w:t>
      </w:r>
    </w:p>
    <w:p>
      <w:pPr>
        <w:pStyle w:val="TextBody"/>
        <w:bidi w:val="0"/>
        <w:spacing w:before="0" w:after="0"/>
        <w:ind w:left="720" w:right="0" w:hanging="0"/>
        <w:jc w:val="both"/>
        <w:rPr>
          <w:rFonts w:ascii="Times New Roman;Times;Serif" w:hAnsi="Times New Roman;Times;Serif"/>
          <w:b/>
          <w:i w:val="false"/>
          <w:caps/>
          <w:sz w:val="20"/>
        </w:rPr>
      </w:pPr>
      <w:r>
        <w:rPr>
          <w:rFonts w:ascii="Times New Roman;Times;Serif" w:hAnsi="Times New Roman;Times;Serif"/>
          <w:b/>
          <w:i w:val="false"/>
          <w:caps/>
          <w:sz w:val="20"/>
        </w:rPr>
        <w:t xml:space="preserve">This Agreement shall become effective on the date hereof and shall terminate automatically without the need for any further action by any Person (except with respect to this </w:t>
      </w:r>
      <w:r>
        <w:rPr>
          <w:rFonts w:ascii="Times New Roman;Times;Serif" w:hAnsi="Times New Roman;Times;Serif"/>
          <w:b/>
          <w:i w:val="false"/>
          <w:caps/>
          <w:sz w:val="20"/>
          <w:u w:val="single"/>
        </w:rPr>
        <w:t>Section 2</w:t>
      </w:r>
      <w:r>
        <w:rPr>
          <w:rFonts w:ascii="Times New Roman;Times;Serif" w:hAnsi="Times New Roman;Times;Serif"/>
          <w:b/>
          <w:i w:val="false"/>
          <w:caps/>
          <w:sz w:val="20"/>
        </w:rPr>
        <w:t xml:space="preserve">, Sections </w:t>
      </w:r>
      <w:r>
        <w:rPr>
          <w:rFonts w:ascii="Times New Roman;Times;Serif" w:hAnsi="Times New Roman;Times;Serif"/>
          <w:b/>
          <w:i w:val="false"/>
          <w:caps/>
          <w:sz w:val="20"/>
          <w:u w:val="single"/>
        </w:rPr>
        <w:t>4(e)</w:t>
      </w:r>
      <w:r>
        <w:rPr>
          <w:rFonts w:ascii="Times New Roman;Times;Serif" w:hAnsi="Times New Roman;Times;Serif"/>
          <w:b/>
          <w:i w:val="false"/>
          <w:caps/>
          <w:sz w:val="20"/>
        </w:rPr>
        <w:t xml:space="preserve">, </w:t>
      </w:r>
      <w:r>
        <w:rPr>
          <w:rFonts w:ascii="Times New Roman;Times;Serif" w:hAnsi="Times New Roman;Times;Serif"/>
          <w:b/>
          <w:i w:val="false"/>
          <w:caps/>
          <w:sz w:val="20"/>
          <w:u w:val="single"/>
        </w:rPr>
        <w:t>5</w:t>
      </w:r>
      <w:r>
        <w:rPr>
          <w:rFonts w:ascii="Times New Roman;Times;Serif" w:hAnsi="Times New Roman;Times;Serif"/>
          <w:b/>
          <w:i w:val="false"/>
          <w:caps/>
          <w:sz w:val="20"/>
        </w:rPr>
        <w:t xml:space="preserve">, </w:t>
      </w:r>
      <w:r>
        <w:rPr>
          <w:rFonts w:ascii="Times New Roman;Times;Serif" w:hAnsi="Times New Roman;Times;Serif"/>
          <w:b/>
          <w:i w:val="false"/>
          <w:caps/>
          <w:sz w:val="20"/>
          <w:u w:val="single"/>
        </w:rPr>
        <w:t>7-9</w:t>
      </w:r>
      <w:r>
        <w:rPr>
          <w:rFonts w:ascii="Times New Roman;Times;Serif" w:hAnsi="Times New Roman;Times;Serif"/>
          <w:b/>
          <w:i w:val="false"/>
          <w:caps/>
          <w:sz w:val="20"/>
        </w:rPr>
        <w:t xml:space="preserve">, </w:t>
      </w:r>
      <w:r>
        <w:rPr>
          <w:rFonts w:ascii="Times New Roman;Times;Serif" w:hAnsi="Times New Roman;Times;Serif"/>
          <w:b/>
          <w:i w:val="false"/>
          <w:caps/>
          <w:sz w:val="20"/>
          <w:u w:val="single"/>
        </w:rPr>
        <w:t>11-13</w:t>
      </w:r>
      <w:r>
        <w:rPr>
          <w:rFonts w:ascii="Times New Roman;Times;Serif" w:hAnsi="Times New Roman;Times;Serif"/>
          <w:b/>
          <w:i w:val="false"/>
          <w:caps/>
          <w:sz w:val="20"/>
        </w:rPr>
        <w:t xml:space="preserve">, and </w:t>
      </w:r>
      <w:r>
        <w:rPr>
          <w:rFonts w:ascii="Times New Roman;Times;Serif" w:hAnsi="Times New Roman;Times;Serif"/>
          <w:b/>
          <w:i w:val="false"/>
          <w:caps/>
          <w:sz w:val="20"/>
          <w:u w:val="single"/>
        </w:rPr>
        <w:t>15-21</w:t>
      </w:r>
      <w:r>
        <w:rPr>
          <w:rFonts w:ascii="Times New Roman;Times;Serif" w:hAnsi="Times New Roman;Times;Serif"/>
          <w:b/>
          <w:i w:val="false"/>
          <w:caps/>
          <w:sz w:val="20"/>
        </w:rPr>
        <w:t>, which shall survive in accordance with their terms, or if no term is specified, indefinitely) upon the earlier of: (a) execution of a written instrument by the Investor and the Controlling Investor expressly terminating this Agreement; (b) the occurrence of all of (i) the Closing under the Merger Agreement, (ii) the funding in full of the Investor’s funding obligations pursuant to the Commitment Letter and (iii) the issuance to the Investor of the Holdings Preferred Interests in accordance with the Commitment Letter; and (c) the valid termination of the Commitment Letter or the Merger Agreement, in each case, in accordance with its terms (the date of any such termination of this Agreement, the “</w:t>
      </w:r>
      <w:r>
        <w:rPr>
          <w:rFonts w:ascii="Times New Roman;Times;Serif" w:hAnsi="Times New Roman;Times;Serif"/>
          <w:b/>
          <w:i w:val="false"/>
          <w:caps/>
          <w:sz w:val="20"/>
          <w:u w:val="single"/>
        </w:rPr>
        <w:t>Termination Date</w:t>
      </w:r>
      <w:r>
        <w:rPr>
          <w:rFonts w:ascii="Times New Roman;Times;Serif" w:hAnsi="Times New Roman;Times;Serif"/>
          <w:b/>
          <w:i w:val="false"/>
          <w:caps/>
          <w:sz w:val="20"/>
        </w:rPr>
        <w:t xml:space="preserve">”); </w:t>
      </w:r>
      <w:r>
        <w:rPr>
          <w:rFonts w:ascii="Times New Roman;Times;Serif" w:hAnsi="Times New Roman;Times;Serif"/>
          <w:b/>
          <w:i w:val="false"/>
          <w:caps/>
          <w:sz w:val="20"/>
          <w:u w:val="single"/>
        </w:rPr>
        <w:t>provided</w:t>
      </w:r>
      <w:r>
        <w:rPr>
          <w:rFonts w:ascii="Times New Roman;Times;Serif" w:hAnsi="Times New Roman;Times;Serif"/>
          <w:b/>
          <w:i w:val="false"/>
          <w:caps/>
          <w:sz w:val="20"/>
        </w:rPr>
        <w:t xml:space="preserve">, that, subject to any limitations set forth in </w:t>
      </w:r>
      <w:r>
        <w:rPr>
          <w:rFonts w:ascii="Times New Roman;Times;Serif" w:hAnsi="Times New Roman;Times;Serif"/>
          <w:b/>
          <w:i w:val="false"/>
          <w:caps/>
          <w:sz w:val="20"/>
          <w:u w:val="single"/>
        </w:rPr>
        <w:t>Section 5(c)(iii)</w:t>
      </w:r>
      <w:r>
        <w:rPr>
          <w:rFonts w:ascii="Times New Roman;Times;Serif" w:hAnsi="Times New Roman;Times;Serif"/>
          <w:b/>
          <w:i w:val="false"/>
          <w:caps/>
          <w:sz w:val="20"/>
        </w:rPr>
        <w:t>, Liability for any willful breach or failure to comply with the terms of this Agreement shall survive such termination.</w:t>
      </w:r>
    </w:p>
    <w:p>
      <w:pPr>
        <w:pStyle w:val="TextBody"/>
        <w:bidi w:val="0"/>
        <w:spacing w:before="0" w:after="0"/>
        <w:ind w:left="720" w:right="0" w:hanging="720"/>
        <w:jc w:val="both"/>
        <w:rPr>
          <w:caps/>
        </w:rPr>
      </w:pPr>
      <w:r>
        <w:rPr>
          <w:caps/>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720"/>
        <w:jc w:val="both"/>
        <w:rPr>
          <w:caps/>
        </w:rPr>
      </w:pPr>
      <w:r>
        <w:rPr>
          <w:caps/>
        </w:rPr>
        <w:t> </w:t>
      </w:r>
    </w:p>
    <w:tbl>
      <w:tblPr>
        <w:tblW w:w="5665" w:type="dxa"/>
        <w:jc w:val="left"/>
        <w:tblInd w:w="0" w:type="dxa"/>
        <w:tblLayout w:type="fixed"/>
        <w:tblCellMar>
          <w:top w:w="0" w:type="dxa"/>
          <w:left w:w="0" w:type="dxa"/>
          <w:bottom w:w="0" w:type="dxa"/>
          <w:right w:w="0" w:type="dxa"/>
        </w:tblCellMar>
      </w:tblPr>
      <w:tblGrid>
        <w:gridCol w:w="215"/>
        <w:gridCol w:w="5450"/>
      </w:tblGrid>
      <w:tr>
        <w:trPr/>
        <w:tc>
          <w:tcPr>
            <w:tcW w:w="215" w:type="dxa"/>
            <w:tcBorders/>
            <w:vAlign w:val="center"/>
          </w:tcPr>
          <w:p>
            <w:pPr>
              <w:pStyle w:val="TableContents"/>
              <w:bidi w:val="0"/>
              <w:spacing w:before="0" w:after="283"/>
              <w:jc w:val="left"/>
              <w:rPr/>
            </w:pPr>
            <w:r>
              <w:rPr/>
              <w:t>3.</w:t>
            </w:r>
          </w:p>
        </w:tc>
        <w:tc>
          <w:tcPr>
            <w:tcW w:w="5450" w:type="dxa"/>
            <w:tcBorders/>
            <w:vAlign w:val="center"/>
          </w:tcPr>
          <w:p>
            <w:pPr>
              <w:pStyle w:val="TableContents"/>
              <w:bidi w:val="0"/>
              <w:spacing w:before="0" w:after="283"/>
              <w:jc w:val="both"/>
              <w:rPr/>
            </w:pPr>
            <w:r>
              <w:rPr/>
              <w:t>CERTAIN AGREEMENTS AMONG THE PARTIES.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Authority of Holdings, Parent and Merger Sub; Actions Under Merger Agreement and Transaction Documents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as otherwise provided in this Agreement, the Controlling Investor shall cause Parent and Merger Sub to take any actions necessary in order for Parent and Merger Sub to comply in full with the terms and conditions of, and their respective obligations under, the Merger Agreement, the Support Agreement and any other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Holdings LPA</w:t>
      </w:r>
      <w:r>
        <w:rPr>
          <w:rFonts w:ascii="Times New Roman;Times;Serif" w:hAnsi="Times New Roman;Times;Serif"/>
          <w:b w:val="false"/>
          <w:i w:val="false"/>
          <w:caps w:val="false"/>
          <w:smallCaps w:val="false"/>
          <w:sz w:val="20"/>
        </w:rPr>
        <w:t>. The Investor, the Controlling Investor and Holdings each agrees to negotiate in good faith the form of, and agrees to enter into, concurrently with the Closing, a limited partnership agreement (the “</w:t>
      </w:r>
      <w:r>
        <w:rPr>
          <w:rFonts w:ascii="Times New Roman;Times;Serif" w:hAnsi="Times New Roman;Times;Serif"/>
          <w:b/>
          <w:i w:val="false"/>
          <w:caps w:val="false"/>
          <w:smallCaps w:val="false"/>
          <w:sz w:val="20"/>
          <w:u w:val="single"/>
        </w:rPr>
        <w:t>Holdings LPA</w:t>
      </w:r>
      <w:r>
        <w:rPr>
          <w:rFonts w:ascii="Times New Roman;Times;Serif" w:hAnsi="Times New Roman;Times;Serif"/>
          <w:b w:val="false"/>
          <w:i w:val="false"/>
          <w:caps w:val="false"/>
          <w:smallCaps w:val="false"/>
          <w:sz w:val="20"/>
        </w:rPr>
        <w:t xml:space="preserve">”) in accordance with the terms set forth on the Preferred Equity Term Sheet and/or such additional or modified terms as the Investor and the Controlling Investor may unanimously agree, and the Investor shall act reasonably and in good faith with respect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no event shall the Holdings LPA be a condition to the Closing. If the Holdings LPA is not executed on or prior to the Closing, the Parties agree that the Preferred Equity Term Sheet shall govern the rights and obligations of the Parties with respect to the Holdings Preferred Interests until such time as the Holdings LPA is executed.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Communications with the Company</w:t>
      </w:r>
      <w:r>
        <w:rPr>
          <w:rFonts w:ascii="Times New Roman;Times;Serif" w:hAnsi="Times New Roman;Times;Serif"/>
          <w:b w:val="false"/>
          <w:i w:val="false"/>
          <w:caps w:val="false"/>
          <w:smallCaps w:val="false"/>
          <w:sz w:val="20"/>
        </w:rPr>
        <w:t>. From and after the date hereof until the earlier of the Termination Date and the Effective Time, the Controlling Investor, Holdings, Parent and Merger Sub agree to keep the Investor promptly informed of all material communications with the Company and its Affiliates and representatives related to the material terms of the Commitment Letter and the Limited Guaranty and, to the extent reasonably related to the Equity Commitment, the material terms of the Merger Agreement, the Support Agreement, or any other relevant Transaction Document.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No Interim Period Operations</w:t>
      </w:r>
      <w:r>
        <w:rPr>
          <w:rFonts w:ascii="Times New Roman;Times;Serif" w:hAnsi="Times New Roman;Times;Serif"/>
          <w:b w:val="false"/>
          <w:i w:val="false"/>
          <w:caps w:val="false"/>
          <w:smallCaps w:val="false"/>
          <w:sz w:val="20"/>
        </w:rPr>
        <w:t>. Unless otherwise agreed by the Investor, prior to the Closing, the Controlling Investor shall cause Holdings, Parent and Merger Sub not to conduct any business or activities, or incur any obligations or liabilities, except as contemplated hereby or in connection with the Transaction (or obligations incurred in connection with the negotiation and consummation of the Transaction and the Transaction Documents, or in connection with Holdings’, Parent’s or Merger Sub’s incorporation or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Acquisition Entity Covenants; Structure</w:t>
      </w:r>
      <w:r>
        <w:rPr>
          <w:rFonts w:ascii="Times New Roman;Times;Serif" w:hAnsi="Times New Roman;Times;Serif"/>
          <w:b w:val="false"/>
          <w:i w:val="false"/>
          <w:caps w:val="false"/>
          <w:smallCaps w:val="false"/>
          <w:sz w:val="20"/>
        </w:rPr>
        <w:t>. The Controlling Investor, Holdings, Parent and Merger Sub each agrees that, from and after the date hereof until the earlier of the Termination Date and the Effective Time (except (x) as otherwise expressly contemplated by this Agreement or another Transaction Document or (y) with the prior written consent of the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the Controlling Investor will not transfer his equity interests in Holdings, (B) Holdings will not transfer its equity interests in Parent, and (C) Parent will not transfer its equity interests in Merger Sub;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of Holdings, Parent and Merger Sub, shall not issue any interests or securities, or any options, warrants, convertible, exercisable or exchangeable securities or other rights to subscribe for, purchase or otherwise acquire any interests or securities, to any Person;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of the Controlling Investor, Holdings, Parent and Merger Sub shall not change the ownership structure, capitalization, tax classification or legal form of Holdings, Parent or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Company Monthly Financial Information</w:t>
      </w:r>
      <w:r>
        <w:rPr>
          <w:rFonts w:ascii="Times New Roman;Times;Serif" w:hAnsi="Times New Roman;Times;Serif"/>
          <w:b w:val="false"/>
          <w:i w:val="false"/>
          <w:caps w:val="false"/>
          <w:smallCaps w:val="false"/>
          <w:sz w:val="20"/>
        </w:rPr>
        <w:t xml:space="preserve">. From and after the date hereof until the earlier of the Termination Date and the Effective Time, the Controlling Investor shall use reasonable best efforts to obtain, and shall cause the delivery to the Investor of: (i) monthly business reviews, prepared on a consolidated basis and by segment (solely with respect to Merchant Solutions, Payables and CFTPay), in each case, in format consistent with the Company’s and its Subsidiaries’ historical reporting practices, and (ii) a monthly CFO file and CFTPay performance report, in each case of </w:t>
      </w:r>
      <w:r>
        <w:rPr>
          <w:rFonts w:ascii="Times New Roman;Times;Serif" w:hAnsi="Times New Roman;Times;Serif"/>
          <w:b w:val="false"/>
          <w:i w:val="false"/>
          <w:caps w:val="false"/>
          <w:smallCaps w:val="false"/>
          <w:sz w:val="20"/>
          <w:u w:val="single"/>
        </w:rPr>
        <w:t>subclauses (i)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no later than 30 days after the end of each calendar month.</w:t>
      </w:r>
    </w:p>
    <w:p>
      <w:pPr>
        <w:pStyle w:val="TextBody"/>
        <w:bidi w:val="0"/>
        <w:spacing w:before="0" w:after="0"/>
        <w:ind w:left="720" w:right="0" w:hanging="720"/>
        <w:jc w:val="both"/>
        <w:rPr>
          <w:caps/>
        </w:rPr>
      </w:pPr>
      <w:r>
        <w:rPr>
          <w:caps/>
        </w:rPr>
        <w:t> </w:t>
      </w:r>
    </w:p>
    <w:tbl>
      <w:tblPr>
        <w:tblW w:w="3190" w:type="dxa"/>
        <w:jc w:val="left"/>
        <w:tblInd w:w="0" w:type="dxa"/>
        <w:tblLayout w:type="fixed"/>
        <w:tblCellMar>
          <w:top w:w="0" w:type="dxa"/>
          <w:left w:w="0" w:type="dxa"/>
          <w:bottom w:w="0" w:type="dxa"/>
          <w:right w:w="0" w:type="dxa"/>
        </w:tblCellMar>
      </w:tblPr>
      <w:tblGrid>
        <w:gridCol w:w="215"/>
        <w:gridCol w:w="2975"/>
      </w:tblGrid>
      <w:tr>
        <w:trPr/>
        <w:tc>
          <w:tcPr>
            <w:tcW w:w="215" w:type="dxa"/>
            <w:tcBorders/>
            <w:vAlign w:val="center"/>
          </w:tcPr>
          <w:p>
            <w:pPr>
              <w:pStyle w:val="TableContents"/>
              <w:bidi w:val="0"/>
              <w:spacing w:before="0" w:after="283"/>
              <w:jc w:val="left"/>
              <w:rPr/>
            </w:pPr>
            <w:r>
              <w:rPr/>
              <w:t>4.</w:t>
            </w:r>
          </w:p>
        </w:tc>
        <w:tc>
          <w:tcPr>
            <w:tcW w:w="2975" w:type="dxa"/>
            <w:tcBorders/>
            <w:vAlign w:val="center"/>
          </w:tcPr>
          <w:p>
            <w:pPr>
              <w:pStyle w:val="TableContents"/>
              <w:bidi w:val="0"/>
              <w:spacing w:before="0" w:after="283"/>
              <w:jc w:val="both"/>
              <w:rPr/>
            </w:pPr>
            <w:r>
              <w:rPr/>
              <w:t>REGULATORY MATTERS.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Investor represents, warrants and covenants to the Controlling Investor, Holdings, Parent and Merger Sub that the information supplied or to be supplied by the Investor in writing in connection with the filings or notifications in connection with or relating to any Governmental Entity filing or approval required in connection with the Transaction is accurate, true and complete in all material respects and does not contain any untrue statement of a material fact.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Without limitation of the foregoing, and subject to the terms of this Agreement (including </w:t>
      </w:r>
      <w:r>
        <w:rPr>
          <w:rFonts w:ascii="Times New Roman;Times;Serif" w:hAnsi="Times New Roman;Times;Serif"/>
          <w:b w:val="false"/>
          <w:i w:val="false"/>
          <w:caps w:val="false"/>
          <w:smallCaps w:val="false"/>
          <w:sz w:val="20"/>
          <w:u w:val="single"/>
        </w:rPr>
        <w:t>Section 4(e)</w:t>
      </w:r>
      <w:r>
        <w:rPr>
          <w:rFonts w:ascii="Times New Roman;Times;Serif" w:hAnsi="Times New Roman;Times;Serif"/>
          <w:b w:val="false"/>
          <w:i w:val="false"/>
          <w:caps w:val="false"/>
          <w:smallCaps w:val="false"/>
          <w:sz w:val="20"/>
        </w:rPr>
        <w:t>) and the limitations in Section 6.3 of the Merger Agreement (which is hereby incorporated herein with respect to the Parties), each of the Controlling Investor, Holdings, Parent and Merger Sub shall use reasonable best efforts to, and to cause each of its respective controlled Affiliates (as defined in the Merger Agreement) to take, or cause to be taken, all actions and do, or cause to be done, all things reasonably necessary, proper or advisable in order to enable and permit such parties to fulfill its respective obligations under Section 6.3 of the Merger Agreement in all material respects, to consummate the Merger and obtain promptly all Consents (including any Restructuring Consents) from any Governmental Entity or third party necessary, proper or advisable to consummate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connection with any proposed notifications or filings and any written communications or submissions (including draft proposals, commitments or agreements) made by Holdings, Parent or Merger Sub to any Governmental Entity and relating to the Investor, Parent and Merger Sub shall permit the Investor and its counsel reasonable opportunity to review in advance and provide reasonable comments on any such notification, filing, written communication or submission, and shall in good faith consider and incorporate any such comments of Investor with respect to any portion of such notification, filing, written communication or submission to the extent it pertains to the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Without limiting the foregoing, each of the Controlling Investor, Holdings, Parent and Merger Sub undertakes, to the extent permitted by applicable Law or a Governmental Entity, to promptly notify the Investor as soon as reasonably practicable if it becomes aware of any material inquiry by, or material meetings (including any such meetings via telephone or videoconference) with, any Governmental Entity, in each case in relation to the Acquisition. In addition, to the extent permitted by applicable Law or a Governmental Entity, each of the Controlling Investor, Holdings, Parent and Merger Sub shall, promptly upon the written request of the Investor, notify the Investor of any other (</w:t>
      </w:r>
      <w:r>
        <w:rPr>
          <w:rFonts w:ascii="Times New Roman;Times;Serif" w:hAnsi="Times New Roman;Times;Serif"/>
          <w:b w:val="false"/>
          <w:i/>
          <w:caps w:val="false"/>
          <w:smallCaps w:val="false"/>
          <w:sz w:val="20"/>
        </w:rPr>
        <w:t>i.e.</w:t>
      </w:r>
      <w:r>
        <w:rPr>
          <w:rFonts w:ascii="Times New Roman;Times;Serif" w:hAnsi="Times New Roman;Times;Serif"/>
          <w:b w:val="false"/>
          <w:i w:val="false"/>
          <w:caps w:val="false"/>
          <w:smallCaps w:val="false"/>
          <w:sz w:val="20"/>
        </w:rPr>
        <w:t>, non-material) inquiries by, or meetings (including via telephone or videoconference) with, any Governmental Entity relating to the Acquisition of which it is aware as of the date of such request (including any such inquiries or meetings that occurred prior to the date of such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Limitations on Obligations</w:t>
      </w:r>
      <w:r>
        <w:rPr>
          <w:rFonts w:ascii="Times New Roman;Times;Serif" w:hAnsi="Times New Roman;Times;Serif"/>
          <w:b w:val="false"/>
          <w:i w:val="false"/>
          <w:caps w:val="false"/>
          <w:smallCaps w:val="false"/>
          <w:sz w:val="20"/>
        </w:rPr>
        <w:t xml:space="preserve">. Notwithstanding anything in this Agreement to the contrary, but subject to and without limitation of the Holdings LPA, in no event shall the Investor or any of its Affiliates, whether prior to or following the Closing, have any obligation or other Liability under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to: (i) increase the amount of its Equity Commitment, or otherwise pay any amounts, in excess of the aggregate amount of equity committed by the Investor in the Commitment Letter, unless agreed by the Investor, and other than as contemplated by the Preferred Equity Term Sheet (subject to the terms thereof and hereof); (ii) contribute or pay any amount to or on behalf of Parent or Merger Sub pursuant to this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(iii) disclose or provide information that would reasonably be expected to jeopardize privilege or be in breach of applicable Law or a binding contractual obligation or duty of confidentiality; (iv) subject to the terms of the Merger Agreement, undertake or commit to, or cause any portfolio company, investment fund or other Affiliate of the Investor, or any director, officer, employee, general partner, limited partner, member, manager or Affiliate of any of the foregoing to undertake or commit to, any divestiture, license or disposition; take or commit to any consent decree or hold separate order (regardless of the consideration), or limit or restrict its or their freedom of action or conduct with respect to any business; pursue, commence or defend through any Proceeding against any Governmental Entity or other Person; (v) be required to initiate, prosecute, or defend any Proceeding (including any proceeding, whether judicial or administrative) challenging or seeking to prevent, enjoin, or delay the consummation of the Transaction; (vi) contest, resist, or appeal any Proceeding brought by any Governmental Entity to prevent or enjoin the Closing; or (vii) take any action to have vacated, lifted, reversed, or overturned any order of a Governmental Entity that restrains, prevents, or prohibits the consummation of the Merger or any of the other Transactions; in each case, other than to provide responsive information required to make any submission, filing or application to a Governmental Entity and to otherwise cooperate in connection with any such submission or application as is reasonably necessary and customary under the circumstances, including making an appropriate response to any requests for additional material by a Governmental Entity made pursuant to any Antitrust Law or other applicable Law as promptly as reasonably possible.</w:t>
      </w:r>
    </w:p>
    <w:p>
      <w:pPr>
        <w:pStyle w:val="TextBody"/>
        <w:bidi w:val="0"/>
        <w:spacing w:before="0" w:after="0"/>
        <w:ind w:left="720" w:right="0" w:hanging="720"/>
        <w:jc w:val="both"/>
        <w:rPr>
          <w:caps/>
        </w:rPr>
      </w:pPr>
      <w:r>
        <w:rPr>
          <w:caps/>
        </w:rPr>
        <w:t> </w:t>
      </w:r>
    </w:p>
    <w:tbl>
      <w:tblPr>
        <w:tblW w:w="2395" w:type="dxa"/>
        <w:jc w:val="left"/>
        <w:tblInd w:w="0" w:type="dxa"/>
        <w:tblLayout w:type="fixed"/>
        <w:tblCellMar>
          <w:top w:w="0" w:type="dxa"/>
          <w:left w:w="0" w:type="dxa"/>
          <w:bottom w:w="0" w:type="dxa"/>
          <w:right w:w="0" w:type="dxa"/>
        </w:tblCellMar>
      </w:tblPr>
      <w:tblGrid>
        <w:gridCol w:w="215"/>
        <w:gridCol w:w="2180"/>
      </w:tblGrid>
      <w:tr>
        <w:trPr/>
        <w:tc>
          <w:tcPr>
            <w:tcW w:w="215" w:type="dxa"/>
            <w:tcBorders/>
            <w:vAlign w:val="center"/>
          </w:tcPr>
          <w:p>
            <w:pPr>
              <w:pStyle w:val="TableContents"/>
              <w:bidi w:val="0"/>
              <w:spacing w:before="0" w:after="283"/>
              <w:jc w:val="left"/>
              <w:rPr/>
            </w:pPr>
            <w:r>
              <w:rPr/>
              <w:t>5.</w:t>
            </w:r>
          </w:p>
        </w:tc>
        <w:tc>
          <w:tcPr>
            <w:tcW w:w="2180" w:type="dxa"/>
            <w:tcBorders/>
            <w:vAlign w:val="center"/>
          </w:tcPr>
          <w:p>
            <w:pPr>
              <w:pStyle w:val="TableContents"/>
              <w:bidi w:val="0"/>
              <w:spacing w:before="0" w:after="283"/>
              <w:jc w:val="both"/>
              <w:rPr/>
            </w:pPr>
            <w:r>
              <w:rPr/>
              <w:t>FEES &amp; EXPENSES.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 Responsibility</w:t>
      </w:r>
      <w:r>
        <w:rPr>
          <w:rFonts w:ascii="Times New Roman;Times;Serif" w:hAnsi="Times New Roman;Times;Serif"/>
          <w:b w:val="false"/>
          <w:i w:val="false"/>
          <w:caps w:val="false"/>
          <w:smallCaps w:val="false"/>
          <w:sz w:val="20"/>
        </w:rPr>
        <w:t>. Except as otherwise set forth herein, in the reimbursement obligations of the Investor’s expenses pursuant to Section 10 of the Commitment Letter, or as expressly agreed in another written agreement executed by the Investor and the Controlling Investor, the Investor, the Controlling Investor, Holdings, Parent and Merger Sub, shall each pay their own fees and expenses incurred in connection with evaluating, pursuing, negotiating, undertaking, consummating or entering into the Transaction Documents and the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Expense Reimbursement</w:t>
      </w:r>
      <w:r>
        <w:rPr>
          <w:rFonts w:ascii="Times New Roman;Times;Serif" w:hAnsi="Times New Roman;Times;Serif"/>
          <w:b w:val="false"/>
          <w:i w:val="false"/>
          <w:caps w:val="false"/>
          <w:smallCaps w:val="false"/>
          <w:sz w:val="20"/>
        </w:rPr>
        <w:t xml:space="preserve">. Notwithstanding </w:t>
      </w:r>
      <w:r>
        <w:rPr>
          <w:rFonts w:ascii="Times New Roman;Times;Serif" w:hAnsi="Times New Roman;Times;Serif"/>
          <w:b w:val="false"/>
          <w:i w:val="false"/>
          <w:caps w:val="false"/>
          <w:smallCaps w:val="false"/>
          <w:sz w:val="20"/>
          <w:u w:val="single"/>
        </w:rPr>
        <w:t>Section 5(a)</w:t>
      </w:r>
      <w:r>
        <w:rPr>
          <w:rFonts w:ascii="Times New Roman;Times;Serif" w:hAnsi="Times New Roman;Times;Serif"/>
          <w:b w:val="false"/>
          <w:i w:val="false"/>
          <w:caps w:val="false"/>
          <w:smallCaps w:val="false"/>
          <w:sz w:val="20"/>
        </w:rPr>
        <w:t xml:space="preserve">, if the Merger Agreement is terminated, (A) to the extent any monetary damages, break fees, termination fees, work fees, expense reimbursement or similar payments (including a Company Termination Fee) are received by the Controlling Investor, Holdings, Parent or Merger Sub (as applicable) in connection therewith, such amounts shall (I) </w:t>
      </w:r>
      <w:r>
        <w:rPr>
          <w:rFonts w:ascii="Times New Roman;Times;Serif" w:hAnsi="Times New Roman;Times;Serif"/>
          <w:b w:val="false"/>
          <w:i/>
          <w:caps w:val="false"/>
          <w:smallCaps w:val="false"/>
          <w:sz w:val="20"/>
        </w:rPr>
        <w:t>first</w:t>
      </w:r>
      <w:r>
        <w:rPr>
          <w:rFonts w:ascii="Times New Roman;Times;Serif" w:hAnsi="Times New Roman;Times;Serif"/>
          <w:b w:val="false"/>
          <w:i w:val="false"/>
          <w:caps w:val="false"/>
          <w:smallCaps w:val="false"/>
          <w:sz w:val="20"/>
        </w:rPr>
        <w:t xml:space="preserve">, be used to satisfy and pay or reimburse any expenses incurred by the Investor (subject to Section 10 of the Commitment Letter) or the Controlling Investor, and (II) </w:t>
      </w:r>
      <w:r>
        <w:rPr>
          <w:rFonts w:ascii="Times New Roman;Times;Serif" w:hAnsi="Times New Roman;Times;Serif"/>
          <w:b w:val="false"/>
          <w:i/>
          <w:caps w:val="false"/>
          <w:smallCaps w:val="false"/>
          <w:sz w:val="20"/>
        </w:rPr>
        <w:t>second</w:t>
      </w:r>
      <w:r>
        <w:rPr>
          <w:rFonts w:ascii="Times New Roman;Times;Serif" w:hAnsi="Times New Roman;Times;Serif"/>
          <w:b w:val="false"/>
          <w:i w:val="false"/>
          <w:caps w:val="false"/>
          <w:smallCaps w:val="false"/>
          <w:sz w:val="20"/>
        </w:rPr>
        <w:t>, be, with respect to any balance remaining, aggregated and paid to the Investor and the Controlling Investor in proportion to their respective Proportionate Shares, unless otherwise agreed by the Investor and the Controlling Investor, or (B) if no monetary damages, break fees, termination fees, work fees, expense reimbursement or similar payments (including a Company Termination Fee) are paid to the Controlling Investor, Holdings, Parent or Merger Sub in connection therewith, or to the extent such amounts are insufficient to pay or reimburse all such expenses, each of the Investor and the Controlling Investor, on behalf of Holdings, Parent and Merger Sub, will be responsible for its respective Proportionate Share of the amount of remaining expenses that exceeds such proceeds (if any). Any expenses shall be calculated and allocated so as to not double count any fees, expenses or other amounts contemplated thereby.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Parent Termination Fee</w:t>
      </w:r>
      <w:r>
        <w:rPr>
          <w:rFonts w:ascii="Times New Roman;Times;Serif" w:hAnsi="Times New Roman;Times;Serif"/>
          <w:b w:val="false"/>
          <w:i w:val="false"/>
          <w:caps w:val="false"/>
          <w:smallCaps w:val="false"/>
          <w:sz w:val="20"/>
        </w:rPr>
        <w:t xml:space="preserve">. Without limitation of the foregoing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any Guaranteed Obligations payable by the Investor and any of its Affiliates in connection with the Transaction pursuant to the Limited Guaranty (together with out-of-pocket costs or expenses, including attorneys’ and other advisors’ fees, to defend or settle any Proceeding related thereto, collectively, with the Guaranteed Obligations the “</w:t>
      </w:r>
      <w:r>
        <w:rPr>
          <w:rFonts w:ascii="Times New Roman;Times;Serif" w:hAnsi="Times New Roman;Times;Serif"/>
          <w:b/>
          <w:i w:val="false"/>
          <w:caps w:val="false"/>
          <w:smallCaps w:val="false"/>
          <w:sz w:val="20"/>
          <w:u w:val="single"/>
        </w:rPr>
        <w:t>Termination Fees</w:t>
      </w:r>
      <w:r>
        <w:rPr>
          <w:rFonts w:ascii="Times New Roman;Times;Serif" w:hAnsi="Times New Roman;Times;Serif"/>
          <w:b w:val="false"/>
          <w:i w:val="false"/>
          <w:caps w:val="false"/>
          <w:smallCaps w:val="false"/>
          <w:sz w:val="20"/>
        </w:rPr>
        <w:t xml:space="preserve">”) shall be borne by the Investor;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any Termination Fees are payable as a result of the Controlling Investor’s, Holdings’, Parent’s or Merger Sub’s (or any of their respective Affiliates’) (i) breach or failure to perform, directly or indirectly, any provision, term, covenant, agreement or condition set forth in this Agreement or any Transaction Document, (ii) action or inaction, in either case, that causes a breach or failure to perform by the Controlling Investor, Holdings, Parent or Merger Sub of a Transaction Document, (iii) action or inaction that causes Parent or Merger Sub to fail to obtain all required approvals and consents set forth in Section 7.1 of the Merger Agreement, including, but not limited to the Stockholder Approval and the Restructuring Consents sufficient to meet the Material Jurisdiction Threshold, on or prior to the time periods set forth in the Merger Agreement and in any event on or prior to the Outside Date, or (iv) action or inaction that otherwise is the cause of the valid termination of the Merger Agreement and the Investor’s obligation to pay the Termination Fees pursuant to Section 8.4(d) of the Merger Agreement (in each case, such Party, a “</w:t>
      </w:r>
      <w:r>
        <w:rPr>
          <w:rFonts w:ascii="Times New Roman;Times;Serif" w:hAnsi="Times New Roman;Times;Serif"/>
          <w:b/>
          <w:i w:val="false"/>
          <w:caps w:val="false"/>
          <w:smallCaps w:val="false"/>
          <w:sz w:val="20"/>
          <w:u w:val="single"/>
        </w:rPr>
        <w:t>Breaching Buyer Party</w:t>
      </w:r>
      <w:r>
        <w:rPr>
          <w:rFonts w:ascii="Times New Roman;Times;Serif" w:hAnsi="Times New Roman;Times;Serif"/>
          <w:b w:val="false"/>
          <w:i w:val="false"/>
          <w:caps w:val="false"/>
          <w:smallCaps w:val="false"/>
          <w:sz w:val="20"/>
        </w:rPr>
        <w:t xml:space="preserve">”, and each event described in </w:t>
      </w:r>
      <w:r>
        <w:rPr>
          <w:rFonts w:ascii="Times New Roman;Times;Serif" w:hAnsi="Times New Roman;Times;Serif"/>
          <w:b w:val="false"/>
          <w:i w:val="false"/>
          <w:caps w:val="false"/>
          <w:smallCaps w:val="false"/>
          <w:sz w:val="20"/>
          <w:u w:val="single"/>
        </w:rPr>
        <w:t>clauses (i)</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(iv)</w:t>
      </w:r>
      <w:r>
        <w:rPr>
          <w:rFonts w:ascii="Times New Roman;Times;Serif" w:hAnsi="Times New Roman;Times;Serif"/>
          <w:b w:val="false"/>
          <w:i w:val="false"/>
          <w:caps w:val="false"/>
          <w:smallCaps w:val="false"/>
          <w:sz w:val="20"/>
        </w:rPr>
        <w:t>, a “</w:t>
      </w:r>
      <w:r>
        <w:rPr>
          <w:rFonts w:ascii="Times New Roman;Times;Serif" w:hAnsi="Times New Roman;Times;Serif"/>
          <w:b/>
          <w:i w:val="false"/>
          <w:caps w:val="false"/>
          <w:smallCaps w:val="false"/>
          <w:sz w:val="20"/>
          <w:u w:val="single"/>
        </w:rPr>
        <w:t>Buyer Breach Event</w:t>
      </w:r>
      <w:r>
        <w:rPr>
          <w:rFonts w:ascii="Times New Roman;Times;Serif" w:hAnsi="Times New Roman;Times;Serif"/>
          <w:b w:val="false"/>
          <w:i w:val="false"/>
          <w:caps w:val="false"/>
          <w:smallCaps w:val="false"/>
          <w:sz w:val="20"/>
        </w:rPr>
        <w:t xml:space="preserve">”), then the Investor shall be entitled to enforce the rights and remedies with respect to the repayment of the Termination Fees in full by the Controlling Investor pursuant to this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Controlling Investor Guaranty</w:t>
      </w:r>
      <w:r>
        <w:rPr>
          <w:rFonts w:ascii="Times New Roman;Times;Serif" w:hAnsi="Times New Roman;Times;Serif"/>
          <w:b w:val="false"/>
          <w:i w:val="false"/>
          <w:caps w:val="false"/>
          <w:smallCaps w:val="false"/>
          <w:sz w:val="20"/>
        </w:rPr>
        <w:t xml:space="preserve">. As consideration to induce the Investor to enter into the Transaction Documents, the Controlling Investor hereby irrevocably, absolutely and unconditionally personally guarantees the due and punctual payment by the Controlling Investor (or his designee), on behalf of himself or any other Breaching Buyer Party following a Buyer Breach Event, of any and all Termination Fees paid by the Investor following a Buyer Breach Event. All payments pursuant to this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xml:space="preserve"> shall be made in cash by the Controlling Investor promptly following receipt of written notice from the Investor in lawful money of the United States in immediately available funds. The Controlling Investor shall make all payments pursuant to this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xml:space="preserve"> free and clear of any deduction, offset, defense, claim or counterclaim of any kind.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This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xml:space="preserve"> is a guarantee of payment only, not collection, and a separate action or actions may be brought and prosecuted against the Controlling Investor to enforce this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xml:space="preserve">, irrespective of whether any action is brought against Holdings, Parent, Merger Sub or any other Person or whether Holdings, Parent, Merger Sub or any other Person is joined in any such action or actions. Without limiting the foregoing, the liability of the Controlling Investor under this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xml:space="preserve"> shall, to the fullest extent permitted under applicable Law, be absolute and unconditional, irrespective of: (i) any change in the corporate existence, structure or ownership of the Controlling Investor, Holdings, Parent or Merger Sub, or any insolvency, bankruptcy, reorganization, liquidation or other similar proceeding of the Controlling Investor, Holdings, Parent or Merger Sub or affecting any of their respective assets; (ii) the failure or delay on the part of the Investor to assert any claim or demand or to enforce any right or remedy against the Controlling Investor, Holdings, Parent, or Merger Sub or any Person now or hereafter liable with respect to the payment of the Termination Fees pursuant to this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xml:space="preserve"> or otherwise interested in the transactions contemplated by the Merger Agreement; (iii) the adequacy of any other means the Investor may have of obtaining repayment or reimbursement of the Termination Fees, (iv) the existence of any claim, counterclaim, deduction, set-off or other right that the Controlling Investor or any other Person may have at any time against the Investor or any other Party; (v) the right by statute or otherwise to require the Investor to institute suit against the Company or to exhaust any rights and remedies which the Investor has or may have against the Company under the Limited Guaranty; (vi) any change in the applicable Law of any jurisdiction; or (vii) any other defense that might operate as a legal or equitable discharge of a guarantor or surety.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The Investor agrees that (A) in no event shall the Controlling Investor be obligated to guaranty any payment in excess of the Termination Fees actually paid by the Investor (which Termination Fees, for the avoidance of doubt, shall in no event exceed the Maximum Aggregate Amount (as defined in the Limited Guaranty)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 xml:space="preserve">up to $2,000,000 in Termination Fees consisting of any out-of-pocket costs or expenses, including attorneys’ and other advisors’ fees, to defend or settle any Proceeding related thereto), and (B) the payment of the Termination Fees (subject to the foregoing cap) by the Controlling Investor shall be the sole and exclusive remedy of the Investor and its Affiliates against the Controlling Investor, Holdings, Parent, Merger Sub and their respective former, current or future direct or indirect equity holders, controlling persons, directors, officers, employees, agents, Affiliates, members, managers or representatives, for any and all losses, Liabilities or damages suffered or incurred by the Investor or any of its Affiliates in connection with the Transaction or the Transaction Documents, including in respect of any willful or intentional breach of this Agreement or any other Transaction Document;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the foregoing shall not limit the Investor’s right pursuant to this Agreement and Section 10 of the Equity Commitment Letter, to recover any losses, Liabilities or damages, including for the avoidance of doubt, any out-of-pocket legal expenses or other costs incurred or arising therefrom, arising from or in connection with fraud by the Controlling Investor, Holdings, Parent, Merger Sub or any of their respective Affiliates,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further</w:t>
      </w:r>
      <w:r>
        <w:rPr>
          <w:rFonts w:ascii="Times New Roman;Times;Serif" w:hAnsi="Times New Roman;Times;Serif"/>
          <w:b w:val="false"/>
          <w:i w:val="false"/>
          <w:caps w:val="false"/>
          <w:smallCaps w:val="false"/>
          <w:sz w:val="20"/>
        </w:rPr>
        <w:t xml:space="preserve">, that, the Controlling Investor shall cause the Company to indemnify, defend and hold harmless the Investor and each of its Affiliates, partners, officers, directors and employees from and against any and all Liabilities arising out of or in connection with any Proceeding asserted by a third party relating to or arising out of Transactions and/or the Transaction Documents, and the Investor agrees that, except as set forth in the immediately preceding proviso, it shall not seek, and shall cause its Affiliates not to seek, to recover any other monetary damages or any equitable relief (including specific performance or injunctive relief) in connection therewith. Subject to the foregoing, to the fullest extent permitted by applicable Laws, the Controlling Investor hereby expressly waives any and all rights or defenses arising by reason of any Law which would otherwise require any election of remedies by the Investor. The Controlling Investor waives promptness, diligence, notice of acceptance of the obligations of this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presentment, demand for payment, notice of nonperformance, default, dishonor and protest, notice of the incurrence of any payment of the Termination Fees and all other notices of any kind, all defenses which may be available by virtue of any stay, moratorium Law or other similar Law now or hereafter in effect, any right to require the marshaling of assets, and all suretyship defenses generally (in each case, other than (i) the Controlling Investor’s right to assert any and all defenses based on breach of this Agreement, (ii) fraud by the Investor or (iii) payment in full of the Termination Fees).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failure on the part of the Investor to exercise, and no delay in exercising, any right, remedy or power hereunder shall operate as a waiver thereof, nor shall any single or partial exercise by the Investor of any right, remedy or power hereunder preclude any other or future exercise of any right, remedy or power. Each and every right, remedy and power hereby granted to the Investor or allowed it by applicable Law or other agreement shall be cumulative and not exclusive of any other and may be exercised by the Investor at any time or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Acknowledgement.</w:t>
      </w:r>
      <w:r>
        <w:rPr>
          <w:rFonts w:ascii="Times New Roman;Times;Serif" w:hAnsi="Times New Roman;Times;Serif"/>
          <w:b w:val="false"/>
          <w:i w:val="false"/>
          <w:caps w:val="false"/>
          <w:smallCaps w:val="false"/>
          <w:sz w:val="20"/>
        </w:rPr>
        <w:t xml:space="preserve"> The Controlling Investor acknowledges and agrees that the Investor is entering into this Agreement, the Limited Guaranty, the Commitment Letter and the other Transaction Documents in reliance upon the terms and obligations of this Section 5(c) and that the Investor would not have agreed to enter into the Transaction Documents without such agreement hereunder.</w:t>
      </w:r>
    </w:p>
    <w:p>
      <w:pPr>
        <w:pStyle w:val="TextBody"/>
        <w:bidi w:val="0"/>
        <w:spacing w:before="0" w:after="0"/>
        <w:ind w:left="720" w:right="0" w:hanging="720"/>
        <w:jc w:val="both"/>
        <w:rPr>
          <w:caps/>
        </w:rPr>
      </w:pPr>
      <w:r>
        <w:rPr>
          <w:caps/>
        </w:rPr>
        <w:t> </w:t>
      </w:r>
    </w:p>
    <w:tbl>
      <w:tblPr>
        <w:tblW w:w="4855" w:type="dxa"/>
        <w:jc w:val="left"/>
        <w:tblInd w:w="0" w:type="dxa"/>
        <w:tblLayout w:type="fixed"/>
        <w:tblCellMar>
          <w:top w:w="0" w:type="dxa"/>
          <w:left w:w="0" w:type="dxa"/>
          <w:bottom w:w="0" w:type="dxa"/>
          <w:right w:w="0" w:type="dxa"/>
        </w:tblCellMar>
      </w:tblPr>
      <w:tblGrid>
        <w:gridCol w:w="215"/>
        <w:gridCol w:w="4640"/>
      </w:tblGrid>
      <w:tr>
        <w:trPr/>
        <w:tc>
          <w:tcPr>
            <w:tcW w:w="215" w:type="dxa"/>
            <w:tcBorders/>
            <w:vAlign w:val="center"/>
          </w:tcPr>
          <w:p>
            <w:pPr>
              <w:pStyle w:val="TableContents"/>
              <w:bidi w:val="0"/>
              <w:spacing w:before="0" w:after="283"/>
              <w:jc w:val="left"/>
              <w:rPr/>
            </w:pPr>
            <w:r>
              <w:rPr/>
              <w:t>6.</w:t>
            </w:r>
          </w:p>
        </w:tc>
        <w:tc>
          <w:tcPr>
            <w:tcW w:w="4640" w:type="dxa"/>
            <w:tcBorders/>
            <w:vAlign w:val="center"/>
          </w:tcPr>
          <w:p>
            <w:pPr>
              <w:pStyle w:val="TableContents"/>
              <w:bidi w:val="0"/>
              <w:spacing w:before="0" w:after="283"/>
              <w:jc w:val="both"/>
              <w:rPr/>
            </w:pPr>
            <w:r>
              <w:rPr/>
              <w:t>REPRESENTATIONS AND WARRANTIES.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General Representations &amp; Warranties</w:t>
      </w:r>
      <w:r>
        <w:rPr>
          <w:rFonts w:ascii="Times New Roman;Times;Serif" w:hAnsi="Times New Roman;Times;Serif"/>
          <w:b w:val="false"/>
          <w:i w:val="false"/>
          <w:caps w:val="false"/>
          <w:smallCaps w:val="false"/>
          <w:sz w:val="20"/>
        </w:rPr>
        <w:t>. Each Party represents and warrants to each other Party as of the date hereof and as of the Closing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 respect to any Party that is an entity, it is duly organized or incorporated, validly existing and in good standing under the Laws of the jurisdiction of organization or incorporation and has all requisite power and authority to conduct its business as it is now being conducted and is proposed to be conducted;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it has all organizational power (solely with respect to any Party that is an entity) and authority to execute, deliver and perform this Agreement and to consummate the transactions contemplated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the filings, consents, approvals and other actions contemplated by the Merger Agreement (including the schedules thereto) or this Agreement, the execution, delivery and performance of this Agreement by it has been duly and validly authorized and approved by all necessary limited partnership, limited liability company, corporate or other organizational action and does not conflict with, violate or contravene (A) solely with respect to any Party that is an entity, any provision of its certificate of limited partnership, formation or incorporation, partnership agreement, limited liability company agreement, operating agreement, bylaws or similar Organizational Documents, (B) any material contract to which it or its assets are subject or (C) any applicable Law binding on it or any of its property or assets, except, in the case of </w:t>
      </w:r>
      <w:r>
        <w:rPr>
          <w:rFonts w:ascii="Times New Roman;Times;Serif" w:hAnsi="Times New Roman;Times;Serif"/>
          <w:b w:val="false"/>
          <w:i w:val="false"/>
          <w:caps w:val="false"/>
          <w:smallCaps w:val="false"/>
          <w:sz w:val="20"/>
          <w:u w:val="single"/>
        </w:rPr>
        <w:t>clauses (B)</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(C)</w:t>
      </w:r>
      <w:r>
        <w:rPr>
          <w:rFonts w:ascii="Times New Roman;Times;Serif" w:hAnsi="Times New Roman;Times;Serif"/>
          <w:b w:val="false"/>
          <w:i w:val="false"/>
          <w:caps w:val="false"/>
          <w:smallCaps w:val="false"/>
          <w:sz w:val="20"/>
        </w:rPr>
        <w:t>, for such conflicts, violations or contraventions which would not, individually or in the aggregate, reasonably be expected to prevent, restrict or materially delay the ability of such Party to perform its obligations under this Agreement or to consummate the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this Agreement has been duly and validly executed and delivered by it and, assuming this Agreement constitutes a valid and binding agreement of the other Parties hereto, constitutes a valid and legally binding obligation of it, enforceable against it in accordance with the terms of this Agreement (subject to laws of general application relating to bankruptcy, insolvency, reorganization, moratorium and other laws affecting creditors’ rights generally, and rules of law governing specific performance, injunctive relief and other equitable remedies);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the Controlling Investor has sufficient cash and/or assets on hand in an amount not less than the amount necessary to make the payments contemplated by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xml:space="preserve"> or has such other financial means at its disposal to enable such Controlling Investor to pay the amounts contemplated by </w:t>
      </w:r>
      <w:r>
        <w:rPr>
          <w:rFonts w:ascii="Times New Roman;Times;Serif" w:hAnsi="Times New Roman;Times;Serif"/>
          <w:b w:val="false"/>
          <w:i w:val="false"/>
          <w:caps w:val="false"/>
          <w:smallCaps w:val="false"/>
          <w:sz w:val="20"/>
          <w:u w:val="single"/>
        </w:rPr>
        <w:t>Section 5(c)</w:t>
      </w:r>
      <w:r>
        <w:rPr>
          <w:rFonts w:ascii="Times New Roman;Times;Serif" w:hAnsi="Times New Roman;Times;Serif"/>
          <w:b w:val="false"/>
          <w:i w:val="false"/>
          <w:caps w:val="false"/>
          <w:smallCaps w:val="false"/>
          <w:sz w:val="20"/>
        </w:rPr>
        <w:t xml:space="preserve"> when due pursuant to the terms and subject to the terms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tab/>
        <w:t>The Controlling Investor, Holdings, Parent and Merger Sub each represents and warrants to the Investor as of the date hereof that: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the Controlling Investor owns 100% of the equity interests of Holdings, (B) Holdings owns 100% of the equity interests of Parent, (C) Parent owns 100% of the equity interests of Merger Sub, in each case, free and clear of any Liens (other than restrictions on transfer under applicable securities Laws, the Organizational Documents of such Persons and/or this Agreement, as the case may be);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there are no outstanding warrants, options, convertible or exchangeable securities or other rights pursuant to which any Person may subscribe for, purchase or acquire any limited liability company interests, capital stock, general partner interest or limited partner interest (as applicable) of Holdings, Parent or Merger Sub, other than this Agreement, the Commitment Letter, the Holdings LPA, and the Organizational Documents of Holdings, Parent and Merger Sub;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neither Holdings, Parent or Merger Sub has, prior to the date hereof, (A) engaged in any business activities or conducted any operations or (B) acquired or otherwise held any assets or incurred any liabilities other than, in each case, those incidental to its formation or in connection with the entry into this Agreement and the Merger Agreement and the other Transaction Documents and Transactions.</w:t>
      </w:r>
    </w:p>
    <w:p>
      <w:pPr>
        <w:pStyle w:val="TextBody"/>
        <w:bidi w:val="0"/>
        <w:spacing w:before="0" w:after="0"/>
        <w:ind w:left="720" w:right="0" w:hanging="720"/>
        <w:jc w:val="both"/>
        <w:rPr>
          <w:caps/>
        </w:rPr>
      </w:pPr>
      <w:r>
        <w:rPr>
          <w:caps/>
        </w:rPr>
        <w:t> </w:t>
      </w:r>
    </w:p>
    <w:tbl>
      <w:tblPr>
        <w:tblW w:w="4465" w:type="dxa"/>
        <w:jc w:val="left"/>
        <w:tblInd w:w="0" w:type="dxa"/>
        <w:tblLayout w:type="fixed"/>
        <w:tblCellMar>
          <w:top w:w="0" w:type="dxa"/>
          <w:left w:w="0" w:type="dxa"/>
          <w:bottom w:w="0" w:type="dxa"/>
          <w:right w:w="0" w:type="dxa"/>
        </w:tblCellMar>
      </w:tblPr>
      <w:tblGrid>
        <w:gridCol w:w="215"/>
        <w:gridCol w:w="4250"/>
      </w:tblGrid>
      <w:tr>
        <w:trPr/>
        <w:tc>
          <w:tcPr>
            <w:tcW w:w="215" w:type="dxa"/>
            <w:tcBorders/>
            <w:vAlign w:val="center"/>
          </w:tcPr>
          <w:p>
            <w:pPr>
              <w:pStyle w:val="TableContents"/>
              <w:bidi w:val="0"/>
              <w:spacing w:before="0" w:after="283"/>
              <w:jc w:val="left"/>
              <w:rPr/>
            </w:pPr>
            <w:r>
              <w:rPr/>
              <w:t>7.</w:t>
            </w:r>
          </w:p>
        </w:tc>
        <w:tc>
          <w:tcPr>
            <w:tcW w:w="4250" w:type="dxa"/>
            <w:tcBorders/>
            <w:vAlign w:val="center"/>
          </w:tcPr>
          <w:p>
            <w:pPr>
              <w:pStyle w:val="TableContents"/>
              <w:bidi w:val="0"/>
              <w:spacing w:before="0" w:after="283"/>
              <w:jc w:val="both"/>
              <w:rPr/>
            </w:pPr>
            <w:r>
              <w:rPr/>
              <w:t>CONDUCT OF CERTAIN LITIGATION.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event that the Investor, the Controlling Investor or any of their respective Affiliates, Holdings, Parent or Merger Sub, become subject to a Proceeding by the Company or any of its Affiliates pursuant to or in connection with the Merger Agreement or the transactions contemplated thereby, which (i) involves an allegation of a breach by the Controlling Investor or any of its Affiliates, Parent or Merger Sub of an obligation under the Merger Agreement or any Transaction Document to cause the Investor or its Affiliates to take or refrain from taking any action or (ii) involves a factual allegation that, if true, would constitute a breach by the Investor or its Affiliates of an obligation under this Agreement, including for the avoidance of doubt any breaches of fiduciary duty or similar Proceeding brought against the Controlling Investor, Holdings, Parent or Merger Sub to which the Investor becomes subject (with respect to the Investor or its Affiliates, a “</w:t>
      </w:r>
      <w:r>
        <w:rPr>
          <w:rFonts w:ascii="Times New Roman;Times;Serif" w:hAnsi="Times New Roman;Times;Serif"/>
          <w:b/>
          <w:i w:val="false"/>
          <w:caps w:val="false"/>
          <w:smallCaps w:val="false"/>
          <w:sz w:val="20"/>
          <w:u w:val="single"/>
        </w:rPr>
        <w:t>Related Claim</w:t>
      </w:r>
      <w:r>
        <w:rPr>
          <w:rFonts w:ascii="Times New Roman;Times;Serif" w:hAnsi="Times New Roman;Times;Serif"/>
          <w:b w:val="false"/>
          <w:i w:val="false"/>
          <w:caps w:val="false"/>
          <w:smallCaps w:val="false"/>
          <w:sz w:val="20"/>
        </w:rPr>
        <w:t>”), then the Controlling Investor, Holdings, Parent, Merger Sub or their applicable Affiliates subject to such Proceeding (as applicable) shall deliver notice of such Related Claim to the Investor reasonably promptly after becoming aware of such Related Claim (and in any event no later than 2 Business Days after being served or otherwise receiving a demand letter, subpoena, summons or similar instrument). Notwithstanding the foregoing, the Investor shall have the right (but not the obligation) within 30 days after receipt of notice or becoming subject to any Related Claim, to elect to (x) in the case of a Related Claim primarily or exclusively related to the Investor, control the defense of such Related Claim jointly with the Controlling Investor, Holdings, Parent or Merger Sub (as applicable) and (y) in the case of any other Related Claim, to participate in the defense of such Related Claim with the Controlling Investor, Holdings, Parent or Merger Sub in respect of which such claim is a Related Claim, it being understood that, with respect to any Related Claim, the Investor may employ counsel, at its own expense, separate from the counsel employed by the Controlling Investor, Holdings, Parent or Merger Sub.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Investor shall cooperate with the Controlling Investor, Holdings, Parent or Merger Sub in the defense of any claim contemplated by </w:t>
      </w:r>
      <w:r>
        <w:rPr>
          <w:rFonts w:ascii="Times New Roman;Times;Serif" w:hAnsi="Times New Roman;Times;Serif"/>
          <w:b w:val="false"/>
          <w:i w:val="false"/>
          <w:caps w:val="false"/>
          <w:smallCaps w:val="false"/>
          <w:sz w:val="20"/>
          <w:u w:val="single"/>
        </w:rPr>
        <w:t>Section 7(a)</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Investor or other Person shall be required to commence any legal action or other Proceeding in connection therewith. The Controlling Investor shall not (and shall cause Holdings, Parent and Merger Sub (as applicable) not to) admit any Liability with respect to, or settle, compromise or discharge, any Related Claim without the Investor’s prior written consent (not to be unreasonably withheld, conditioned or delayed unless any such settlement, compromise or discharge of a Related Claim relates exclusively to the Investor or its Affiliates).</w:t>
      </w:r>
    </w:p>
    <w:p>
      <w:pPr>
        <w:pStyle w:val="TextBody"/>
        <w:bidi w:val="0"/>
        <w:spacing w:before="0" w:after="0"/>
        <w:ind w:left="720" w:right="0" w:hanging="720"/>
        <w:jc w:val="both"/>
        <w:rPr>
          <w:caps/>
        </w:rPr>
      </w:pPr>
      <w:r>
        <w:rPr>
          <w:caps/>
        </w:rPr>
        <w:t> </w:t>
      </w:r>
    </w:p>
    <w:tbl>
      <w:tblPr>
        <w:tblW w:w="4225" w:type="dxa"/>
        <w:jc w:val="left"/>
        <w:tblInd w:w="0" w:type="dxa"/>
        <w:tblLayout w:type="fixed"/>
        <w:tblCellMar>
          <w:top w:w="0" w:type="dxa"/>
          <w:left w:w="0" w:type="dxa"/>
          <w:bottom w:w="0" w:type="dxa"/>
          <w:right w:w="0" w:type="dxa"/>
        </w:tblCellMar>
      </w:tblPr>
      <w:tblGrid>
        <w:gridCol w:w="215"/>
        <w:gridCol w:w="4010"/>
      </w:tblGrid>
      <w:tr>
        <w:trPr/>
        <w:tc>
          <w:tcPr>
            <w:tcW w:w="215" w:type="dxa"/>
            <w:tcBorders/>
            <w:vAlign w:val="center"/>
          </w:tcPr>
          <w:p>
            <w:pPr>
              <w:pStyle w:val="TableContents"/>
              <w:bidi w:val="0"/>
              <w:spacing w:before="0" w:after="283"/>
              <w:jc w:val="left"/>
              <w:rPr/>
            </w:pPr>
            <w:r>
              <w:rPr/>
              <w:t>8.</w:t>
            </w:r>
          </w:p>
        </w:tc>
        <w:tc>
          <w:tcPr>
            <w:tcW w:w="4010" w:type="dxa"/>
            <w:tcBorders/>
            <w:vAlign w:val="center"/>
          </w:tcPr>
          <w:p>
            <w:pPr>
              <w:pStyle w:val="TableContents"/>
              <w:bidi w:val="0"/>
              <w:spacing w:before="0" w:after="283"/>
              <w:jc w:val="both"/>
              <w:rPr/>
            </w:pPr>
            <w:r>
              <w:rPr/>
              <w:t>NO THIRD-PARTY BENEFICIARIES.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Parties agree that this Agreement shall be binding upon and inure solely to the benefit of the Parties and their respective successors and permitted assigns, and nothing express or implied in this Agreement is intended to, or shall, confer upon any other Person other than the Parties any benefits, rights or remedies under or by reason of, or any rights to enforce or cause the Parties to enforce, the obligations set forth 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Non-Recourse Parties shall be express third party beneficiaries of </w:t>
      </w:r>
      <w:r>
        <w:rPr>
          <w:rFonts w:ascii="Times New Roman;Times;Serif" w:hAnsi="Times New Roman;Times;Serif"/>
          <w:b w:val="false"/>
          <w:i w:val="false"/>
          <w:caps w:val="false"/>
          <w:smallCaps w:val="false"/>
          <w:sz w:val="20"/>
          <w:u w:val="single"/>
        </w:rPr>
        <w:t>Section 12</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rPr>
      </w:pPr>
      <w:r>
        <w:rPr>
          <w:caps/>
        </w:rPr>
        <w:t> </w:t>
      </w:r>
    </w:p>
    <w:tbl>
      <w:tblPr>
        <w:tblW w:w="3910" w:type="dxa"/>
        <w:jc w:val="left"/>
        <w:tblInd w:w="0" w:type="dxa"/>
        <w:tblLayout w:type="fixed"/>
        <w:tblCellMar>
          <w:top w:w="0" w:type="dxa"/>
          <w:left w:w="0" w:type="dxa"/>
          <w:bottom w:w="0" w:type="dxa"/>
          <w:right w:w="0" w:type="dxa"/>
        </w:tblCellMar>
      </w:tblPr>
      <w:tblGrid>
        <w:gridCol w:w="215"/>
        <w:gridCol w:w="3695"/>
      </w:tblGrid>
      <w:tr>
        <w:trPr/>
        <w:tc>
          <w:tcPr>
            <w:tcW w:w="215" w:type="dxa"/>
            <w:tcBorders/>
            <w:vAlign w:val="center"/>
          </w:tcPr>
          <w:p>
            <w:pPr>
              <w:pStyle w:val="TableContents"/>
              <w:bidi w:val="0"/>
              <w:spacing w:before="0" w:after="283"/>
              <w:jc w:val="left"/>
              <w:rPr/>
            </w:pPr>
            <w:r>
              <w:rPr/>
              <w:t>9.</w:t>
            </w:r>
          </w:p>
        </w:tc>
        <w:tc>
          <w:tcPr>
            <w:tcW w:w="3695" w:type="dxa"/>
            <w:tcBorders/>
            <w:vAlign w:val="center"/>
          </w:tcPr>
          <w:p>
            <w:pPr>
              <w:pStyle w:val="TableContents"/>
              <w:bidi w:val="0"/>
              <w:spacing w:before="0" w:after="283"/>
              <w:jc w:val="both"/>
              <w:rPr/>
            </w:pPr>
            <w:r>
              <w:rPr/>
              <w:t>CONFIDENTIALITY; PUBLICITY.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acknowledges and agrees that the terms and existence of this Agreement, including any and all information regarding the Transaction Documents are subject to the applicable Confidentiality Agreements (as defined below) and the confidentiality provisions of the Merger Agreement, the Commitment Letter and the Limited Guaranty, which are incorporated herein with respect to the Parties (as if parties thereto). The Parties will coordinate in good faith with respect to any and all press releases and other public relations matters with respect to the Transaction, including the initial press release to be issued with respect to the Transaction or any other public announcement or comment, and responses to any incoming inquiries to the Parties or their Affiliates from the press or otherwise. Unless otherwise required by Law or the applicable rules of any stock exchange or regulatory authority (in which case, the Investor (if the disclosing Party is the Investor) or the Controlling Investor (if the disclosing Party is the Controlling Investor, Holdings, Parent or Merger Sub) shall give the Controlling Investor or the Investor, as applicable, notice and opportunity to review such disclosure), no Party may issue any press release or otherwise make any public announcement or comment on the Transaction (or the failure of the Transaction to be consummated), without the prior written consent of the Investor (if such Party is the Controlling Investor, Holdings, Parent or Merger Sub) or the Controlling Investor (if such Party is the Investor).</w:t>
      </w:r>
    </w:p>
    <w:p>
      <w:pPr>
        <w:pStyle w:val="TextBody"/>
        <w:bidi w:val="0"/>
        <w:spacing w:before="0" w:after="0"/>
        <w:ind w:left="720" w:right="0" w:hanging="720"/>
        <w:jc w:val="both"/>
        <w:rPr>
          <w:caps/>
        </w:rPr>
      </w:pPr>
      <w:r>
        <w:rPr>
          <w:caps/>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hanging="720"/>
        <w:jc w:val="both"/>
        <w:rPr>
          <w:caps/>
        </w:rPr>
      </w:pPr>
      <w:r>
        <w:rPr>
          <w:caps/>
        </w:rPr>
        <w:t> </w:t>
      </w:r>
    </w:p>
    <w:tbl>
      <w:tblPr>
        <w:tblW w:w="1465" w:type="dxa"/>
        <w:jc w:val="left"/>
        <w:tblInd w:w="0" w:type="dxa"/>
        <w:tblLayout w:type="fixed"/>
        <w:tblCellMar>
          <w:top w:w="0" w:type="dxa"/>
          <w:left w:w="0" w:type="dxa"/>
          <w:bottom w:w="0" w:type="dxa"/>
          <w:right w:w="0" w:type="dxa"/>
        </w:tblCellMar>
      </w:tblPr>
      <w:tblGrid>
        <w:gridCol w:w="335"/>
        <w:gridCol w:w="1130"/>
      </w:tblGrid>
      <w:tr>
        <w:trPr/>
        <w:tc>
          <w:tcPr>
            <w:tcW w:w="335" w:type="dxa"/>
            <w:tcBorders/>
            <w:vAlign w:val="center"/>
          </w:tcPr>
          <w:p>
            <w:pPr>
              <w:pStyle w:val="TableContents"/>
              <w:bidi w:val="0"/>
              <w:spacing w:before="0" w:after="283"/>
              <w:jc w:val="left"/>
              <w:rPr/>
            </w:pPr>
            <w:r>
              <w:rPr/>
              <w:t>10.</w:t>
            </w:r>
          </w:p>
        </w:tc>
        <w:tc>
          <w:tcPr>
            <w:tcW w:w="1130" w:type="dxa"/>
            <w:tcBorders/>
            <w:vAlign w:val="center"/>
          </w:tcPr>
          <w:p>
            <w:pPr>
              <w:pStyle w:val="TableContents"/>
              <w:bidi w:val="0"/>
              <w:spacing w:before="0" w:after="283"/>
              <w:jc w:val="both"/>
              <w:rPr/>
            </w:pPr>
            <w:r>
              <w:rPr/>
              <w:t>NOTICES.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Controlling Investor, Holdings, Parent and Merger Sub (as applicable) shall promptly deliver to the Investor any notices delivered to the Controlling Investor, Holdings, Parent or Merger Sub pursuant to the Merger Agreement or any other Transaction Document. All notices, requests, consents, demands and other communications under this Agreement shall be in writing and shall be deemed to have been duly given to the receiving Party(ies) (a) when delivered by hand, (b) when sent by email (to the extent no “bounce back” or similar message indicating non-delivery is received with respect thereto) or (c) one Business Day following the day sent by an internationally recognized overnight courier (providing proof of delivery to the proper address), in each case, at the addresses and email addresses (or to such other address or email address as such receiving Party(ies) may have specified by notice given to the other Party(ies) pursuant to this provision), it being sufficient to prove service of a notice if such envelope or email message containing such notice was properly addressed and delivered to the relevant address set forth below.</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Investor</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Searchlight Capital Partners, L.P.</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745 Fifth Avenue, 27th Floor</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10151</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Nadir Nurmohamed</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 *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 a copy (that shall not constitute notice) to</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1271 Avenue of the Americas</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10020</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David Beller; Philip Wolf</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tab/>
        <w:t>david.beller@lw.com; philip.wolf@lw.com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If to the Controlling Investor, Holdings, Parent or Merger Sub</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Westside Parkway, Suite 155</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Alpharetta, Georgia 30004</w:t>
        <w:br/>
        <w:t>Attention: Thomas Priore</w:t>
        <w:br/>
        <w:t>Email: *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with a copy (that shall not constitute notice) to</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McDermott Will &amp; Schulte LLP</w:t>
        <w:br/>
        <w:t>One Vanderbilt Avenue</w:t>
        <w:br/>
        <w:t>New York, New York 10017</w:t>
        <w:br/>
        <w:t>Attention: Benjamin Kozinn; Lauren Troeller; Eric Orsic</w:t>
        <w:br/>
        <w:t>Email:</w:t>
        <w:tab/>
        <w:t>bkozinn@mcdermottlaw.com; ltroeller@mcdermottlaw.com; eorsic@mcdermottlaw.com</w:t>
      </w:r>
    </w:p>
    <w:p>
      <w:pPr>
        <w:pStyle w:val="TextBody"/>
        <w:bidi w:val="0"/>
        <w:spacing w:before="0" w:after="0"/>
        <w:ind w:left="144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335"/>
        <w:gridCol w:w="1310"/>
      </w:tblGrid>
      <w:tr>
        <w:trPr/>
        <w:tc>
          <w:tcPr>
            <w:tcW w:w="335" w:type="dxa"/>
            <w:tcBorders/>
            <w:vAlign w:val="center"/>
          </w:tcPr>
          <w:p>
            <w:pPr>
              <w:pStyle w:val="TableContents"/>
              <w:bidi w:val="0"/>
              <w:spacing w:before="0" w:after="283"/>
              <w:jc w:val="left"/>
              <w:rPr/>
            </w:pPr>
            <w:r>
              <w:rPr/>
              <w:t>11.</w:t>
            </w:r>
          </w:p>
        </w:tc>
        <w:tc>
          <w:tcPr>
            <w:tcW w:w="1310" w:type="dxa"/>
            <w:tcBorders/>
            <w:vAlign w:val="center"/>
          </w:tcPr>
          <w:p>
            <w:pPr>
              <w:pStyle w:val="TableContents"/>
              <w:bidi w:val="0"/>
              <w:spacing w:before="0" w:after="283"/>
              <w:jc w:val="both"/>
              <w:rPr/>
            </w:pPr>
            <w:r>
              <w:rPr/>
              <w:t>REMEDIES.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Specific Performance; Generally</w:t>
      </w:r>
      <w:r>
        <w:rPr>
          <w:rFonts w:ascii="Times New Roman;Times;Serif" w:hAnsi="Times New Roman;Times;Serif"/>
          <w:b w:val="false"/>
          <w:i w:val="false"/>
          <w:caps w:val="false"/>
          <w:smallCaps w:val="false"/>
          <w:sz w:val="20"/>
        </w:rPr>
        <w:t>. Each Party agrees that, except as provided herein, this Agreement shall be enforceable by all available remedies at law or in equity (including specific performance). For the avoidance of doubt, the rights and remedies of any Party contained herein, and the exercise of any right or remedy by such Party hereunder, is in addition to and not exclusive of any other right or remedy that such Party may have at law or in equity. Without limitation of the foregoing, each Party agrees that irreparable damage would occur and the Parties would not have an adequate remedy at law if any provision of this Agreement is not performed in accordance with its specific terms or is otherwise breached. Accordingly, each Party agrees that each other Party will be entitled to injunctive relief from time to time to prevent breaches of the provisions of this Agreement and to enforce specifically the terms and provisions of this Agreement, in each case (i) without the requirement of posting any bond or other indemnity and (ii) in addition to any other remedy to which such Party may be entitled, at law or in equity. Furthermore, each Party agrees not to raise any objections to the availability of the equitable remedy of specific performance to prevent or restrain breaches of this Agreement, and to specifically enforce the terms of this Agreement to prevent breaches or threatened breaches of, or to enforce compliance with, the covenants and obligations of such Party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Limitation on Damages</w:t>
      </w:r>
      <w:r>
        <w:rPr>
          <w:rFonts w:ascii="Times New Roman;Times;Serif" w:hAnsi="Times New Roman;Times;Serif"/>
          <w:b w:val="false"/>
          <w:i w:val="false"/>
          <w:caps w:val="false"/>
          <w:smallCaps w:val="false"/>
          <w:sz w:val="20"/>
        </w:rPr>
        <w:t>. Notwithstanding anything herein to the contrary, none of the Parties hereto (nor any of their Affiliates) shall have the right to recover amounts based on a multiple of earnings, diminution of value, lost profits or benefit of the bargain damages, or any special, incidental, exemplary, punitive, indirect or consequential damages under this Agreement or otherwise in respect of any breach of this Agreement by any Party (except, in the case of punitive damages only, to the extent such punitive damages are payable to a third party in connection with any such breach).</w:t>
      </w:r>
    </w:p>
    <w:p>
      <w:pPr>
        <w:pStyle w:val="TextBody"/>
        <w:bidi w:val="0"/>
        <w:spacing w:before="0" w:after="0"/>
        <w:ind w:left="720" w:right="0" w:hanging="720"/>
        <w:jc w:val="both"/>
        <w:rPr>
          <w:caps/>
        </w:rPr>
      </w:pPr>
      <w:r>
        <w:rPr>
          <w:caps/>
        </w:rPr>
        <w:t> </w:t>
      </w:r>
    </w:p>
    <w:tbl>
      <w:tblPr>
        <w:tblW w:w="2335" w:type="dxa"/>
        <w:jc w:val="left"/>
        <w:tblInd w:w="0" w:type="dxa"/>
        <w:tblLayout w:type="fixed"/>
        <w:tblCellMar>
          <w:top w:w="0" w:type="dxa"/>
          <w:left w:w="0" w:type="dxa"/>
          <w:bottom w:w="0" w:type="dxa"/>
          <w:right w:w="0" w:type="dxa"/>
        </w:tblCellMar>
      </w:tblPr>
      <w:tblGrid>
        <w:gridCol w:w="335"/>
        <w:gridCol w:w="2000"/>
      </w:tblGrid>
      <w:tr>
        <w:trPr/>
        <w:tc>
          <w:tcPr>
            <w:tcW w:w="335" w:type="dxa"/>
            <w:tcBorders/>
            <w:vAlign w:val="center"/>
          </w:tcPr>
          <w:p>
            <w:pPr>
              <w:pStyle w:val="TableContents"/>
              <w:bidi w:val="0"/>
              <w:spacing w:before="0" w:after="283"/>
              <w:jc w:val="left"/>
              <w:rPr/>
            </w:pPr>
            <w:r>
              <w:rPr/>
              <w:t>12.</w:t>
            </w:r>
          </w:p>
        </w:tc>
        <w:tc>
          <w:tcPr>
            <w:tcW w:w="2000" w:type="dxa"/>
            <w:tcBorders/>
            <w:vAlign w:val="center"/>
          </w:tcPr>
          <w:p>
            <w:pPr>
              <w:pStyle w:val="TableContents"/>
              <w:bidi w:val="0"/>
              <w:spacing w:before="0" w:after="283"/>
              <w:jc w:val="both"/>
              <w:rPr/>
            </w:pPr>
            <w:r>
              <w:rPr/>
              <w:t>NON-RECOURSE.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that may be expressed or implied in this Agreement or any document or instrument delivered in connection herewith, by their acceptance of the benefits of the Agreement, the Parties covenant, agree and acknowledge that no Person other than the Parties (and their successors and permitted assigns) has any rights, remedies, benefits, Liabilities, obligations or commitments (whether known or unknown or whether contingent or otherwise) hereunder, and no personal liability shall attach to the former, current or future equityholders, controlling persons, directors, officers, employees, agents, Affiliates, members, managers or general or limited partners of any of the Parties or any former, current or future stockholder, controlling person, director, officer, employee, general or limited partner, member, manager, Affiliate, financing sources or Representatives of any of the foregoing or their successors or assigns other than the Parties (each, other than the Parties and the Affiliates of the Investor that are party to the Commitment Letter and Limited Guaranty, a “</w:t>
      </w:r>
      <w:r>
        <w:rPr>
          <w:rFonts w:ascii="Times New Roman;Times;Serif" w:hAnsi="Times New Roman;Times;Serif"/>
          <w:b/>
          <w:i w:val="false"/>
          <w:caps w:val="false"/>
          <w:smallCaps w:val="false"/>
          <w:sz w:val="20"/>
          <w:u w:val="single"/>
        </w:rPr>
        <w:t>Non-Recourse Party</w:t>
      </w:r>
      <w:r>
        <w:rPr>
          <w:rFonts w:ascii="Times New Roman;Times;Serif" w:hAnsi="Times New Roman;Times;Serif"/>
          <w:b w:val="false"/>
          <w:i w:val="false"/>
          <w:caps w:val="false"/>
          <w:smallCaps w:val="false"/>
          <w:sz w:val="20"/>
        </w:rPr>
        <w:t>”), whether by or through attempted piercing of the corporate veil, by or through a claim by or on behalf of a Party against any Non-Recourse Party, by the enforcement of any assessment or by any legal or equitable proceeding, by virtue of any statute, regulation or applicable law, or otherwise, other than (a) such Party’s rights and claims under this Agreement against the Parties and their respective actual assignees and (b) any Person’s rights and claims under any other agreement entered into in connection with the Transaction against the other parties thereto (including, without limitation, the rights of Holdings against the Affiliates of the Investor that are party to the Commitment Letter); and the Parties hereby further agree that this Agreement may only be enforced against, and any action, cause of action, claim, demand or other similar action or proceeding that may be based upon, arise out of or relate to this Agreement, or the negotiation, execution or performance of this Agreement may only be made against (and the Parties agree not to bring any such Proceeding or Claim against any Person other than), the Persons expressly named as Parties.</w:t>
      </w:r>
    </w:p>
    <w:p>
      <w:pPr>
        <w:pStyle w:val="TextBody"/>
        <w:bidi w:val="0"/>
        <w:spacing w:before="0" w:after="0"/>
        <w:ind w:left="720" w:right="0" w:hanging="720"/>
        <w:jc w:val="both"/>
        <w:rPr>
          <w:caps/>
        </w:rPr>
      </w:pPr>
      <w:r>
        <w:rPr>
          <w:caps/>
        </w:rPr>
        <w:t> </w:t>
      </w:r>
    </w:p>
    <w:tbl>
      <w:tblPr>
        <w:tblW w:w="2005" w:type="dxa"/>
        <w:jc w:val="left"/>
        <w:tblInd w:w="0" w:type="dxa"/>
        <w:tblLayout w:type="fixed"/>
        <w:tblCellMar>
          <w:top w:w="0" w:type="dxa"/>
          <w:left w:w="0" w:type="dxa"/>
          <w:bottom w:w="0" w:type="dxa"/>
          <w:right w:w="0" w:type="dxa"/>
        </w:tblCellMar>
      </w:tblPr>
      <w:tblGrid>
        <w:gridCol w:w="335"/>
        <w:gridCol w:w="1670"/>
      </w:tblGrid>
      <w:tr>
        <w:trPr/>
        <w:tc>
          <w:tcPr>
            <w:tcW w:w="335" w:type="dxa"/>
            <w:tcBorders/>
            <w:vAlign w:val="center"/>
          </w:tcPr>
          <w:p>
            <w:pPr>
              <w:pStyle w:val="TableContents"/>
              <w:bidi w:val="0"/>
              <w:spacing w:before="0" w:after="283"/>
              <w:jc w:val="left"/>
              <w:rPr/>
            </w:pPr>
            <w:r>
              <w:rPr/>
              <w:t>13.</w:t>
            </w:r>
          </w:p>
        </w:tc>
        <w:tc>
          <w:tcPr>
            <w:tcW w:w="1670" w:type="dxa"/>
            <w:tcBorders/>
            <w:vAlign w:val="center"/>
          </w:tcPr>
          <w:p>
            <w:pPr>
              <w:pStyle w:val="TableContents"/>
              <w:bidi w:val="0"/>
              <w:spacing w:before="0" w:after="283"/>
              <w:jc w:val="both"/>
              <w:rPr/>
            </w:pPr>
            <w:r>
              <w:rPr/>
              <w:t>ASSIGNMENT.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Party may assign this Agreement or any of such Party’s rights or obligations hereunder, in whole or in part, by operation of law or otherwise, without the prior written consent of the Investor (if such Party is the Controlling Investor, Holdings, Parent or Merger Sub) or the Controlling Investor (if such Party is the Investor),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Investor shall have the right to assign this Agreement and its respective rights and obligations hereunder (without the consent of any person or entity) to one or more investment funds, alternative investment vehicles, accounts or special purpose vehicles managed exclusively by Searchlight Capital Partners, LP;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such assignment shall release the Investor of its obligations hereunder until the actual purchase and sale of the Holdings Preferred Interests on the Closing Date by the relevant assignee or transferee.</w:t>
      </w:r>
    </w:p>
    <w:p>
      <w:pPr>
        <w:pStyle w:val="TextBody"/>
        <w:bidi w:val="0"/>
        <w:spacing w:before="0" w:after="0"/>
        <w:ind w:left="720" w:right="0" w:hanging="720"/>
        <w:jc w:val="both"/>
        <w:rPr>
          <w:caps/>
        </w:rPr>
      </w:pPr>
      <w:r>
        <w:rPr>
          <w:caps/>
        </w:rPr>
        <w:t> </w:t>
      </w:r>
    </w:p>
    <w:tbl>
      <w:tblPr>
        <w:tblW w:w="3385" w:type="dxa"/>
        <w:jc w:val="left"/>
        <w:tblInd w:w="0" w:type="dxa"/>
        <w:tblLayout w:type="fixed"/>
        <w:tblCellMar>
          <w:top w:w="0" w:type="dxa"/>
          <w:left w:w="0" w:type="dxa"/>
          <w:bottom w:w="0" w:type="dxa"/>
          <w:right w:w="0" w:type="dxa"/>
        </w:tblCellMar>
      </w:tblPr>
      <w:tblGrid>
        <w:gridCol w:w="335"/>
        <w:gridCol w:w="3050"/>
      </w:tblGrid>
      <w:tr>
        <w:trPr/>
        <w:tc>
          <w:tcPr>
            <w:tcW w:w="335" w:type="dxa"/>
            <w:tcBorders/>
            <w:vAlign w:val="center"/>
          </w:tcPr>
          <w:p>
            <w:pPr>
              <w:pStyle w:val="TableContents"/>
              <w:bidi w:val="0"/>
              <w:spacing w:before="0" w:after="283"/>
              <w:jc w:val="left"/>
              <w:rPr/>
            </w:pPr>
            <w:r>
              <w:rPr/>
              <w:t>14.</w:t>
            </w:r>
          </w:p>
        </w:tc>
        <w:tc>
          <w:tcPr>
            <w:tcW w:w="3050" w:type="dxa"/>
            <w:tcBorders/>
            <w:vAlign w:val="center"/>
          </w:tcPr>
          <w:p>
            <w:pPr>
              <w:pStyle w:val="TableContents"/>
              <w:bidi w:val="0"/>
              <w:spacing w:before="0" w:after="283"/>
              <w:jc w:val="both"/>
              <w:rPr/>
            </w:pPr>
            <w:r>
              <w:rPr/>
              <w:t>AMENDMENTS; WAIVERS.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contemplated in this Agreement, no amendment, modification or discharge of this Agreement shall be valid or binding unless agreed in writing by the Investor and the Controlling Investor, and making specific reference to this Agreement. Except as otherwise expressly contemplated in this Agreement, any waiver hereunder shall only be valid if set forth in writing by the Party against whom enforcement of such waiver is sought, and making specific reference to this Agreement. Any such waiver shall constitute a waiver only with respect to the specific matter described in such writing and shall in no way impair the rights of the Party granting such waiver in any other respect or at any other time. Neither the waiver by any of the Parties of a breach of or a default under any of the provisions of this Agreement, nor the failure by any of the Parties, on one or more occasions, to enforce any of the provisions of this Agreement or to exercise any right or privilege hereunder, shall be construed as a waiver of any other breach or default of a similar nature, or as a waiver of any of such provisions, rights or privileges hereunder. The rights and remedies herein provided are cumulative and none is exclusive of any other, or of any rights or remedies that any Party may otherwise have at law or in equity.</w:t>
      </w:r>
    </w:p>
    <w:p>
      <w:pPr>
        <w:pStyle w:val="TextBody"/>
        <w:bidi w:val="0"/>
        <w:spacing w:before="0" w:after="0"/>
        <w:ind w:left="720" w:right="0" w:hanging="720"/>
        <w:jc w:val="both"/>
        <w:rPr>
          <w:caps/>
        </w:rPr>
      </w:pPr>
      <w:r>
        <w:rPr>
          <w:caps/>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hanging="720"/>
        <w:jc w:val="both"/>
        <w:rPr>
          <w:caps/>
        </w:rPr>
      </w:pPr>
      <w:r>
        <w:rPr>
          <w:caps/>
        </w:rPr>
        <w:t> </w:t>
      </w:r>
    </w:p>
    <w:tbl>
      <w:tblPr>
        <w:tblW w:w="2185" w:type="dxa"/>
        <w:jc w:val="left"/>
        <w:tblInd w:w="0" w:type="dxa"/>
        <w:tblLayout w:type="fixed"/>
        <w:tblCellMar>
          <w:top w:w="0" w:type="dxa"/>
          <w:left w:w="0" w:type="dxa"/>
          <w:bottom w:w="0" w:type="dxa"/>
          <w:right w:w="0" w:type="dxa"/>
        </w:tblCellMar>
      </w:tblPr>
      <w:tblGrid>
        <w:gridCol w:w="335"/>
        <w:gridCol w:w="1850"/>
      </w:tblGrid>
      <w:tr>
        <w:trPr/>
        <w:tc>
          <w:tcPr>
            <w:tcW w:w="335" w:type="dxa"/>
            <w:tcBorders/>
            <w:vAlign w:val="center"/>
          </w:tcPr>
          <w:p>
            <w:pPr>
              <w:pStyle w:val="TableContents"/>
              <w:bidi w:val="0"/>
              <w:spacing w:before="0" w:after="283"/>
              <w:jc w:val="left"/>
              <w:rPr/>
            </w:pPr>
            <w:r>
              <w:rPr/>
              <w:t>15.</w:t>
            </w:r>
          </w:p>
        </w:tc>
        <w:tc>
          <w:tcPr>
            <w:tcW w:w="1850" w:type="dxa"/>
            <w:tcBorders/>
            <w:vAlign w:val="center"/>
          </w:tcPr>
          <w:p>
            <w:pPr>
              <w:pStyle w:val="TableContents"/>
              <w:bidi w:val="0"/>
              <w:spacing w:before="0" w:after="283"/>
              <w:jc w:val="both"/>
              <w:rPr/>
            </w:pPr>
            <w:r>
              <w:rPr/>
              <w:t>SEVERABILITY.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term or other provision of this Agreement is finally determined by a court of competent jurisdiction to be invalid, illegal or incapable of being enforced by any applicable rule or Law, or public policy, all other conditions and provisions of this Agreement shall nevertheless remain in full force and effect so long as the economic or legal substance of the transactions contemplated hereby is not affected in any manner materially adverse to any Party or such Party waives such Party’s rights under this </w:t>
      </w:r>
      <w:r>
        <w:rPr>
          <w:rFonts w:ascii="Times New Roman;Times;Serif" w:hAnsi="Times New Roman;Times;Serif"/>
          <w:b w:val="false"/>
          <w:i w:val="false"/>
          <w:caps w:val="false"/>
          <w:smallCaps w:val="false"/>
          <w:sz w:val="20"/>
          <w:u w:val="single"/>
        </w:rPr>
        <w:t>Section 15</w:t>
      </w:r>
      <w:r>
        <w:rPr>
          <w:rFonts w:ascii="Times New Roman;Times;Serif" w:hAnsi="Times New Roman;Times;Serif"/>
          <w:b w:val="false"/>
          <w:i w:val="false"/>
          <w:caps w:val="false"/>
          <w:smallCaps w:val="false"/>
          <w:sz w:val="20"/>
        </w:rPr>
        <w:t xml:space="preserve"> with respect thereto. Upon any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transactions contemplated by this Agreement are fulfilled to the extent possible.</w:t>
      </w:r>
    </w:p>
    <w:p>
      <w:pPr>
        <w:pStyle w:val="TextBody"/>
        <w:bidi w:val="0"/>
        <w:spacing w:before="0" w:after="0"/>
        <w:ind w:left="720" w:right="0" w:hanging="720"/>
        <w:jc w:val="both"/>
        <w:rPr>
          <w:caps/>
        </w:rPr>
      </w:pPr>
      <w:r>
        <w:rPr>
          <w:caps/>
        </w:rPr>
        <w:t> </w:t>
      </w:r>
    </w:p>
    <w:tbl>
      <w:tblPr>
        <w:tblW w:w="2515" w:type="dxa"/>
        <w:jc w:val="left"/>
        <w:tblInd w:w="0" w:type="dxa"/>
        <w:tblLayout w:type="fixed"/>
        <w:tblCellMar>
          <w:top w:w="0" w:type="dxa"/>
          <w:left w:w="0" w:type="dxa"/>
          <w:bottom w:w="0" w:type="dxa"/>
          <w:right w:w="0" w:type="dxa"/>
        </w:tblCellMar>
      </w:tblPr>
      <w:tblGrid>
        <w:gridCol w:w="335"/>
        <w:gridCol w:w="2180"/>
      </w:tblGrid>
      <w:tr>
        <w:trPr/>
        <w:tc>
          <w:tcPr>
            <w:tcW w:w="335" w:type="dxa"/>
            <w:tcBorders/>
            <w:vAlign w:val="center"/>
          </w:tcPr>
          <w:p>
            <w:pPr>
              <w:pStyle w:val="TableContents"/>
              <w:bidi w:val="0"/>
              <w:spacing w:before="0" w:after="283"/>
              <w:jc w:val="left"/>
              <w:rPr/>
            </w:pPr>
            <w:r>
              <w:rPr/>
              <w:t>16.</w:t>
            </w:r>
          </w:p>
        </w:tc>
        <w:tc>
          <w:tcPr>
            <w:tcW w:w="2180" w:type="dxa"/>
            <w:tcBorders/>
            <w:vAlign w:val="center"/>
          </w:tcPr>
          <w:p>
            <w:pPr>
              <w:pStyle w:val="TableContents"/>
              <w:bidi w:val="0"/>
              <w:spacing w:before="0" w:after="283"/>
              <w:jc w:val="both"/>
              <w:rPr/>
            </w:pPr>
            <w:r>
              <w:rPr/>
              <w:t>GOVERNING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all Claims, Proceedings or other causes of action of the Parties (whether in contract or in tort or otherwise, or whether at law, including at common law or by statute, or in equity) that may be based on, arise out of or relate to this Agreement or the negotiation, execution, performance or subject matter hereof, including matters of validity, construction, effect, performance and remedies, shall be governed by and construed in accordance with the Laws of the State of Delaware, without regard to principles of conflict of laws.</w:t>
      </w:r>
    </w:p>
    <w:p>
      <w:pPr>
        <w:pStyle w:val="TextBody"/>
        <w:bidi w:val="0"/>
        <w:spacing w:before="0" w:after="0"/>
        <w:ind w:left="720" w:right="0" w:hanging="720"/>
        <w:jc w:val="both"/>
        <w:rPr>
          <w:caps/>
        </w:rPr>
      </w:pPr>
      <w:r>
        <w:rPr>
          <w:caps/>
        </w:rPr>
        <w:t> </w:t>
      </w:r>
    </w:p>
    <w:tbl>
      <w:tblPr>
        <w:tblW w:w="3040" w:type="dxa"/>
        <w:jc w:val="left"/>
        <w:tblInd w:w="0" w:type="dxa"/>
        <w:tblLayout w:type="fixed"/>
        <w:tblCellMar>
          <w:top w:w="0" w:type="dxa"/>
          <w:left w:w="0" w:type="dxa"/>
          <w:bottom w:w="0" w:type="dxa"/>
          <w:right w:w="0" w:type="dxa"/>
        </w:tblCellMar>
      </w:tblPr>
      <w:tblGrid>
        <w:gridCol w:w="335"/>
        <w:gridCol w:w="2705"/>
      </w:tblGrid>
      <w:tr>
        <w:trPr/>
        <w:tc>
          <w:tcPr>
            <w:tcW w:w="335" w:type="dxa"/>
            <w:tcBorders/>
            <w:vAlign w:val="center"/>
          </w:tcPr>
          <w:p>
            <w:pPr>
              <w:pStyle w:val="TableContents"/>
              <w:bidi w:val="0"/>
              <w:spacing w:before="0" w:after="283"/>
              <w:jc w:val="left"/>
              <w:rPr/>
            </w:pPr>
            <w:r>
              <w:rPr/>
              <w:t>17.</w:t>
            </w:r>
          </w:p>
        </w:tc>
        <w:tc>
          <w:tcPr>
            <w:tcW w:w="2705" w:type="dxa"/>
            <w:tcBorders/>
            <w:vAlign w:val="center"/>
          </w:tcPr>
          <w:p>
            <w:pPr>
              <w:pStyle w:val="TableContents"/>
              <w:bidi w:val="0"/>
              <w:spacing w:before="0" w:after="283"/>
              <w:jc w:val="both"/>
              <w:rPr/>
            </w:pPr>
            <w:r>
              <w:rPr/>
              <w:t>JURISDICTION; VENUE.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Claims, Proceedings or other causes of action (whether in contract or in tort or otherwise, or whether at law, including at common law or by statute, or in equity) that may be based on, arise out of or relate to this Agreement or the negotiation, execution, performance or subject matter hereof, including matters of validity, construction, effect, performance and remedies shall be raised to and exclusively determined by the state or federal court sitting in New Castle County in the State of Delaware (or any appellate court therefrom) to whose jurisdiction and venue the Parties unconditionally consent and submit. Each Party hereby irrevocably and unconditionally waives any objection to the laying of venue of any Claim or Proceeding arising out of this Agreement in such court and hereby further irrevocably and unconditionally waives and agrees not to plead or claim in any such court that any such Claim or Proceeding brought in any such court has been brought in an inconvenient forum. Each Party further agrees that service of any process, summons, notice or document by U.S. registered mail to the respective addresses set forth in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xml:space="preserve"> hereto shall be effective service of process for any Claim or Proceeding brought against such Party in any such court.</w:t>
      </w:r>
    </w:p>
    <w:p>
      <w:pPr>
        <w:pStyle w:val="TextBody"/>
        <w:bidi w:val="0"/>
        <w:spacing w:before="0" w:after="0"/>
        <w:ind w:left="720" w:right="0" w:hanging="720"/>
        <w:jc w:val="both"/>
        <w:rPr>
          <w:caps/>
        </w:rPr>
      </w:pPr>
      <w:r>
        <w:rPr>
          <w:caps/>
        </w:rPr>
        <w:t> </w:t>
      </w:r>
    </w:p>
    <w:tbl>
      <w:tblPr>
        <w:tblW w:w="3235" w:type="dxa"/>
        <w:jc w:val="left"/>
        <w:tblInd w:w="0" w:type="dxa"/>
        <w:tblLayout w:type="fixed"/>
        <w:tblCellMar>
          <w:top w:w="0" w:type="dxa"/>
          <w:left w:w="0" w:type="dxa"/>
          <w:bottom w:w="0" w:type="dxa"/>
          <w:right w:w="0" w:type="dxa"/>
        </w:tblCellMar>
      </w:tblPr>
      <w:tblGrid>
        <w:gridCol w:w="335"/>
        <w:gridCol w:w="2900"/>
      </w:tblGrid>
      <w:tr>
        <w:trPr/>
        <w:tc>
          <w:tcPr>
            <w:tcW w:w="335" w:type="dxa"/>
            <w:tcBorders/>
            <w:vAlign w:val="center"/>
          </w:tcPr>
          <w:p>
            <w:pPr>
              <w:pStyle w:val="TableContents"/>
              <w:bidi w:val="0"/>
              <w:spacing w:before="0" w:after="283"/>
              <w:jc w:val="left"/>
              <w:rPr/>
            </w:pPr>
            <w:r>
              <w:rPr/>
              <w:t>18.</w:t>
            </w:r>
          </w:p>
        </w:tc>
        <w:tc>
          <w:tcPr>
            <w:tcW w:w="2900" w:type="dxa"/>
            <w:tcBorders/>
            <w:vAlign w:val="center"/>
          </w:tcPr>
          <w:p>
            <w:pPr>
              <w:pStyle w:val="TableContents"/>
              <w:bidi w:val="0"/>
              <w:spacing w:before="0" w:after="283"/>
              <w:jc w:val="both"/>
              <w:rPr/>
            </w:pPr>
            <w:r>
              <w:rPr/>
              <w:t>WAIVER OF JURY TRIAL.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PARTY HEREBY WAIVES, TO THE FULLEST EXTENT PERMITTED BY APPLICABLE LAW, ANY RIGHT SUCH PARTY MAY HAVE TO A TRIAL BY JURY IN RESPECT OF ANY SUIT, ACTION OR OTHER PROCEEDING ARISING OUT OF OR RELATING TO THIS AGREEMENT OR THE TRANSACTIONS CONTEMPLATED HEREBY. EACH PARTY (A) CERTIFIES THAT NO REPRESENTATIVE, AGENT OR ATTORNEY OF ANY OTHER PARTY HAS REPRESENTED, EXPRESSLY OR OTHERWISE, THAT SUCH PARTY WOULD NOT, IN THE EVENT OF ANY ACTION, SUIT OR PROCEEDING, SEEK TO ENFORCE THE FOREGOING WAIVER AND (B) ACKNOWLEDGES THAT SUCH PARTY AND THE OTHER PARTIES HAVE BEEN INDUCED TO ENTER INTO THIS AGREEMENT BY, AMONG OTHER THINGS, THE MUTUAL WAIVER AND CERTIFICATIONS IN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w:t>
      </w:r>
    </w:p>
    <w:p>
      <w:pPr>
        <w:pStyle w:val="TextBody"/>
        <w:bidi w:val="0"/>
        <w:spacing w:before="0" w:after="0"/>
        <w:ind w:left="720" w:right="0" w:hanging="720"/>
        <w:jc w:val="both"/>
        <w:rPr>
          <w:caps/>
        </w:rPr>
      </w:pPr>
      <w:r>
        <w:rPr>
          <w:caps/>
        </w:rPr>
        <w:t> </w:t>
      </w:r>
    </w:p>
    <w:p>
      <w:pPr>
        <w:pStyle w:val="TextBody"/>
        <w:bidi w:val="0"/>
        <w:spacing w:before="0" w:after="0"/>
        <w:ind w:left="720" w:right="0" w:hanging="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720" w:right="0" w:hanging="720"/>
        <w:jc w:val="both"/>
        <w:rPr>
          <w:caps/>
        </w:rPr>
      </w:pPr>
      <w:r>
        <w:rPr>
          <w:caps/>
        </w:rPr>
        <w:t> </w:t>
      </w:r>
    </w:p>
    <w:tbl>
      <w:tblPr>
        <w:tblW w:w="2365" w:type="dxa"/>
        <w:jc w:val="left"/>
        <w:tblInd w:w="0" w:type="dxa"/>
        <w:tblLayout w:type="fixed"/>
        <w:tblCellMar>
          <w:top w:w="0" w:type="dxa"/>
          <w:left w:w="0" w:type="dxa"/>
          <w:bottom w:w="0" w:type="dxa"/>
          <w:right w:w="0" w:type="dxa"/>
        </w:tblCellMar>
      </w:tblPr>
      <w:tblGrid>
        <w:gridCol w:w="335"/>
        <w:gridCol w:w="2030"/>
      </w:tblGrid>
      <w:tr>
        <w:trPr/>
        <w:tc>
          <w:tcPr>
            <w:tcW w:w="335" w:type="dxa"/>
            <w:tcBorders/>
            <w:vAlign w:val="center"/>
          </w:tcPr>
          <w:p>
            <w:pPr>
              <w:pStyle w:val="TableContents"/>
              <w:bidi w:val="0"/>
              <w:spacing w:before="0" w:after="283"/>
              <w:jc w:val="left"/>
              <w:rPr/>
            </w:pPr>
            <w:r>
              <w:rPr/>
              <w:t>19.</w:t>
            </w:r>
          </w:p>
        </w:tc>
        <w:tc>
          <w:tcPr>
            <w:tcW w:w="2030" w:type="dxa"/>
            <w:tcBorders/>
            <w:vAlign w:val="center"/>
          </w:tcPr>
          <w:p>
            <w:pPr>
              <w:pStyle w:val="TableContents"/>
              <w:bidi w:val="0"/>
              <w:spacing w:before="0" w:after="283"/>
              <w:jc w:val="both"/>
              <w:rPr/>
            </w:pPr>
            <w:r>
              <w:rPr/>
              <w:t>COUNTERPARTS.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may be executed in one or more counterparts (including by means of email in “.pdf” format), all of which shall be considered one and the same agreement, and shall become effective when one or more counterparts have been signed by each of the Parties and delivered to the other Parties. This Agreement shall not be denied legal effect merely because the signatures thereto were delivered by electronic transmission and each Party agrees not to contest the validity or enforceability of this Agreement merely because it is made electronically.</w:t>
      </w:r>
    </w:p>
    <w:p>
      <w:pPr>
        <w:pStyle w:val="TextBody"/>
        <w:bidi w:val="0"/>
        <w:spacing w:before="0" w:after="0"/>
        <w:ind w:left="720" w:right="0" w:hanging="720"/>
        <w:jc w:val="both"/>
        <w:rPr>
          <w:caps/>
        </w:rPr>
      </w:pPr>
      <w:r>
        <w:rPr>
          <w:caps/>
        </w:rPr>
        <w:t> </w:t>
      </w:r>
    </w:p>
    <w:tbl>
      <w:tblPr>
        <w:tblW w:w="2875" w:type="dxa"/>
        <w:jc w:val="left"/>
        <w:tblInd w:w="0" w:type="dxa"/>
        <w:tblLayout w:type="fixed"/>
        <w:tblCellMar>
          <w:top w:w="0" w:type="dxa"/>
          <w:left w:w="0" w:type="dxa"/>
          <w:bottom w:w="0" w:type="dxa"/>
          <w:right w:w="0" w:type="dxa"/>
        </w:tblCellMar>
      </w:tblPr>
      <w:tblGrid>
        <w:gridCol w:w="335"/>
        <w:gridCol w:w="2540"/>
      </w:tblGrid>
      <w:tr>
        <w:trPr/>
        <w:tc>
          <w:tcPr>
            <w:tcW w:w="335" w:type="dxa"/>
            <w:tcBorders/>
            <w:vAlign w:val="center"/>
          </w:tcPr>
          <w:p>
            <w:pPr>
              <w:pStyle w:val="TableContents"/>
              <w:bidi w:val="0"/>
              <w:spacing w:before="0" w:after="283"/>
              <w:jc w:val="left"/>
              <w:rPr/>
            </w:pPr>
            <w:r>
              <w:rPr/>
              <w:t>20.</w:t>
            </w:r>
          </w:p>
        </w:tc>
        <w:tc>
          <w:tcPr>
            <w:tcW w:w="2540" w:type="dxa"/>
            <w:tcBorders/>
            <w:vAlign w:val="center"/>
          </w:tcPr>
          <w:p>
            <w:pPr>
              <w:pStyle w:val="TableContents"/>
              <w:bidi w:val="0"/>
              <w:spacing w:before="0" w:after="283"/>
              <w:jc w:val="both"/>
              <w:rPr/>
            </w:pPr>
            <w:r>
              <w:rPr/>
              <w:t>ENTIRE AGREEMENT.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Agreement, the Merger Agreement, the Commitment Letter, Limited Guaranty and other Transaction Documents (and all exhibits, annexes and schedules hereto and thereto, and the agreements and instruments referenced herein and therein) collectively constitute and contain the entire agreement and understanding of the Parties with respect to the subject matter hereof and thereof and supersede all prior negotiations, correspondence, understandings, agreements and contracts, whether written or oral, among the Parties respecting the subject matter hereof and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anything to the contrary, any letter agreement (including any non-disclosure agreement, confidentiality agreement or other letter agreement relating to “Evaluation Material,” “Confidential Information” or other confidentiality or similar undertakings) entered into between or among any of the Parties or their respective Affiliates concerning the Company or the Transaction (“</w:t>
      </w:r>
      <w:r>
        <w:rPr>
          <w:rFonts w:ascii="Times New Roman;Times;Serif" w:hAnsi="Times New Roman;Times;Serif"/>
          <w:b/>
          <w:i w:val="false"/>
          <w:caps w:val="false"/>
          <w:smallCaps w:val="false"/>
          <w:sz w:val="20"/>
          <w:u w:val="single"/>
        </w:rPr>
        <w:t>Confidentiality Agreements</w:t>
      </w:r>
      <w:r>
        <w:rPr>
          <w:rFonts w:ascii="Times New Roman;Times;Serif" w:hAnsi="Times New Roman;Times;Serif"/>
          <w:b w:val="false"/>
          <w:i w:val="false"/>
          <w:caps w:val="false"/>
          <w:smallCaps w:val="false"/>
          <w:sz w:val="20"/>
        </w:rPr>
        <w:t>”) shall survive the execution or termination of this Agreement and continue to apply in accordance with its terms (except to the extent such terms otherwise contemplate or provide for termination upon execution of this Agreement or are terminated or superseded by any other Transaction Documents), it being understood and agreed that the Parties intend any such Confidentiality Agreement to survive execution of this Agreement.</w:t>
      </w:r>
    </w:p>
    <w:p>
      <w:pPr>
        <w:pStyle w:val="TextBody"/>
        <w:bidi w:val="0"/>
        <w:spacing w:before="0" w:after="0"/>
        <w:ind w:left="720" w:right="0" w:hanging="720"/>
        <w:jc w:val="both"/>
        <w:rPr>
          <w:caps/>
        </w:rPr>
      </w:pPr>
      <w:r>
        <w:rPr>
          <w:caps/>
        </w:rPr>
        <w:t> </w:t>
      </w:r>
    </w:p>
    <w:tbl>
      <w:tblPr>
        <w:tblW w:w="3550" w:type="dxa"/>
        <w:jc w:val="left"/>
        <w:tblInd w:w="0" w:type="dxa"/>
        <w:tblLayout w:type="fixed"/>
        <w:tblCellMar>
          <w:top w:w="0" w:type="dxa"/>
          <w:left w:w="0" w:type="dxa"/>
          <w:bottom w:w="0" w:type="dxa"/>
          <w:right w:w="0" w:type="dxa"/>
        </w:tblCellMar>
      </w:tblPr>
      <w:tblGrid>
        <w:gridCol w:w="335"/>
        <w:gridCol w:w="3215"/>
      </w:tblGrid>
      <w:tr>
        <w:trPr/>
        <w:tc>
          <w:tcPr>
            <w:tcW w:w="335" w:type="dxa"/>
            <w:tcBorders/>
            <w:vAlign w:val="center"/>
          </w:tcPr>
          <w:p>
            <w:pPr>
              <w:pStyle w:val="TableContents"/>
              <w:bidi w:val="0"/>
              <w:spacing w:before="0" w:after="283"/>
              <w:jc w:val="left"/>
              <w:rPr/>
            </w:pPr>
            <w:r>
              <w:rPr/>
              <w:t>21.</w:t>
            </w:r>
          </w:p>
        </w:tc>
        <w:tc>
          <w:tcPr>
            <w:tcW w:w="3215" w:type="dxa"/>
            <w:tcBorders/>
            <w:vAlign w:val="center"/>
          </w:tcPr>
          <w:p>
            <w:pPr>
              <w:pStyle w:val="TableContents"/>
              <w:bidi w:val="0"/>
              <w:spacing w:before="0" w:after="283"/>
              <w:jc w:val="both"/>
              <w:rPr/>
            </w:pPr>
            <w:r>
              <w:rPr/>
              <w:t>RULES OF CONSTRUCTION.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following rules of construction will govern the interpretation of this Agreement: (i) notwithstanding anything to the contrary herein or in the Merger Agreement, for purposes of this Agreement neither the Company, Holdings, Parent and Merger Sub (or any of their respective Subsidiaries) shall be considered Affiliates of the Investor, and vice versa; (ii) references to the terms “Section,” “subsection,” “subclause,” “clause,” “Schedule”, “Annex” and “Exhibit” are references to the Sections, subsections, subclauses, clauses, Schedules, Annexes and Exhibits to this Agreement (as may be amended from time to time in accordance herewith) unless otherwise specified, and the table of contents and headings contained in this Agreement or in any Schedule, Annex or Exhibit are for reference purposes only and shall not affect in any way the meaning or interpretation of this Agreement; (iii) the words “incur” or “accrued” mean that activities or omissions that result in an expense or other Liability have taken place, whether or not such expense or Liability has been invoiced, noticed, billed or otherwise become due; (iv) references to “written” or “in writing” include in electronic form; and (v) references to “the approval of” a Party, “agreed to by” a Party, any action by a Party or any action requiring the approval or consent of a Party means the action, approval or agreement, as applicable, of such Party. The provisions of Sections 1.2(a) – (j) and (p) – (r) of the Merger Agreement are hereby incorporated herein </w:t>
      </w:r>
      <w:r>
        <w:rPr>
          <w:rFonts w:ascii="Times New Roman;Times;Serif" w:hAnsi="Times New Roman;Times;Serif"/>
          <w:b w:val="false"/>
          <w:i/>
          <w:caps w:val="false"/>
          <w:smallCaps w:val="false"/>
          <w:sz w:val="20"/>
        </w:rPr>
        <w:t xml:space="preserve">mutatis mutandis </w:t>
      </w:r>
      <w:r>
        <w:rPr>
          <w:rFonts w:ascii="Times New Roman;Times;Serif" w:hAnsi="Times New Roman;Times;Serif"/>
          <w:b w:val="false"/>
          <w:i w:val="false"/>
          <w:caps w:val="false"/>
          <w:smallCaps w:val="false"/>
          <w:sz w:val="20"/>
        </w:rPr>
        <w:t>by this reference as though fully set forth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left blank; 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HEREOF</w:t>
      </w:r>
      <w:r>
        <w:rPr>
          <w:rFonts w:ascii="Times New Roman;Times;Serif" w:hAnsi="Times New Roman;Times;Serif"/>
          <w:b w:val="false"/>
          <w:i w:val="false"/>
          <w:caps w:val="false"/>
          <w:smallCaps w:val="false"/>
          <w:sz w:val="20"/>
        </w:rPr>
        <w:t>, the Parties have duly executed this Agreement (or caused this Agreement to be executed on such Party’s behalf by such Party’s duly authorized officer or other Representative, as applicable) as of the date first above written.</w:t>
      </w:r>
    </w:p>
    <w:p>
      <w:pPr>
        <w:pStyle w:val="TextBody"/>
        <w:bidi w:val="0"/>
        <w:spacing w:before="0" w:after="0"/>
        <w:ind w:left="4320" w:right="0" w:hanging="0"/>
        <w:jc w:val="left"/>
        <w:rPr>
          <w:caps w:val="false"/>
          <w:smallCaps w:val="false"/>
        </w:rPr>
      </w:pPr>
      <w:r>
        <w:rPr>
          <w:caps w:val="false"/>
          <w:smallCaps w:val="false"/>
        </w:rPr>
        <w:t> </w:t>
      </w:r>
    </w:p>
    <w:tbl>
      <w:tblPr>
        <w:tblW w:w="2690" w:type="dxa"/>
        <w:jc w:val="left"/>
        <w:tblInd w:w="0" w:type="dxa"/>
        <w:tblLayout w:type="fixed"/>
        <w:tblCellMar>
          <w:top w:w="0" w:type="dxa"/>
          <w:left w:w="0" w:type="dxa"/>
          <w:bottom w:w="0" w:type="dxa"/>
          <w:right w:w="0" w:type="dxa"/>
        </w:tblCellMar>
      </w:tblPr>
      <w:tblGrid>
        <w:gridCol w:w="75"/>
        <w:gridCol w:w="2615"/>
      </w:tblGrid>
      <w:tr>
        <w:trPr/>
        <w:tc>
          <w:tcPr>
            <w:tcW w:w="7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CONTROLLING INVESTOR</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C. Priore</w:t>
            </w:r>
          </w:p>
        </w:tc>
      </w:tr>
      <w:tr>
        <w:trPr/>
        <w:tc>
          <w:tcPr>
            <w:tcW w:w="75"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C. Priore</w:t>
            </w:r>
          </w:p>
        </w:tc>
      </w:tr>
    </w:tbl>
    <w:p>
      <w:pPr>
        <w:pStyle w:val="TextBody"/>
        <w:bidi w:val="0"/>
        <w:spacing w:before="0" w:after="0"/>
        <w:ind w:left="432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75"/>
        <w:gridCol w:w="320"/>
        <w:gridCol w:w="4730"/>
      </w:tblGrid>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HOLDINGS</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WD CAPITAL PARTNERS HOLDINGS LP</w:t>
            </w:r>
          </w:p>
        </w:tc>
      </w:tr>
      <w:tr>
        <w:trPr/>
        <w:tc>
          <w:tcPr>
            <w:tcW w:w="75" w:type="dxa"/>
            <w:tcBorders/>
            <w:vAlign w:val="center"/>
          </w:tcPr>
          <w:p>
            <w:pPr>
              <w:pStyle w:val="TableContents"/>
              <w:bidi w:val="0"/>
              <w:spacing w:before="0" w:after="283"/>
              <w:jc w:val="left"/>
              <w:rPr/>
            </w:pPr>
            <w:r>
              <w:rPr/>
              <w:t> </w:t>
            </w:r>
          </w:p>
        </w:tc>
        <w:tc>
          <w:tcPr>
            <w:tcW w:w="505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WD Capital Partners Holdings GP LLC, its general partner</w:t>
            </w:r>
          </w:p>
        </w:tc>
      </w:tr>
    </w:tbl>
    <w:p>
      <w:pPr>
        <w:pStyle w:val="TextBody"/>
        <w:bidi w:val="0"/>
        <w:spacing w:before="0" w:after="0"/>
        <w:ind w:left="4320" w:right="0" w:hanging="0"/>
        <w:jc w:val="left"/>
        <w:rPr>
          <w:caps w:val="false"/>
          <w:smallCaps w:val="false"/>
        </w:rPr>
      </w:pPr>
      <w:r>
        <w:rPr>
          <w:caps w:val="false"/>
          <w:smallCaps w:val="false"/>
        </w:rPr>
        <w:t> </w:t>
      </w:r>
    </w:p>
    <w:tbl>
      <w:tblPr>
        <w:tblW w:w="2545" w:type="dxa"/>
        <w:jc w:val="left"/>
        <w:tblInd w:w="0" w:type="dxa"/>
        <w:tblLayout w:type="fixed"/>
        <w:tblCellMar>
          <w:top w:w="0" w:type="dxa"/>
          <w:left w:w="0" w:type="dxa"/>
          <w:bottom w:w="0" w:type="dxa"/>
          <w:right w:w="0" w:type="dxa"/>
        </w:tblCellMar>
      </w:tblPr>
      <w:tblGrid>
        <w:gridCol w:w="75"/>
        <w:gridCol w:w="545"/>
        <w:gridCol w:w="1925"/>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2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C. Priore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C. Priore</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Secretary</w:t>
            </w:r>
          </w:p>
        </w:tc>
      </w:tr>
    </w:tbl>
    <w:p>
      <w:pPr>
        <w:pStyle w:val="TextBody"/>
        <w:bidi w:val="0"/>
        <w:spacing w:before="0" w:after="0"/>
        <w:ind w:left="4320" w:right="0" w:hanging="0"/>
        <w:jc w:val="left"/>
        <w:rPr>
          <w:caps w:val="false"/>
          <w:smallCaps w:val="false"/>
        </w:rPr>
      </w:pPr>
      <w:r>
        <w:rPr>
          <w:caps w:val="false"/>
          <w:smallCaps w:val="false"/>
        </w:rPr>
        <w:t> </w:t>
      </w:r>
    </w:p>
    <w:tbl>
      <w:tblPr>
        <w:tblW w:w="3709" w:type="dxa"/>
        <w:jc w:val="left"/>
        <w:tblInd w:w="0" w:type="dxa"/>
        <w:tblLayout w:type="fixed"/>
        <w:tblCellMar>
          <w:top w:w="0" w:type="dxa"/>
          <w:left w:w="0" w:type="dxa"/>
          <w:bottom w:w="0" w:type="dxa"/>
          <w:right w:w="0" w:type="dxa"/>
        </w:tblCellMar>
      </w:tblPr>
      <w:tblGrid>
        <w:gridCol w:w="75"/>
        <w:gridCol w:w="802"/>
        <w:gridCol w:w="2832"/>
      </w:tblGrid>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PARENT</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pPr>
            <w:r>
              <w:rPr/>
              <w:t> </w:t>
            </w:r>
          </w:p>
        </w:tc>
        <w:tc>
          <w:tcPr>
            <w:tcW w:w="28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3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WD CAPITAL PARTNERS PARENT INC.</w:t>
            </w:r>
          </w:p>
        </w:tc>
      </w:tr>
      <w:tr>
        <w:trPr/>
        <w:tc>
          <w:tcPr>
            <w:tcW w:w="75"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pPr>
            <w:r>
              <w:rPr/>
              <w:t> </w:t>
            </w:r>
          </w:p>
        </w:tc>
        <w:tc>
          <w:tcPr>
            <w:tcW w:w="283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32"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C. Priore</w:t>
            </w:r>
          </w:p>
        </w:tc>
      </w:tr>
      <w:tr>
        <w:trPr/>
        <w:tc>
          <w:tcPr>
            <w:tcW w:w="75"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C. Priore</w:t>
            </w:r>
          </w:p>
        </w:tc>
      </w:tr>
      <w:tr>
        <w:trPr/>
        <w:tc>
          <w:tcPr>
            <w:tcW w:w="75"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Secretary</w:t>
            </w:r>
          </w:p>
        </w:tc>
      </w:tr>
    </w:tbl>
    <w:p>
      <w:pPr>
        <w:pStyle w:val="TextBody"/>
        <w:bidi w:val="0"/>
        <w:spacing w:before="0" w:after="0"/>
        <w:ind w:left="4320" w:right="0" w:hanging="0"/>
        <w:jc w:val="left"/>
        <w:rPr>
          <w:caps w:val="false"/>
          <w:smallCaps w:val="false"/>
        </w:rPr>
      </w:pPr>
      <w:r>
        <w:rPr>
          <w:caps w:val="false"/>
          <w:smallCaps w:val="false"/>
        </w:rPr>
        <w:t> </w:t>
      </w:r>
    </w:p>
    <w:tbl>
      <w:tblPr>
        <w:tblW w:w="4204" w:type="dxa"/>
        <w:jc w:val="left"/>
        <w:tblInd w:w="0" w:type="dxa"/>
        <w:tblLayout w:type="fixed"/>
        <w:tblCellMar>
          <w:top w:w="0" w:type="dxa"/>
          <w:left w:w="0" w:type="dxa"/>
          <w:bottom w:w="0" w:type="dxa"/>
          <w:right w:w="0" w:type="dxa"/>
        </w:tblCellMar>
      </w:tblPr>
      <w:tblGrid>
        <w:gridCol w:w="75"/>
        <w:gridCol w:w="911"/>
        <w:gridCol w:w="3218"/>
      </w:tblGrid>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u w:val="single"/>
              </w:rPr>
              <w:t>MERGER SUB</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32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29"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WD CAPITAL PARTNERS MERGER SUB INC.</w:t>
            </w:r>
          </w:p>
        </w:tc>
      </w:tr>
      <w:tr>
        <w:trPr/>
        <w:tc>
          <w:tcPr>
            <w:tcW w:w="75"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pPr>
            <w:r>
              <w:rPr/>
              <w:t> </w:t>
            </w:r>
          </w:p>
        </w:tc>
        <w:tc>
          <w:tcPr>
            <w:tcW w:w="32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18"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C. Priore</w:t>
            </w:r>
          </w:p>
        </w:tc>
      </w:tr>
      <w:tr>
        <w:trPr/>
        <w:tc>
          <w:tcPr>
            <w:tcW w:w="75"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Thomas C. Priore</w:t>
            </w:r>
          </w:p>
        </w:tc>
      </w:tr>
      <w:tr>
        <w:trPr/>
        <w:tc>
          <w:tcPr>
            <w:tcW w:w="75"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1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Secretary</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5680" w:type="dxa"/>
        <w:jc w:val="left"/>
        <w:tblInd w:w="0" w:type="dxa"/>
        <w:tblLayout w:type="fixed"/>
        <w:tblCellMar>
          <w:top w:w="0" w:type="dxa"/>
          <w:left w:w="0" w:type="dxa"/>
          <w:bottom w:w="0" w:type="dxa"/>
          <w:right w:w="0" w:type="dxa"/>
        </w:tblCellMar>
      </w:tblPr>
      <w:tblGrid>
        <w:gridCol w:w="75"/>
        <w:gridCol w:w="320"/>
        <w:gridCol w:w="5285"/>
      </w:tblGrid>
      <w:tr>
        <w:trPr/>
        <w:tc>
          <w:tcPr>
            <w:tcW w:w="75" w:type="dxa"/>
            <w:tcBorders/>
            <w:vAlign w:val="center"/>
          </w:tcPr>
          <w:p>
            <w:pPr>
              <w:pStyle w:val="TableContents"/>
              <w:bidi w:val="0"/>
              <w:spacing w:before="0" w:after="283"/>
              <w:jc w:val="left"/>
              <w:rPr/>
            </w:pPr>
            <w:r>
              <w:rPr/>
              <w:t> </w:t>
            </w:r>
          </w:p>
        </w:tc>
        <w:tc>
          <w:tcPr>
            <w:tcW w:w="560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u w:val="single"/>
              </w:rPr>
              <w:t>INVESTOR</w:t>
            </w:r>
            <w:r>
              <w:rPr>
                <w:rFonts w:ascii="Times New Roman;Times;Serif" w:hAnsi="Times New Roman;Times;Serif"/>
                <w:b/>
                <w:sz w:val="20"/>
              </w:rPr>
              <w:t>:</w:t>
            </w:r>
          </w:p>
        </w:tc>
      </w:tr>
      <w:tr>
        <w:trPr/>
        <w:tc>
          <w:tcPr>
            <w:tcW w:w="75" w:type="dxa"/>
            <w:tcBorders/>
            <w:vAlign w:val="center"/>
          </w:tcPr>
          <w:p>
            <w:pPr>
              <w:pStyle w:val="TableContents"/>
              <w:bidi w:val="0"/>
              <w:spacing w:before="0" w:after="283"/>
              <w:jc w:val="left"/>
              <w:rPr/>
            </w:pPr>
            <w:r>
              <w:rPr/>
              <w:t> </w:t>
            </w:r>
          </w:p>
        </w:tc>
        <w:tc>
          <w:tcPr>
            <w:tcW w:w="560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5605" w:type="dxa"/>
            <w:gridSpan w:val="2"/>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SEARCHLIGHT IV SAT, L.P.</w:t>
            </w:r>
          </w:p>
        </w:tc>
      </w:tr>
      <w:tr>
        <w:trPr/>
        <w:tc>
          <w:tcPr>
            <w:tcW w:w="75" w:type="dxa"/>
            <w:tcBorders/>
            <w:vAlign w:val="center"/>
          </w:tcPr>
          <w:p>
            <w:pPr>
              <w:pStyle w:val="TableContents"/>
              <w:bidi w:val="0"/>
              <w:spacing w:before="0" w:after="283"/>
              <w:jc w:val="left"/>
              <w:rPr/>
            </w:pPr>
            <w:r>
              <w:rPr/>
              <w:t> </w:t>
            </w:r>
          </w:p>
        </w:tc>
        <w:tc>
          <w:tcPr>
            <w:tcW w:w="560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Searchlight Capital Partners IV GP AGG, LLC, its general partner</w:t>
            </w:r>
          </w:p>
        </w:tc>
      </w:tr>
      <w:tr>
        <w:trPr/>
        <w:tc>
          <w:tcPr>
            <w:tcW w:w="75" w:type="dxa"/>
            <w:tcBorders/>
            <w:vAlign w:val="center"/>
          </w:tcPr>
          <w:p>
            <w:pPr>
              <w:pStyle w:val="TableContents"/>
              <w:bidi w:val="0"/>
              <w:spacing w:before="0" w:after="283"/>
              <w:jc w:val="left"/>
              <w:rPr/>
            </w:pPr>
            <w:r>
              <w:rPr/>
              <w:t> </w:t>
            </w:r>
          </w:p>
        </w:tc>
        <w:tc>
          <w:tcPr>
            <w:tcW w:w="5605"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Searchlight Capital Partners IV GP, L.P., its sole member</w:t>
            </w:r>
          </w:p>
        </w:tc>
      </w:tr>
      <w:tr>
        <w:trPr/>
        <w:tc>
          <w:tcPr>
            <w:tcW w:w="75" w:type="dxa"/>
            <w:tcBorders/>
            <w:vAlign w:val="center"/>
          </w:tcPr>
          <w:p>
            <w:pPr>
              <w:pStyle w:val="TableContents"/>
              <w:bidi w:val="0"/>
              <w:spacing w:before="0" w:after="283"/>
              <w:jc w:val="left"/>
              <w:rPr/>
            </w:pPr>
            <w:r>
              <w:rPr/>
              <w:t> </w:t>
            </w:r>
          </w:p>
        </w:tc>
        <w:tc>
          <w:tcPr>
            <w:tcW w:w="560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By:</w:t>
            </w:r>
          </w:p>
        </w:tc>
        <w:tc>
          <w:tcPr>
            <w:tcW w:w="52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Searchlight Capital Partners IV GP, LLC, its general partner</w:t>
            </w:r>
          </w:p>
        </w:tc>
      </w:tr>
    </w:tbl>
    <w:p>
      <w:pPr>
        <w:pStyle w:val="TextBody"/>
        <w:bidi w:val="0"/>
        <w:spacing w:before="0" w:after="0"/>
        <w:ind w:left="4320" w:right="0" w:hanging="0"/>
        <w:jc w:val="left"/>
        <w:rPr>
          <w:caps w:val="false"/>
          <w:smallCaps w:val="false"/>
        </w:rPr>
      </w:pPr>
      <w:r>
        <w:rPr>
          <w:caps w:val="false"/>
          <w:smallCaps w:val="false"/>
        </w:rPr>
        <w:t> </w:t>
      </w:r>
    </w:p>
    <w:tbl>
      <w:tblPr>
        <w:tblW w:w="2505" w:type="dxa"/>
        <w:jc w:val="left"/>
        <w:tblInd w:w="0" w:type="dxa"/>
        <w:tblLayout w:type="fixed"/>
        <w:tblCellMar>
          <w:top w:w="0" w:type="dxa"/>
          <w:left w:w="0" w:type="dxa"/>
          <w:bottom w:w="0" w:type="dxa"/>
          <w:right w:w="0" w:type="dxa"/>
        </w:tblCellMar>
      </w:tblPr>
      <w:tblGrid>
        <w:gridCol w:w="75"/>
        <w:gridCol w:w="320"/>
        <w:gridCol w:w="545"/>
        <w:gridCol w:w="156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1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Andrew Frey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5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Andrew Frey</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565" w:type="dxa"/>
            <w:tcBorders/>
            <w:vAlign w:val="center"/>
          </w:tcPr>
          <w:p>
            <w:pPr>
              <w:pStyle w:val="TableContents"/>
              <w:bidi w:val="0"/>
              <w:spacing w:before="0" w:after="283"/>
              <w:jc w:val="left"/>
              <w:rPr/>
            </w:pPr>
            <w:r>
              <w:rPr>
                <w:rFonts w:ascii="Times New Roman;Times;Serif" w:hAnsi="Times New Roman;Times;Serif"/>
                <w:sz w:val="20"/>
              </w:rPr>
              <w:t>Authorized Pers</w:t>
            </w:r>
            <w:r>
              <w:rPr/>
              <w:t>on</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43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4" w:name="ea030607801ex99-4.htm"/>
      <w:bookmarkStart w:id="25" w:name="ksea030607801ex994"/>
      <w:bookmarkEnd w:id="24"/>
      <w:bookmarkEnd w:id="25"/>
      <w:r>
        <w:rPr>
          <w:rFonts w:ascii="Times New Roman;Times;Serif" w:hAnsi="Times New Roman;Times;Serif"/>
          <w:b/>
          <w:i w:val="false"/>
          <w:caps w:val="false"/>
          <w:smallCaps w:val="false"/>
          <w:sz w:val="20"/>
        </w:rPr>
        <w:t>Exhibit 99.4</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Rule 13d-1(k) promulgated under the Securities Exchange Act of 1934, as amended, each of the persons named below agrees to the joint filing of this Amendment to Schedule 13D, including further amendments thereto, with respect to the shares of Common Stock, par value $0.001 per share, of Priority Technology Holdings, Inc. and further agrees that this Joint Filing Agreement be filed with the Securities and Exchange Commission as an exhibit to such filing; provided, however, that no person shall be responsible for the completeness or accuracy of the information concerning the other persons making the filing unless such person knows or has reason to believe such information is inaccurate (as provided in Rule 13d-1(k)(1)(ii)). This Joint Filing Agreement may be executed in one or more counterparts, all of which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persons named below have executed this Joint Filing Agreement as of the date set forth below.</w:t>
      </w:r>
    </w:p>
    <w:p>
      <w:pPr>
        <w:pStyle w:val="TextBody"/>
        <w:bidi w:val="0"/>
        <w:spacing w:before="0" w:after="0"/>
        <w:ind w:left="0" w:right="0" w:hanging="0"/>
        <w:jc w:val="both"/>
        <w:rPr>
          <w:caps w:val="false"/>
          <w:smallCaps w:val="false"/>
        </w:rPr>
      </w:pPr>
      <w:r>
        <w:rPr>
          <w:caps w:val="false"/>
          <w:smallCaps w:val="false"/>
        </w:rPr>
        <w:t> </w:t>
      </w:r>
    </w:p>
    <w:tbl>
      <w:tblPr>
        <w:tblW w:w="5335" w:type="dxa"/>
        <w:jc w:val="left"/>
        <w:tblInd w:w="0" w:type="dxa"/>
        <w:tblLayout w:type="fixed"/>
        <w:tblCellMar>
          <w:top w:w="0" w:type="dxa"/>
          <w:left w:w="0" w:type="dxa"/>
          <w:bottom w:w="28" w:type="dxa"/>
          <w:right w:w="0" w:type="dxa"/>
        </w:tblCellMar>
      </w:tblPr>
      <w:tblGrid>
        <w:gridCol w:w="3020"/>
        <w:gridCol w:w="60"/>
        <w:gridCol w:w="2255"/>
      </w:tblGrid>
      <w:tr>
        <w:trPr/>
        <w:tc>
          <w:tcPr>
            <w:tcW w:w="302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Thomas C. Priore</w:t>
            </w:r>
          </w:p>
        </w:tc>
        <w:tc>
          <w:tcPr>
            <w:tcW w:w="60" w:type="dxa"/>
            <w:tcBorders/>
            <w:tcMar>
              <w:bottom w:w="0" w:type="dxa"/>
            </w:tcMar>
            <w:vAlign w:val="center"/>
          </w:tcPr>
          <w:p>
            <w:pPr>
              <w:pStyle w:val="TableContents"/>
              <w:bidi w:val="0"/>
              <w:spacing w:before="0" w:after="283"/>
              <w:jc w:val="left"/>
              <w:rPr/>
            </w:pPr>
            <w:r>
              <w:rPr/>
              <w:t> </w:t>
            </w:r>
          </w:p>
        </w:tc>
        <w:tc>
          <w:tcPr>
            <w:tcW w:w="2255" w:type="dxa"/>
            <w:tcBorders/>
            <w:tcMar>
              <w:bottom w:w="0" w:type="dxa"/>
            </w:tcMar>
            <w:vAlign w:val="center"/>
          </w:tcPr>
          <w:p>
            <w:pPr>
              <w:pStyle w:val="TableContents"/>
              <w:bidi w:val="0"/>
              <w:spacing w:before="0" w:after="283"/>
              <w:jc w:val="left"/>
              <w:rPr/>
            </w:pPr>
            <w:r>
              <w:rPr/>
              <w:t xml:space="preserve">  </w:t>
            </w:r>
            <w:r>
              <w:rPr>
                <w:rFonts w:ascii="Times New Roman;Times;Serif" w:hAnsi="Times New Roman;Times;Serif"/>
                <w:sz w:val="20"/>
              </w:rPr>
              <w:t>Date: September 21, 2026</w:t>
            </w:r>
          </w:p>
        </w:tc>
      </w:tr>
      <w:tr>
        <w:trPr/>
        <w:tc>
          <w:tcPr>
            <w:tcW w:w="30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THOMAS C. PRIORE</w:t>
            </w:r>
            <w:r>
              <w:rPr>
                <w:rFonts w:ascii="Times New Roman;Times;Serif" w:hAnsi="Times New Roman;Times;Serif"/>
                <w:sz w:val="20"/>
              </w:rPr>
              <w:t>, individually</w:t>
            </w:r>
          </w:p>
        </w:tc>
        <w:tc>
          <w:tcPr>
            <w:tcW w:w="60" w:type="dxa"/>
            <w:tcBorders/>
            <w:tcMar>
              <w:bottom w:w="0" w:type="dxa"/>
            </w:tcMar>
            <w:vAlign w:val="center"/>
          </w:tcPr>
          <w:p>
            <w:pPr>
              <w:pStyle w:val="TableContents"/>
              <w:bidi w:val="0"/>
              <w:spacing w:before="0" w:after="283"/>
              <w:jc w:val="left"/>
              <w:rPr/>
            </w:pPr>
            <w:r>
              <w:rPr/>
              <w:t> </w:t>
            </w:r>
          </w:p>
        </w:tc>
        <w:tc>
          <w:tcPr>
            <w:tcW w:w="225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625" w:type="dxa"/>
        <w:jc w:val="left"/>
        <w:tblInd w:w="0" w:type="dxa"/>
        <w:tblLayout w:type="fixed"/>
        <w:tblCellMar>
          <w:top w:w="0" w:type="dxa"/>
          <w:left w:w="0" w:type="dxa"/>
          <w:bottom w:w="28" w:type="dxa"/>
          <w:right w:w="0" w:type="dxa"/>
        </w:tblCellMar>
      </w:tblPr>
      <w:tblGrid>
        <w:gridCol w:w="4310"/>
        <w:gridCol w:w="60"/>
        <w:gridCol w:w="2255"/>
      </w:tblGrid>
      <w:tr>
        <w:trPr/>
        <w:tc>
          <w:tcPr>
            <w:tcW w:w="4310" w:type="dxa"/>
            <w:tcBorders>
              <w:bottom w:val="single" w:sz="12"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John V. Priore</w:t>
            </w:r>
          </w:p>
        </w:tc>
        <w:tc>
          <w:tcPr>
            <w:tcW w:w="60" w:type="dxa"/>
            <w:tcBorders/>
            <w:tcMar>
              <w:bottom w:w="0" w:type="dxa"/>
            </w:tcMar>
            <w:vAlign w:val="center"/>
          </w:tcPr>
          <w:p>
            <w:pPr>
              <w:pStyle w:val="TableContents"/>
              <w:bidi w:val="0"/>
              <w:spacing w:before="0" w:after="283"/>
              <w:jc w:val="left"/>
              <w:rPr/>
            </w:pPr>
            <w:r>
              <w:rPr/>
              <w:t> </w:t>
            </w:r>
          </w:p>
        </w:tc>
        <w:tc>
          <w:tcPr>
            <w:tcW w:w="2255" w:type="dxa"/>
            <w:tcBorders/>
            <w:tcMar>
              <w:bottom w:w="0" w:type="dxa"/>
            </w:tcMar>
            <w:vAlign w:val="center"/>
          </w:tcPr>
          <w:p>
            <w:pPr>
              <w:pStyle w:val="TableContents"/>
              <w:bidi w:val="0"/>
              <w:spacing w:before="0" w:after="283"/>
              <w:jc w:val="left"/>
              <w:rPr/>
            </w:pPr>
            <w:r>
              <w:rPr/>
              <w:t xml:space="preserve">  </w:t>
            </w:r>
            <w:r>
              <w:rPr>
                <w:rFonts w:ascii="Times New Roman;Times;Serif" w:hAnsi="Times New Roman;Times;Serif"/>
                <w:sz w:val="20"/>
              </w:rPr>
              <w:t>Date: September 21, 2026</w:t>
            </w:r>
          </w:p>
        </w:tc>
      </w:tr>
      <w:tr>
        <w:trPr/>
        <w:tc>
          <w:tcPr>
            <w:tcW w:w="431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JOHN V. PRIORE</w:t>
            </w:r>
            <w:r>
              <w:rPr>
                <w:rFonts w:ascii="Times New Roman;Times;Serif" w:hAnsi="Times New Roman;Times;Serif"/>
                <w:sz w:val="20"/>
              </w:rPr>
              <w:t>, individually, and</w:t>
            </w:r>
          </w:p>
        </w:tc>
        <w:tc>
          <w:tcPr>
            <w:tcW w:w="60" w:type="dxa"/>
            <w:tcBorders/>
            <w:tcMar>
              <w:bottom w:w="0" w:type="dxa"/>
            </w:tcMar>
            <w:vAlign w:val="center"/>
          </w:tcPr>
          <w:p>
            <w:pPr>
              <w:pStyle w:val="TableContents"/>
              <w:bidi w:val="0"/>
              <w:spacing w:before="0" w:after="283"/>
              <w:jc w:val="left"/>
              <w:rPr/>
            </w:pPr>
            <w:r>
              <w:rPr/>
              <w:t> </w:t>
            </w:r>
          </w:p>
        </w:tc>
        <w:tc>
          <w:tcPr>
            <w:tcW w:w="2255" w:type="dxa"/>
            <w:tcBorders/>
            <w:tcMar>
              <w:bottom w:w="0" w:type="dxa"/>
            </w:tcMar>
            <w:vAlign w:val="center"/>
          </w:tcPr>
          <w:p>
            <w:pPr>
              <w:pStyle w:val="TableContents"/>
              <w:bidi w:val="0"/>
              <w:spacing w:before="0" w:after="283"/>
              <w:jc w:val="left"/>
              <w:rPr/>
            </w:pPr>
            <w:r>
              <w:rPr/>
              <w:t> </w:t>
            </w:r>
          </w:p>
        </w:tc>
      </w:tr>
      <w:tr>
        <w:trPr/>
        <w:tc>
          <w:tcPr>
            <w:tcW w:w="4310"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As Manager of AESV CreditCard Consulting, LLC</w:t>
            </w:r>
          </w:p>
        </w:tc>
        <w:tc>
          <w:tcPr>
            <w:tcW w:w="60" w:type="dxa"/>
            <w:tcBorders/>
            <w:tcMar>
              <w:bottom w:w="0" w:type="dxa"/>
            </w:tcMar>
            <w:vAlign w:val="center"/>
          </w:tcPr>
          <w:p>
            <w:pPr>
              <w:pStyle w:val="TableContents"/>
              <w:bidi w:val="0"/>
              <w:spacing w:before="0" w:after="283"/>
              <w:jc w:val="left"/>
              <w:rPr/>
            </w:pPr>
            <w:r>
              <w:rPr/>
              <w:t> </w:t>
            </w:r>
          </w:p>
        </w:tc>
        <w:tc>
          <w:tcPr>
            <w:tcW w:w="225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12336</Words>
  <Characters>66479</Characters>
  <CharactersWithSpaces>78714</CharactersWithSpaces>
  <Paragraphs>662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