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0" w:lineRule="exact"/>
        <w:rPr>
          <w:sz w:val="24"/>
          <w:szCs w:val="24"/>
          <w:color w:val="auto"/>
        </w:rPr>
      </w:pPr>
    </w:p>
    <w:p>
      <w:pPr>
        <w:jc w:val="center"/>
        <w:ind w:left="4080" w:right="1420" w:hanging="2676"/>
        <w:spacing w:after="0" w:line="294" w:lineRule="auto"/>
        <w:tabs>
          <w:tab w:leader="none" w:pos="16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FFFFFF"/>
        </w:rPr>
        <w:t>Priority Technology Holdings,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53975</wp:posOffset>
            </wp:positionV>
            <wp:extent cx="2537460" cy="1174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6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Priority Technology Holdings, Inc.</w:t>
            </w:r>
          </w:p>
        </w:tc>
        <w:tc>
          <w:tcPr>
            <w:tcW w:w="3340" w:type="dxa"/>
            <w:vAlign w:val="bottom"/>
          </w:tcPr>
          <w:p>
            <w:pPr>
              <w:spacing w:after="0"/>
              <w:rPr>
                <w:sz w:val="20"/>
                <w:szCs w:val="20"/>
                <w:color w:val="auto"/>
              </w:rPr>
            </w:pPr>
          </w:p>
        </w:tc>
      </w:tr>
      <w:tr>
        <w:trPr>
          <w:trHeight w:val="432"/>
        </w:trPr>
        <w:tc>
          <w:tcPr>
            <w:tcW w:w="7900" w:type="dxa"/>
            <w:vAlign w:val="bottom"/>
            <w:gridSpan w:val="2"/>
          </w:tcPr>
          <w:p>
            <w:pPr>
              <w:jc w:val="center"/>
              <w:ind w:left="325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40" w:type="dxa"/>
            <w:vAlign w:val="bottom"/>
          </w:tcPr>
          <w:p>
            <w:pPr>
              <w:spacing w:after="0"/>
              <w:rPr>
                <w:sz w:val="24"/>
                <w:szCs w:val="24"/>
                <w:color w:val="auto"/>
              </w:rPr>
            </w:pPr>
          </w:p>
        </w:tc>
      </w:tr>
      <w:tr>
        <w:trPr>
          <w:trHeight w:val="500"/>
        </w:trPr>
        <w:tc>
          <w:tcPr>
            <w:tcW w:w="4280" w:type="dxa"/>
            <w:vAlign w:val="bottom"/>
            <w:tcBorders>
              <w:bottom w:val="single" w:sz="8" w:color="auto"/>
            </w:tcBorders>
          </w:tcPr>
          <w:p>
            <w:pPr>
              <w:jc w:val="center"/>
              <w:ind w:left="223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815"/>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155"/>
        </w:trPr>
        <w:tc>
          <w:tcPr>
            <w:tcW w:w="4280" w:type="dxa"/>
            <w:vAlign w:val="bottom"/>
          </w:tcPr>
          <w:p>
            <w:pPr>
              <w:jc w:val="center"/>
              <w:ind w:left="2233"/>
              <w:spacing w:after="0" w:line="155"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spacing w:after="0"/>
              <w:rPr>
                <w:sz w:val="13"/>
                <w:szCs w:val="13"/>
                <w:color w:val="auto"/>
              </w:rPr>
            </w:pPr>
          </w:p>
        </w:tc>
        <w:tc>
          <w:tcPr>
            <w:tcW w:w="3340" w:type="dxa"/>
            <w:vAlign w:val="bottom"/>
          </w:tcPr>
          <w:p>
            <w:pPr>
              <w:jc w:val="center"/>
              <w:ind w:right="1235"/>
              <w:spacing w:after="0" w:line="155"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280" w:type="dxa"/>
            <w:vAlign w:val="bottom"/>
          </w:tcPr>
          <w:p>
            <w:pPr>
              <w:jc w:val="center"/>
              <w:ind w:left="2233"/>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8"/>
                <w:szCs w:val="18"/>
                <w:color w:val="auto"/>
              </w:rPr>
            </w:pPr>
          </w:p>
        </w:tc>
        <w:tc>
          <w:tcPr>
            <w:tcW w:w="3340" w:type="dxa"/>
            <w:vAlign w:val="bottom"/>
          </w:tcPr>
          <w:p>
            <w:pPr>
              <w:jc w:val="center"/>
              <w:ind w:right="123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29"/>
        </w:trPr>
        <w:tc>
          <w:tcPr>
            <w:tcW w:w="4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36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4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8"/>
        </w:trPr>
        <w:tc>
          <w:tcPr>
            <w:tcW w:w="428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9"/>
              </w:rPr>
              <w:t>Alpharetta,</w:t>
            </w:r>
          </w:p>
        </w:tc>
        <w:tc>
          <w:tcPr>
            <w:tcW w:w="362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340" w:type="dxa"/>
            <w:vAlign w:val="bottom"/>
            <w:tcBorders>
              <w:bottom w:val="single" w:sz="8" w:color="auto"/>
            </w:tcBorders>
          </w:tcPr>
          <w:p>
            <w:pPr>
              <w:jc w:val="right"/>
              <w:ind w:right="2015"/>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04"/>
        </w:trPr>
        <w:tc>
          <w:tcPr>
            <w:tcW w:w="4280" w:type="dxa"/>
            <w:vAlign w:val="bottom"/>
          </w:tcPr>
          <w:p>
            <w:pPr>
              <w:jc w:val="center"/>
              <w:ind w:left="27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spacing w:after="0"/>
              <w:rPr>
                <w:sz w:val="17"/>
                <w:szCs w:val="17"/>
                <w:color w:val="auto"/>
              </w:rPr>
            </w:pPr>
          </w:p>
        </w:tc>
        <w:tc>
          <w:tcPr>
            <w:tcW w:w="3340" w:type="dxa"/>
            <w:vAlign w:val="bottom"/>
          </w:tcPr>
          <w:p>
            <w:pPr>
              <w:jc w:val="center"/>
              <w:ind w:right="123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 (800)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PRTH</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319"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w:t>
      </w:r>
    </w:p>
    <w:p>
      <w:pPr>
        <w:spacing w:after="0" w:line="27" w:lineRule="exact"/>
        <w:rPr>
          <w:sz w:val="24"/>
          <w:szCs w:val="24"/>
          <w:color w:val="auto"/>
        </w:rPr>
      </w:pPr>
    </w:p>
    <w:p>
      <w:pPr>
        <w:ind w:right="600"/>
        <w:spacing w:after="0" w:line="226" w:lineRule="exact"/>
        <w:rPr>
          <w:sz w:val="20"/>
          <w:szCs w:val="20"/>
          <w:color w:val="auto"/>
        </w:rPr>
      </w:pPr>
      <w:r>
        <w:rPr>
          <w:rFonts w:ascii="Times New Roman" w:cs="Times New Roman" w:eastAsia="Times New Roman" w:hAnsi="Times New Roman"/>
          <w:sz w:val="18"/>
          <w:szCs w:val="18"/>
          <w:color w:val="auto"/>
        </w:rPr>
        <w:t xml:space="preserve">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w:t>
      </w:r>
    </w:p>
    <w:p>
      <w:pPr>
        <w:spacing w:after="0" w:line="27" w:lineRule="exact"/>
        <w:rPr>
          <w:sz w:val="24"/>
          <w:szCs w:val="24"/>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3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2"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60"/>
          </w:cols>
          <w:pgMar w:left="320" w:top="1103"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August 4, 2022, the number of the registrant's common stock outstanding was 76,720,809.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4"/>
          </w:tcPr>
          <w:p>
            <w:pPr>
              <w:jc w:val="center"/>
              <w:ind w:left="979"/>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968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Commonly Used or Defined Terms</w:t>
            </w:r>
          </w:p>
        </w:tc>
        <w:tc>
          <w:tcPr>
            <w:tcW w:w="1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89"/>
              </w:rPr>
              <w:t>ii</w:t>
            </w: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8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PART I. FINANCIAL INFORMATION</w:t>
            </w: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1</w:t>
            </w:r>
          </w:p>
        </w:tc>
        <w:tc>
          <w:tcPr>
            <w:tcW w:w="10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7080" w:type="dxa"/>
            <w:vAlign w:val="bottom"/>
            <w:gridSpan w:val="15"/>
          </w:tcPr>
          <w:p>
            <w:pPr>
              <w:spacing w:after="0"/>
              <w:rPr>
                <w:sz w:val="17"/>
                <w:szCs w:val="17"/>
                <w:color w:val="auto"/>
              </w:rPr>
            </w:pP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1</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8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Unaudited Consolidated Balance Sheets as of June 30, 2022 and December 31, 2021</w:t>
            </w:r>
          </w:p>
        </w:tc>
        <w:tc>
          <w:tcPr>
            <w:tcW w:w="4080" w:type="dxa"/>
            <w:vAlign w:val="bottom"/>
            <w:gridSpan w:val="5"/>
          </w:tcPr>
          <w:p>
            <w:pPr>
              <w:spacing w:after="0"/>
              <w:rPr>
                <w:sz w:val="17"/>
                <w:szCs w:val="17"/>
                <w:color w:val="auto"/>
              </w:rPr>
            </w:pP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1</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Unaudited Consolidated Statements of Operations for the three and six months ended June 30, 2022 and 2021</w:t>
            </w: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2</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Unaudited Consolidated Statements of Changes in Stockholders' Deficit for the three and six months ended June 30, 2022 and 2021</w:t>
            </w: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3</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Unaudited Consolidated Statements of Cash Flows for the six months ended June 30, 2022 and 2021</w:t>
            </w:r>
          </w:p>
        </w:tc>
        <w:tc>
          <w:tcPr>
            <w:tcW w:w="20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5</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r>
              <w:rPr>
                <w:rFonts w:ascii="Times New Roman" w:cs="Times New Roman" w:eastAsia="Times New Roman" w:hAnsi="Times New Roman"/>
                <w:sz w:val="16"/>
                <w:szCs w:val="16"/>
                <w:color w:val="000000"/>
              </w:rPr>
              <w:t>:</w:t>
            </w:r>
          </w:p>
        </w:tc>
        <w:tc>
          <w:tcPr>
            <w:tcW w:w="3040" w:type="dxa"/>
            <w:vAlign w:val="bottom"/>
            <w:gridSpan w:val="3"/>
          </w:tcPr>
          <w:p>
            <w:pPr>
              <w:spacing w:after="0"/>
              <w:rPr>
                <w:sz w:val="17"/>
                <w:szCs w:val="17"/>
                <w:color w:val="auto"/>
              </w:rPr>
            </w:pP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7</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1.</w:t>
            </w:r>
          </w:p>
        </w:tc>
        <w:tc>
          <w:tcPr>
            <w:tcW w:w="364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Nature of Business and Significant Accounting Policies</w:t>
            </w:r>
          </w:p>
        </w:tc>
        <w:tc>
          <w:tcPr>
            <w:tcW w:w="5680" w:type="dxa"/>
            <w:vAlign w:val="bottom"/>
            <w:gridSpan w:val="9"/>
          </w:tcPr>
          <w:p>
            <w:pPr>
              <w:spacing w:after="0"/>
              <w:rPr>
                <w:sz w:val="17"/>
                <w:szCs w:val="17"/>
                <w:color w:val="auto"/>
              </w:rPr>
            </w:pP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7</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2.</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Revenues</w:t>
            </w:r>
          </w:p>
        </w:tc>
        <w:tc>
          <w:tcPr>
            <w:tcW w:w="2980" w:type="dxa"/>
            <w:vAlign w:val="bottom"/>
            <w:gridSpan w:val="20"/>
          </w:tcPr>
          <w:p>
            <w:pPr>
              <w:spacing w:after="0"/>
              <w:rPr>
                <w:sz w:val="17"/>
                <w:szCs w:val="17"/>
                <w:color w:val="auto"/>
              </w:rPr>
            </w:pPr>
          </w:p>
        </w:tc>
        <w:tc>
          <w:tcPr>
            <w:tcW w:w="5680" w:type="dxa"/>
            <w:vAlign w:val="bottom"/>
            <w:gridSpan w:val="9"/>
          </w:tcPr>
          <w:p>
            <w:pPr>
              <w:spacing w:after="0"/>
              <w:rPr>
                <w:sz w:val="17"/>
                <w:szCs w:val="17"/>
                <w:color w:val="auto"/>
              </w:rPr>
            </w:pPr>
          </w:p>
        </w:tc>
        <w:tc>
          <w:tcPr>
            <w:tcW w:w="1260" w:type="dxa"/>
            <w:vAlign w:val="bottom"/>
            <w:gridSpan w:val="3"/>
          </w:tcPr>
          <w:p>
            <w:pPr>
              <w:jc w:val="center"/>
              <w:ind w:left="1059"/>
              <w:spacing w:after="0"/>
              <w:rPr>
                <w:sz w:val="20"/>
                <w:szCs w:val="20"/>
                <w:color w:val="auto"/>
              </w:rPr>
            </w:pPr>
            <w:r>
              <w:rPr>
                <w:rFonts w:ascii="Times New Roman" w:cs="Times New Roman" w:eastAsia="Times New Roman" w:hAnsi="Times New Roman"/>
                <w:sz w:val="16"/>
                <w:szCs w:val="16"/>
                <w:color w:val="0000FF"/>
                <w:w w:val="99"/>
              </w:rPr>
              <w:t>9</w:t>
            </w:r>
          </w:p>
        </w:tc>
        <w:tc>
          <w:tcPr>
            <w:tcW w:w="10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3.</w:t>
            </w:r>
          </w:p>
        </w:tc>
        <w:tc>
          <w:tcPr>
            <w:tcW w:w="9320" w:type="dxa"/>
            <w:vAlign w:val="bottom"/>
            <w:gridSpan w:val="31"/>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10</w:t>
            </w:r>
          </w:p>
        </w:tc>
        <w:tc>
          <w:tcPr>
            <w:tcW w:w="100" w:type="dxa"/>
            <w:vAlign w:val="bottom"/>
          </w:tcPr>
          <w:p>
            <w:pPr>
              <w:spacing w:after="0"/>
              <w:rPr>
                <w:sz w:val="17"/>
                <w:szCs w:val="17"/>
                <w:color w:val="auto"/>
              </w:rPr>
            </w:pPr>
          </w:p>
        </w:tc>
      </w:tr>
      <w:tr>
        <w:trPr>
          <w:trHeight w:val="20"/>
        </w:trPr>
        <w:tc>
          <w:tcPr>
            <w:tcW w:w="2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1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w w:val="99"/>
              </w:rPr>
              <w:t>4.</w:t>
            </w:r>
          </w:p>
        </w:tc>
        <w:tc>
          <w:tcPr>
            <w:tcW w:w="9320" w:type="dxa"/>
            <w:vAlign w:val="bottom"/>
            <w:gridSpan w:val="31"/>
          </w:tcPr>
          <w:p>
            <w:pPr>
              <w:ind w:left="20"/>
              <w:spacing w:after="0"/>
              <w:rPr>
                <w:sz w:val="20"/>
                <w:szCs w:val="20"/>
                <w:color w:val="auto"/>
              </w:rPr>
            </w:pPr>
            <w:r>
              <w:rPr>
                <w:rFonts w:ascii="Times New Roman" w:cs="Times New Roman" w:eastAsia="Times New Roman" w:hAnsi="Times New Roman"/>
                <w:sz w:val="16"/>
                <w:szCs w:val="16"/>
                <w:color w:val="0000FF"/>
              </w:rPr>
              <w:t>Settlement Assets and Customer Account Balances and Related Obligations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12</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5.</w:t>
            </w:r>
          </w:p>
        </w:tc>
        <w:tc>
          <w:tcPr>
            <w:tcW w:w="4940" w:type="dxa"/>
            <w:vAlign w:val="bottom"/>
            <w:tcBorders>
              <w:top w:val="single" w:sz="8" w:color="0000FF"/>
            </w:tcBorders>
            <w:gridSpan w:val="25"/>
          </w:tcPr>
          <w:p>
            <w:pPr>
              <w:ind w:left="20"/>
              <w:spacing w:after="0"/>
              <w:rPr>
                <w:sz w:val="20"/>
                <w:szCs w:val="20"/>
                <w:color w:val="auto"/>
              </w:rPr>
            </w:pPr>
            <w:r>
              <w:rPr>
                <w:rFonts w:ascii="Times New Roman" w:cs="Times New Roman" w:eastAsia="Times New Roman" w:hAnsi="Times New Roman"/>
                <w:sz w:val="16"/>
                <w:szCs w:val="16"/>
                <w:color w:val="0000FF"/>
              </w:rPr>
              <w:t>Goodwill and Other Intangible Assets</w:t>
            </w:r>
          </w:p>
        </w:tc>
        <w:tc>
          <w:tcPr>
            <w:tcW w:w="4380" w:type="dxa"/>
            <w:vAlign w:val="bottom"/>
            <w:gridSpan w:val="6"/>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14</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6.</w:t>
            </w:r>
          </w:p>
        </w:tc>
        <w:tc>
          <w:tcPr>
            <w:tcW w:w="2480" w:type="dxa"/>
            <w:vAlign w:val="bottom"/>
            <w:tcBorders>
              <w:top w:val="single" w:sz="8" w:color="0000FF"/>
            </w:tcBorders>
            <w:gridSpan w:val="19"/>
          </w:tcPr>
          <w:p>
            <w:pPr>
              <w:ind w:left="20"/>
              <w:spacing w:after="0"/>
              <w:rPr>
                <w:sz w:val="20"/>
                <w:szCs w:val="20"/>
                <w:color w:val="auto"/>
              </w:rPr>
            </w:pPr>
            <w:r>
              <w:rPr>
                <w:rFonts w:ascii="Times New Roman" w:cs="Times New Roman" w:eastAsia="Times New Roman" w:hAnsi="Times New Roman"/>
                <w:sz w:val="16"/>
                <w:szCs w:val="16"/>
                <w:color w:val="0000FF"/>
              </w:rPr>
              <w:t>Property, Equipment and Software</w:t>
            </w:r>
          </w:p>
        </w:tc>
        <w:tc>
          <w:tcPr>
            <w:tcW w:w="6840" w:type="dxa"/>
            <w:vAlign w:val="bottom"/>
            <w:gridSpan w:val="12"/>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15</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7.</w:t>
            </w:r>
          </w:p>
        </w:tc>
        <w:tc>
          <w:tcPr>
            <w:tcW w:w="2260" w:type="dxa"/>
            <w:vAlign w:val="bottom"/>
            <w:tcBorders>
              <w:top w:val="single" w:sz="8" w:color="0000FF"/>
            </w:tcBorders>
            <w:gridSpan w:val="17"/>
          </w:tcPr>
          <w:p>
            <w:pPr>
              <w:ind w:left="20"/>
              <w:spacing w:after="0"/>
              <w:rPr>
                <w:sz w:val="20"/>
                <w:szCs w:val="20"/>
                <w:color w:val="auto"/>
              </w:rPr>
            </w:pPr>
            <w:r>
              <w:rPr>
                <w:rFonts w:ascii="Times New Roman" w:cs="Times New Roman" w:eastAsia="Times New Roman" w:hAnsi="Times New Roman"/>
                <w:sz w:val="16"/>
                <w:szCs w:val="16"/>
                <w:color w:val="0000FF"/>
              </w:rPr>
              <w:t>Notes Receivable</w:t>
            </w:r>
          </w:p>
        </w:tc>
        <w:tc>
          <w:tcPr>
            <w:tcW w:w="7060" w:type="dxa"/>
            <w:vAlign w:val="bottom"/>
            <w:gridSpan w:val="14"/>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15</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8.</w:t>
            </w:r>
          </w:p>
        </w:tc>
        <w:tc>
          <w:tcPr>
            <w:tcW w:w="114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6"/>
                <w:szCs w:val="16"/>
                <w:color w:val="0000FF"/>
              </w:rPr>
              <w:t>Debt Obligations</w:t>
            </w:r>
          </w:p>
        </w:tc>
        <w:tc>
          <w:tcPr>
            <w:tcW w:w="20" w:type="dxa"/>
            <w:vAlign w:val="bottom"/>
            <w:tcBorders>
              <w:top w:val="single" w:sz="8" w:color="0000FF"/>
            </w:tcBorders>
          </w:tcPr>
          <w:p>
            <w:pPr>
              <w:spacing w:after="0"/>
              <w:rPr>
                <w:sz w:val="17"/>
                <w:szCs w:val="17"/>
                <w:color w:val="auto"/>
              </w:rPr>
            </w:pPr>
          </w:p>
        </w:tc>
        <w:tc>
          <w:tcPr>
            <w:tcW w:w="8160" w:type="dxa"/>
            <w:vAlign w:val="bottom"/>
            <w:gridSpan w:val="24"/>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16</w:t>
            </w:r>
          </w:p>
        </w:tc>
        <w:tc>
          <w:tcPr>
            <w:tcW w:w="100" w:type="dxa"/>
            <w:vAlign w:val="bottom"/>
          </w:tcPr>
          <w:p>
            <w:pPr>
              <w:spacing w:after="0"/>
              <w:rPr>
                <w:sz w:val="17"/>
                <w:szCs w:val="17"/>
                <w:color w:val="auto"/>
              </w:rPr>
            </w:pPr>
          </w:p>
        </w:tc>
      </w:tr>
      <w:tr>
        <w:trPr>
          <w:trHeight w:val="196"/>
        </w:trPr>
        <w:tc>
          <w:tcPr>
            <w:tcW w:w="220" w:type="dxa"/>
            <w:vAlign w:val="bottom"/>
            <w:gridSpan w:val="2"/>
          </w:tcPr>
          <w:p>
            <w:pPr>
              <w:spacing w:after="0"/>
              <w:rPr>
                <w:sz w:val="17"/>
                <w:szCs w:val="17"/>
                <w:color w:val="auto"/>
              </w:rPr>
            </w:pPr>
          </w:p>
        </w:tc>
        <w:tc>
          <w:tcPr>
            <w:tcW w:w="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9.</w:t>
            </w: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6"/>
                <w:szCs w:val="16"/>
                <w:color w:val="0000FF"/>
                <w:w w:val="97"/>
              </w:rPr>
              <w:t>Fair Value</w:t>
            </w:r>
          </w:p>
        </w:tc>
        <w:tc>
          <w:tcPr>
            <w:tcW w:w="8620" w:type="dxa"/>
            <w:vAlign w:val="bottom"/>
            <w:gridSpan w:val="28"/>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10. Redeemable Senior Preferred Stock and Warrants</w:t>
            </w:r>
          </w:p>
        </w:tc>
        <w:tc>
          <w:tcPr>
            <w:tcW w:w="6000" w:type="dxa"/>
            <w:vAlign w:val="bottom"/>
            <w:gridSpan w:val="10"/>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18</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11. Income Taxes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19</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1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12. Commitments and Contingencies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19</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13. Related Party Transactions</w:t>
            </w:r>
          </w:p>
        </w:tc>
        <w:tc>
          <w:tcPr>
            <w:tcW w:w="7060" w:type="dxa"/>
            <w:vAlign w:val="bottom"/>
            <w:gridSpan w:val="14"/>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20</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14. Stock-based Compensation</w:t>
            </w:r>
          </w:p>
        </w:tc>
        <w:tc>
          <w:tcPr>
            <w:tcW w:w="7400" w:type="dxa"/>
            <w:vAlign w:val="bottom"/>
            <w:gridSpan w:val="17"/>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21</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15. Stockholders' Equity</w:t>
            </w:r>
          </w:p>
        </w:tc>
        <w:tc>
          <w:tcPr>
            <w:tcW w:w="7840" w:type="dxa"/>
            <w:vAlign w:val="bottom"/>
            <w:gridSpan w:val="21"/>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22</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16. Segment Information</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22</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1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17. Loss per Common Share</w:t>
            </w:r>
          </w:p>
        </w:tc>
        <w:tc>
          <w:tcPr>
            <w:tcW w:w="7600" w:type="dxa"/>
            <w:vAlign w:val="bottom"/>
            <w:gridSpan w:val="19"/>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24</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3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260" w:type="dxa"/>
            <w:vAlign w:val="bottom"/>
            <w:gridSpan w:val="4"/>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25</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Item 3. Qualitative and Quantitative Disclosures about Market Risk</w:t>
            </w:r>
          </w:p>
        </w:tc>
        <w:tc>
          <w:tcPr>
            <w:tcW w:w="5180" w:type="dxa"/>
            <w:vAlign w:val="bottom"/>
            <w:gridSpan w:val="8"/>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36</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5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36</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1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68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37</w:t>
            </w:r>
          </w:p>
        </w:tc>
        <w:tc>
          <w:tcPr>
            <w:tcW w:w="100" w:type="dxa"/>
            <w:vAlign w:val="bottom"/>
          </w:tcPr>
          <w:p>
            <w:pPr>
              <w:spacing w:after="0"/>
              <w:rPr>
                <w:sz w:val="17"/>
                <w:szCs w:val="17"/>
                <w:color w:val="auto"/>
              </w:rPr>
            </w:pPr>
          </w:p>
        </w:tc>
      </w:tr>
      <w:tr>
        <w:trPr>
          <w:trHeight w:val="196"/>
        </w:trPr>
        <w:tc>
          <w:tcPr>
            <w:tcW w:w="120" w:type="dxa"/>
            <w:vAlign w:val="bottom"/>
            <w:tcBorders>
              <w:top w:val="single" w:sz="8" w:color="0000FF"/>
            </w:tcBorders>
          </w:tcPr>
          <w:p>
            <w:pPr>
              <w:spacing w:after="0"/>
              <w:rPr>
                <w:sz w:val="17"/>
                <w:szCs w:val="17"/>
                <w:color w:val="auto"/>
              </w:rPr>
            </w:pPr>
          </w:p>
        </w:tc>
        <w:tc>
          <w:tcPr>
            <w:tcW w:w="17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9"/>
              </w:rPr>
              <w:t>Item 1. Legal Proceedings</w:t>
            </w:r>
          </w:p>
        </w:tc>
        <w:tc>
          <w:tcPr>
            <w:tcW w:w="480" w:type="dxa"/>
            <w:vAlign w:val="bottom"/>
            <w:tcBorders>
              <w:top w:val="single" w:sz="8" w:color="0000FF"/>
            </w:tcBorders>
            <w:gridSpan w:val="5"/>
          </w:tcPr>
          <w:p>
            <w:pPr>
              <w:spacing w:after="0"/>
              <w:rPr>
                <w:sz w:val="17"/>
                <w:szCs w:val="17"/>
                <w:color w:val="auto"/>
              </w:rPr>
            </w:pPr>
          </w:p>
        </w:tc>
        <w:tc>
          <w:tcPr>
            <w:tcW w:w="7360" w:type="dxa"/>
            <w:vAlign w:val="bottom"/>
            <w:gridSpan w:val="16"/>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5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37</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1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33"/>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37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5160" w:type="dxa"/>
            <w:vAlign w:val="bottom"/>
            <w:gridSpan w:val="7"/>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5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6980" w:type="dxa"/>
            <w:vAlign w:val="bottom"/>
            <w:gridSpan w:val="13"/>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37</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9"/>
              </w:rPr>
              <w:t>Item 5. Other Information</w:t>
            </w:r>
          </w:p>
        </w:tc>
        <w:tc>
          <w:tcPr>
            <w:tcW w:w="400" w:type="dxa"/>
            <w:vAlign w:val="bottom"/>
            <w:tcBorders>
              <w:top w:val="single" w:sz="8" w:color="0000FF"/>
            </w:tcBorders>
            <w:gridSpan w:val="4"/>
          </w:tcPr>
          <w:p>
            <w:pPr>
              <w:spacing w:after="0"/>
              <w:rPr>
                <w:sz w:val="17"/>
                <w:szCs w:val="17"/>
                <w:color w:val="auto"/>
              </w:rPr>
            </w:pPr>
          </w:p>
        </w:tc>
        <w:tc>
          <w:tcPr>
            <w:tcW w:w="7480" w:type="dxa"/>
            <w:vAlign w:val="bottom"/>
            <w:gridSpan w:val="18"/>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38</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480" w:type="dxa"/>
            <w:vAlign w:val="bottom"/>
            <w:gridSpan w:val="27"/>
          </w:tcPr>
          <w:p>
            <w:pPr>
              <w:spacing w:after="0"/>
              <w:rPr>
                <w:sz w:val="17"/>
                <w:szCs w:val="17"/>
                <w:color w:val="auto"/>
              </w:rPr>
            </w:pPr>
          </w:p>
        </w:tc>
        <w:tc>
          <w:tcPr>
            <w:tcW w:w="11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38</w:t>
            </w:r>
          </w:p>
        </w:tc>
        <w:tc>
          <w:tcPr>
            <w:tcW w:w="100" w:type="dxa"/>
            <w:vAlign w:val="bottom"/>
          </w:tcPr>
          <w:p>
            <w:pPr>
              <w:spacing w:after="0"/>
              <w:rPr>
                <w:sz w:val="17"/>
                <w:szCs w:val="17"/>
                <w:color w:val="auto"/>
              </w:rPr>
            </w:pPr>
          </w:p>
        </w:tc>
      </w:tr>
      <w:tr>
        <w:trPr>
          <w:trHeight w:val="196"/>
        </w:trPr>
        <w:tc>
          <w:tcPr>
            <w:tcW w:w="968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1260" w:type="dxa"/>
            <w:vAlign w:val="bottom"/>
            <w:gridSpan w:val="3"/>
          </w:tcPr>
          <w:p>
            <w:pPr>
              <w:jc w:val="center"/>
              <w:ind w:left="999"/>
              <w:spacing w:after="0"/>
              <w:rPr>
                <w:sz w:val="20"/>
                <w:szCs w:val="20"/>
                <w:color w:val="auto"/>
              </w:rPr>
            </w:pPr>
            <w:r>
              <w:rPr>
                <w:rFonts w:ascii="Times New Roman" w:cs="Times New Roman" w:eastAsia="Times New Roman" w:hAnsi="Times New Roman"/>
                <w:sz w:val="16"/>
                <w:szCs w:val="16"/>
                <w:color w:val="0000FF"/>
              </w:rPr>
              <w:t>40</w:t>
            </w:r>
          </w:p>
        </w:tc>
        <w:tc>
          <w:tcPr>
            <w:tcW w:w="10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51"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tc>
        <w:tc>
          <w:tcPr>
            <w:tcW w:w="0" w:type="dxa"/>
            <w:vAlign w:val="bottom"/>
          </w:tcPr>
          <w:p>
            <w:pPr>
              <w:spacing w:after="0"/>
              <w:rPr>
                <w:sz w:val="1"/>
                <w:szCs w:val="1"/>
                <w:color w:val="auto"/>
              </w:rPr>
            </w:pPr>
          </w:p>
        </w:tc>
      </w:tr>
      <w:tr>
        <w:trPr>
          <w:trHeight w:val="33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Plan</w:t>
            </w:r>
          </w:p>
        </w:tc>
        <w:tc>
          <w:tcPr>
            <w:tcW w:w="100" w:type="dxa"/>
            <w:vAlign w:val="bottom"/>
            <w:tcBorders>
              <w:top w:val="single" w:sz="8" w:color="CCEEFF"/>
            </w:tcBorders>
            <w:shd w:val="clear" w:color="auto" w:fill="CCEEFF"/>
          </w:tcPr>
          <w:p>
            <w:pPr>
              <w:spacing w:after="0"/>
              <w:rPr>
                <w:sz w:val="19"/>
                <w:szCs w:val="19"/>
                <w:color w:val="auto"/>
              </w:rPr>
            </w:pPr>
          </w:p>
        </w:tc>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Equity Incentive Plan</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Stock Purchase Plan</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Employee Stock Purchase Plan</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Share Repurchase Program</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2022 Share Repurchase Program</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Business-to-business</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B2C</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Business-to-consumer</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C&amp;H</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C&amp;H Financial Services, Inc.</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Guaranty Agreement with Truist Bank dated as of April 27, 2021</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EAETR</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12529"/>
              </w:rPr>
              <w:t>Estimated annual effective tax rate</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EGC</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Benefit Of</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Finxera</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Finxera Holdings, Inc.</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sales organization</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ISV</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software vendor</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JOBS Act</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Jumpstart Our Business Startups Act of 2012</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PIK</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Payment-in-kind</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PHOT</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Hospitality Technology, LLC</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to medium-sized businesses</w:t>
            </w:r>
          </w:p>
        </w:tc>
        <w:tc>
          <w:tcPr>
            <w:tcW w:w="0" w:type="dxa"/>
            <w:vAlign w:val="bottom"/>
          </w:tcPr>
          <w:p>
            <w:pPr>
              <w:spacing w:after="0"/>
              <w:rPr>
                <w:sz w:val="1"/>
                <w:szCs w:val="1"/>
                <w:color w:val="auto"/>
              </w:rPr>
            </w:pPr>
          </w:p>
        </w:tc>
      </w:tr>
      <w:tr>
        <w:trPr>
          <w:trHeight w:val="184"/>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8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$620.0 million senior secured term loan facility issued under the Credit Agreement (including $320.0 million</w:t>
            </w:r>
          </w:p>
        </w:tc>
        <w:tc>
          <w:tcPr>
            <w:tcW w:w="0" w:type="dxa"/>
            <w:vAlign w:val="bottom"/>
          </w:tcPr>
          <w:p>
            <w:pPr>
              <w:spacing w:after="0"/>
              <w:rPr>
                <w:sz w:val="1"/>
                <w:szCs w:val="1"/>
                <w:color w:val="auto"/>
              </w:rPr>
            </w:pPr>
          </w:p>
        </w:tc>
      </w:tr>
      <w:tr>
        <w:trPr>
          <w:trHeight w:val="140"/>
        </w:trPr>
        <w:tc>
          <w:tcPr>
            <w:tcW w:w="3100" w:type="dxa"/>
            <w:vAlign w:val="bottom"/>
            <w:gridSpan w:val="2"/>
            <w:vMerge w:val="continue"/>
          </w:tcPr>
          <w:p>
            <w:pPr>
              <w:spacing w:after="0"/>
              <w:rPr>
                <w:sz w:val="12"/>
                <w:szCs w:val="12"/>
                <w:color w:val="auto"/>
              </w:rPr>
            </w:pP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delayed draw facility)</w:t>
            </w: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ratio of consolidated total debt to the Consolidated Adjusted EBITDA (as defined in the Credit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$1,026 and $555, respectively</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w:t>
            </w: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 account balances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504,132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479,471</w:t>
            </w:r>
          </w:p>
        </w:tc>
      </w:tr>
      <w:tr>
        <w:trPr>
          <w:trHeight w:val="223"/>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603,132</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365,740</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340,211</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r>
      <w:tr>
        <w:trPr>
          <w:trHeight w:val="223"/>
        </w:trPr>
        <w:tc>
          <w:tcPr>
            <w:tcW w:w="74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1,361,303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1,351,942</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Senior Preferred Stock and Stockholders' Deficit</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r>
      <w:tr>
        <w:trPr>
          <w:trHeight w:val="229"/>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 account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500,291</w:t>
            </w:r>
          </w:p>
        </w:tc>
      </w:tr>
      <w:tr>
        <w:trPr>
          <w:trHeight w:val="223"/>
        </w:trPr>
        <w:tc>
          <w:tcPr>
            <w:tcW w:w="7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583,567</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604,105</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w:t>
            </w:r>
          </w:p>
        </w:tc>
      </w:tr>
      <w:tr>
        <w:trPr>
          <w:trHeight w:val="223"/>
        </w:trPr>
        <w:tc>
          <w:tcPr>
            <w:tcW w:w="7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622,454</w:t>
            </w:r>
          </w:p>
        </w:tc>
      </w:tr>
      <w:tr>
        <w:trPr>
          <w:trHeight w:val="223"/>
        </w:trPr>
        <w:tc>
          <w:tcPr>
            <w:tcW w:w="74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1,221,426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1,206,021</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75"/>
        </w:trPr>
        <w:tc>
          <w:tcPr>
            <w:tcW w:w="7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senior preferred stock, $0.001 par value; 250,000 shares authorized; 225,000 issued and</w:t>
            </w: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210,158</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6"/>
        </w:trPr>
        <w:tc>
          <w:tcPr>
            <w:tcW w:w="7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100,000,000 shares authorized; none issued or outstanding at June 30, 2022</w:t>
            </w: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2021</w:t>
            </w:r>
          </w:p>
        </w:tc>
        <w:tc>
          <w:tcPr>
            <w:tcW w:w="24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1,000,000,000 shares authorized; 77,746,109 and 77,460,312</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5"/>
        </w:trPr>
        <w:tc>
          <w:tcPr>
            <w:tcW w:w="7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shares issued at June 30, 2022 and December 31, 2021, respectively; and 76,568,499 and 76,739,896</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4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at June 30, 2022 and December 31, 2021, respectively</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39,835</w:t>
            </w:r>
          </w:p>
        </w:tc>
      </w:tr>
      <w:tr>
        <w:trPr>
          <w:trHeight w:val="175"/>
        </w:trPr>
        <w:tc>
          <w:tcPr>
            <w:tcW w:w="7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1,177,610 and 720,416 shares at June 30, 2022 and December 31, 2021,</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4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(100,058)</w:t>
            </w:r>
          </w:p>
        </w:tc>
      </w:tr>
      <w:tr>
        <w:trPr>
          <w:trHeight w:val="223"/>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w:t>
            </w:r>
          </w:p>
        </w:tc>
      </w:tr>
      <w:tr>
        <w:trPr>
          <w:trHeight w:val="223"/>
        </w:trPr>
        <w:tc>
          <w:tcPr>
            <w:tcW w:w="74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redeemable senior preferred stock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1,361,303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1,351,942</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238,311</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171,694</w:t>
            </w: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w:t>
            </w: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w:t>
            </w:r>
          </w:p>
        </w:tc>
      </w:tr>
      <w:tr>
        <w:trPr>
          <w:trHeight w:val="22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14,993</w:t>
            </w:r>
          </w:p>
        </w:tc>
      </w:tr>
      <w:tr>
        <w:trPr>
          <w:trHeight w:val="22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226,379</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w:t>
            </w: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2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r>
      <w:tr>
        <w:trPr>
          <w:trHeight w:val="175"/>
        </w:trPr>
        <w:tc>
          <w:tcPr>
            <w:tcW w:w="5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Dividends and accretion attributable to redeemable senior</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stockholders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56"/>
        </w:trPr>
        <w:tc>
          <w:tcPr>
            <w:tcW w:w="5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380" w:type="dxa"/>
            <w:vAlign w:val="bottom"/>
            <w:gridSpan w:val="2"/>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1380" w:type="dxa"/>
            <w:vAlign w:val="bottom"/>
            <w:gridSpan w:val="2"/>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0" w:type="dxa"/>
            <w:vAlign w:val="bottom"/>
          </w:tcPr>
          <w:p>
            <w:pPr>
              <w:spacing w:after="0"/>
              <w:rPr>
                <w:sz w:val="5"/>
                <w:szCs w:val="5"/>
                <w:color w:val="auto"/>
              </w:rPr>
            </w:pP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10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0" w:type="dxa"/>
            <w:vAlign w:val="bottom"/>
          </w:tcPr>
          <w:p>
            <w:pPr>
              <w:spacing w:after="0"/>
              <w:rPr>
                <w:sz w:val="1"/>
                <w:szCs w:val="1"/>
                <w:color w:val="auto"/>
              </w:rPr>
            </w:pPr>
          </w:p>
        </w:tc>
      </w:tr>
      <w:tr>
        <w:trPr>
          <w:trHeight w:val="208"/>
        </w:trPr>
        <w:tc>
          <w:tcPr>
            <w:tcW w:w="4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76,740</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(64,237)</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 and shares withheld for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(71,569)</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175"/>
        </w:trPr>
        <w:tc>
          <w:tcPr>
            <w:tcW w:w="41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ESPP compensation and vesting of stock-based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40" w:type="dxa"/>
            <w:vAlign w:val="bottom"/>
          </w:tcPr>
          <w:p>
            <w:pPr>
              <w:spacing w:after="0"/>
              <w:rPr>
                <w:sz w:val="15"/>
                <w:szCs w:val="15"/>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1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 and shares withheld for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on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76,568</w:t>
            </w: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38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3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restart"/>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68"/>
        </w:trPr>
        <w:tc>
          <w:tcPr>
            <w:tcW w:w="4200" w:type="dxa"/>
            <w:vAlign w:val="bottom"/>
          </w:tcPr>
          <w:p>
            <w:pPr>
              <w:spacing w:after="0"/>
              <w:rPr>
                <w:sz w:val="5"/>
                <w:szCs w:val="5"/>
                <w:color w:val="auto"/>
              </w:rPr>
            </w:pPr>
          </w:p>
        </w:tc>
        <w:tc>
          <w:tcPr>
            <w:tcW w:w="1380" w:type="dxa"/>
            <w:vAlign w:val="bottom"/>
            <w:gridSpan w:val="2"/>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80" w:type="dxa"/>
            <w:vAlign w:val="bottom"/>
          </w:tcPr>
          <w:p>
            <w:pPr>
              <w:spacing w:after="0"/>
              <w:rPr>
                <w:sz w:val="5"/>
                <w:szCs w:val="5"/>
                <w:color w:val="auto"/>
              </w:rPr>
            </w:pP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10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160" w:type="dxa"/>
            <w:vAlign w:val="bottom"/>
          </w:tcPr>
          <w:p>
            <w:pPr>
              <w:jc w:val="center"/>
              <w:ind w:right="31"/>
              <w:spacing w:after="0" w:line="142" w:lineRule="exact"/>
              <w:rPr>
                <w:sz w:val="20"/>
                <w:szCs w:val="20"/>
                <w:color w:val="auto"/>
              </w:rPr>
            </w:pPr>
            <w:r>
              <w:rPr>
                <w:rFonts w:ascii="Times New Roman" w:cs="Times New Roman" w:eastAsia="Times New Roman" w:hAnsi="Times New Roman"/>
                <w:sz w:val="16"/>
                <w:szCs w:val="16"/>
                <w:b w:val="1"/>
                <w:bCs w:val="1"/>
                <w:color w:val="auto"/>
              </w:rPr>
              <w:t>Attributable to</w:t>
            </w:r>
          </w:p>
        </w:tc>
        <w:tc>
          <w:tcPr>
            <w:tcW w:w="0" w:type="dxa"/>
            <w:vAlign w:val="bottom"/>
          </w:tcPr>
          <w:p>
            <w:pPr>
              <w:spacing w:after="0"/>
              <w:rPr>
                <w:sz w:val="1"/>
                <w:szCs w:val="1"/>
                <w:color w:val="auto"/>
              </w:rPr>
            </w:pPr>
          </w:p>
        </w:tc>
      </w:tr>
      <w:tr>
        <w:trPr>
          <w:trHeight w:val="208"/>
        </w:trPr>
        <w:tc>
          <w:tcPr>
            <w:tcW w:w="4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67,391</w:t>
            </w:r>
          </w:p>
        </w:tc>
        <w:tc>
          <w:tcPr>
            <w:tcW w:w="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stock-based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Liability-classified stock-based compensation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5"/>
                <w:szCs w:val="15"/>
                <w:color w:val="auto"/>
              </w:rPr>
            </w:pP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5"/>
                <w:szCs w:val="15"/>
                <w:color w:val="auto"/>
              </w:rPr>
            </w:pP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48"/>
        </w:trPr>
        <w:tc>
          <w:tcPr>
            <w:tcW w:w="4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converted to equity-classified</w:t>
            </w:r>
          </w:p>
        </w:tc>
        <w:tc>
          <w:tcPr>
            <w:tcW w:w="8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67,640</w:t>
            </w:r>
          </w:p>
        </w:tc>
        <w:tc>
          <w:tcPr>
            <w:tcW w:w="5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(99,755)</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stock-based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redeemable senior preferred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redeemable senior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warrants issued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PHOT preferred units redemption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Fair value of common shares issued for PHOT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5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149"/>
        </w:trPr>
        <w:tc>
          <w:tcPr>
            <w:tcW w:w="42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w:t>
            </w:r>
          </w:p>
        </w:tc>
        <w:tc>
          <w:tcPr>
            <w:tcW w:w="80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00" w:type="dxa"/>
            <w:vAlign w:val="bottom"/>
            <w:vMerge w:val="continue"/>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69,110</w:t>
            </w:r>
          </w:p>
        </w:tc>
        <w:tc>
          <w:tcPr>
            <w:tcW w:w="5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(2,388)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19,793</w:t>
            </w: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9"/>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Write-off of deferred loan costs and discount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PIK interest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(receivable)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receivable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r>
      <w:tr>
        <w:trPr>
          <w:trHeight w:val="229"/>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(9,781)</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(34,507)</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receivable loan funding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intangible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(43,353)</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(83,082)</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293,619</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and modification costs paid</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(358,325)</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borrowings under revolving credit facility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redeemable senior preferred stock, net of discount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senior preferred stock issuance fees and costs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and shares withheld for taxes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redeemable senior preferred stockholders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 accounts obligations, net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for business combinations and asset acquisitions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4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(58,777)</w:t>
            </w:r>
          </w:p>
        </w:tc>
      </w:tr>
      <w:tr>
        <w:trPr>
          <w:trHeight w:val="230"/>
        </w:trPr>
        <w:tc>
          <w:tcPr>
            <w:tcW w:w="8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88,120</w:t>
            </w:r>
          </w:p>
        </w:tc>
      </w:tr>
      <w:tr>
        <w:trPr>
          <w:trHeight w:val="223"/>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536,254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29,343</w:t>
            </w: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2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r>
      <w:tr>
        <w:trPr>
          <w:trHeight w:val="230"/>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PIK interest added to principal of debt obligations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9"/>
        </w:trPr>
        <w:tc>
          <w:tcPr>
            <w:tcW w:w="8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Accruals for future contingent payments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30"/>
        </w:trPr>
        <w:tc>
          <w:tcPr>
            <w:tcW w:w="8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receivable from sellers used as partial consideration for acquisitions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9"/>
        </w:trPr>
        <w:tc>
          <w:tcPr>
            <w:tcW w:w="8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Non-cash additions to other noncurrent assets for right-of-use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29"/>
        </w:trPr>
        <w:tc>
          <w:tcPr>
            <w:tcW w:w="8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w:t>
            </w:r>
          </w:p>
        </w:tc>
      </w:tr>
      <w:tr>
        <w:trPr>
          <w:trHeight w:val="189"/>
        </w:trPr>
        <w:tc>
          <w:tcPr>
            <w:tcW w:w="800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 xml:space="preserve">Customer account balances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502,375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
        </w:trPr>
        <w:tc>
          <w:tcPr>
            <w:tcW w:w="24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0000FF"/>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80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29,343</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Consolidation and Presentation</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Priority Technology Holdings, Inc. and its consolidated subsidiaries are referred to herein collectively as "Priority," "PRTH," the "Company," "we," "our" or "us," unless the context requires otherwise. Priority is a provider of merchant acquiring, integrated payment software, licensed money transmission services and commercial payments solutions.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6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w:t>
      </w:r>
    </w:p>
    <w:p>
      <w:pPr>
        <w:spacing w:after="0" w:line="1" w:lineRule="exact"/>
        <w:rPr>
          <w:sz w:val="20"/>
          <w:szCs w:val="20"/>
          <w:color w:val="auto"/>
        </w:rPr>
      </w:pPr>
    </w:p>
    <w:p>
      <w:pPr>
        <w:ind w:right="980"/>
        <w:spacing w:after="0" w:line="260" w:lineRule="auto"/>
        <w:rPr>
          <w:sz w:val="20"/>
          <w:szCs w:val="20"/>
          <w:color w:val="auto"/>
        </w:rPr>
      </w:pPr>
      <w:r>
        <w:rPr>
          <w:rFonts w:ascii="Times New Roman" w:cs="Times New Roman" w:eastAsia="Times New Roman" w:hAnsi="Times New Roman"/>
          <w:sz w:val="18"/>
          <w:szCs w:val="18"/>
          <w:color w:val="auto"/>
        </w:rPr>
        <w:t>of December 31, 2021 was derived from the audited financial statements included in the Company's Annual Report on Form 10-K for the year ended December 31, 2021 but does not include all disclosures required by GAAP for annual financial statements.</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 In particular, the continued magnitude, duration and effects of the COVID-19 pandemic are difficult to predict, and the ultimate effect could result in future charges related to the recoverability of assets, including financial assets, long-lived assets, goodwill and other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reporting currency is the U.S. dollar. Assets and liabilities denominated in a foreign currency are translated into U.S. dollars at the current exchange rate on the last day of the reporting period. Revenues and expenses are translated using the average exchange rate in effect during the reporting period. Foreign exchange translation and transaction gains and losses were not material for the periods presented and are included in the Unaudited Consolidated Statements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Comparability of Reporting Periods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these Unaudited Consolidated Financial Statements have been reclassified to conform to the current period presentation, with no net effect on the Company's operating income, income (loss) before income taxes, net income (loss) or stockholders' deficit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reclassified certain cash flows related to settlement assets and customer account balances and the related obligations from net cash used in operating activities to net cash provided by financing activities within the Unaudited Consolidated Statements of Cash Flows. Prior period amounts have been reclassified to conform to the current period presentation. The current period presentation classifies all changes in settlement and customer account balance obligations on our Unaudited Consolidated Statements of Cash Flows as net cash provided by (used in) financing activities. The current period presentation provides a more meaningful representation of the cash flows related to the movement of settlement assets and customer account balances due to the restrictions on and use of those funds.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reclassified the amount representing previously deferred PIK interest that was paid in connection with our April 2021 refinancing from repayments of long-term debt within net cash provided by financing activities to PIK interest within net cash used in operating activities. The reclassification provides a more meaningful presentation of the repayment of interest within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have no impact on our previously reported financial position or net decrease in cash and cash equivalents.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effects of the changes on the presentation of these cash flows to the previously reported Unaudited Consolidated Statement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(45,124)</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related to PIK interest</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(26,227)</w:t>
            </w:r>
          </w:p>
        </w:tc>
        <w:tc>
          <w:tcPr>
            <w:tcW w:w="0" w:type="dxa"/>
            <w:vAlign w:val="bottom"/>
          </w:tcPr>
          <w:p>
            <w:pPr>
              <w:spacing w:after="0"/>
              <w:rPr>
                <w:sz w:val="1"/>
                <w:szCs w:val="1"/>
                <w:color w:val="auto"/>
              </w:rPr>
            </w:pP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related to settlement assets and customer account balances and the related obligations</w:t>
            </w:r>
          </w:p>
        </w:tc>
        <w:tc>
          <w:tcPr>
            <w:tcW w:w="520" w:type="dxa"/>
            <w:vAlign w:val="bottom"/>
          </w:tcPr>
          <w:p>
            <w:pPr>
              <w:spacing w:after="0"/>
              <w:rPr>
                <w:sz w:val="19"/>
                <w:szCs w:val="19"/>
                <w:color w:val="auto"/>
              </w:rPr>
            </w:pPr>
          </w:p>
        </w:tc>
        <w:tc>
          <w:tcPr>
            <w:tcW w:w="17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6"/>
              </w:rPr>
              <w:t>61,570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(9,781)</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0" w:type="dxa"/>
            <w:vAlign w:val="bottom"/>
          </w:tcPr>
          <w:p>
            <w:pPr>
              <w:spacing w:after="0"/>
              <w:rPr>
                <w:sz w:val="1"/>
                <w:szCs w:val="1"/>
                <w:color w:val="auto"/>
              </w:rPr>
            </w:pP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related to PIK interest</w:t>
            </w: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related to settlement assets and customer account balances and the related obligations</w:t>
            </w: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0" w:type="dxa"/>
            <w:vAlign w:val="bottom"/>
          </w:tcPr>
          <w:p>
            <w:pPr>
              <w:spacing w:after="0"/>
              <w:rPr>
                <w:sz w:val="1"/>
                <w:szCs w:val="1"/>
                <w:color w:val="auto"/>
              </w:rPr>
            </w:pPr>
          </w:p>
        </w:tc>
      </w:tr>
      <w:tr>
        <w:trPr>
          <w:trHeight w:val="223"/>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34,086</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December 31, 2021, the Company was an EGC, as defined in JOBS Act, and elected to take advantage of certain exemptions from various reporting requirements that are applicable to other public companies until the Company is no longer an EGC, including using the extended transition period for complying with new or revised accounting standards. On December 31, 2021, we ceased to qualify as an EGC and have adopted any new standards that we are now required to adopt.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Pending Adoption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Secured Overnight Financial Rate. If certain criteria are met, entities can elect not to apply certain modification accounting requirements to contracts affected by what the guidance calls reference rate reform. An entity that makes this election would not have to remeasure the contract at the modification date or reassess a previous accounting determination. In January 2021, the FASB issued ASU 2021-01,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which clarifies that certain optional expedients and exceptions in Topic 848 for contract modifications and hedge accounting apply to derivatives that are affected by the discounting transition. These updates can be adopted at any time before December 31, 2022. The Company's term facility and revolving credit facility bear interest at rates based on LIBOR, and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dividend rate on the Company's redeemable senior preferred stock is also based on LIBOR. The Company is evaluating the potential impact these updates may have on its Unaudited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this update may have on the timing of recognizing future provisions for expected losses on the Company's accounts receivable and notes receivable. Since the Company is a smaller reporting company, the Company must adopt this new standard no later than the beginning of 2023 for annual and interim reporting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liabilities acquired in a business combination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ASC 606, as if the acquirer had originated the contracts. Generally this will result in the acquirer recognizing and measuring the acquired contract assets and liabilities consistent with the manner by which they were recognized and measured by the acquiree. This update is effective for public companies for fiscal years beginning after December 15, 2022, including interim periods within those fiscal years, and early adoption is permitted, including in an interim period. If this update is adopted early in an interim period, it must be applied retrospectively to all business combinations that occurred since the beginning of the fiscal year. The Company elected to early adopt ASU 2021-08 in the second quarter of 2022. The Company has not acquired any businesses during 2022, therefore there was no impact on the Company's Unaudited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color w:val="212529"/>
        </w:rPr>
        <w:t>table presents a disaggregation of our consolidated revenues by type for the three and six months ended June 30,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267,745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226,069</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transmission services revenue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23"/>
        </w:trPr>
        <w:tc>
          <w:tcPr>
            <w:tcW w:w="4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revenues</w:t>
            </w:r>
            <w:r>
              <w:rPr>
                <w:rFonts w:ascii="Times New Roman" w:cs="Times New Roman" w:eastAsia="Times New Roman" w:hAnsi="Times New Roman"/>
                <w:sz w:val="23"/>
                <w:szCs w:val="23"/>
                <w:color w:val="auto"/>
                <w:vertAlign w:val="superscript"/>
              </w:rPr>
              <w:t>(1),(2)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166,430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319,669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238,311</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300" w:hanging="328"/>
        <w:spacing w:after="0" w:line="22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60" w:hanging="328"/>
        <w:spacing w:after="0" w:line="241"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$0.8 million and $1.4 million of interest income for the three and six months ended June 30, 2022, respectively, is included in outsourced services and other services revenue in the table above. Approximately $0.1 million and $0.2 million of interest income for the three and six months ended June 30, 2022, respectively, and $0.2 million and $0.4 million of interest income three and six months ended June 30, 2021, respectively, is included in other income, net on the Company's Unaudited Consolidated Statements of Operations and not reflected in the table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not material for the three and six months ended June 30, 2022 and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Supplemental balance sheet information related to contracts from customers as of June 30, 2022 and December 31, 2021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Consolidated Balance Sheet Location</w:t>
            </w:r>
          </w:p>
        </w:tc>
        <w:tc>
          <w:tcPr>
            <w:tcW w:w="26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4"/>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 net (current)</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Substantially all of these balances are recognized as revenue within 12 months. </w:t>
      </w:r>
      <w:r>
        <w:rPr>
          <w:rFonts w:ascii="Times New Roman" w:cs="Times New Roman" w:eastAsia="Times New Roman" w:hAnsi="Times New Roman"/>
          <w:sz w:val="18"/>
          <w:szCs w:val="18"/>
          <w:color w:val="000000"/>
        </w:rPr>
        <w:t>Net contract assets were not material for any period presented.</w:t>
      </w:r>
    </w:p>
    <w:p>
      <w:pPr>
        <w:spacing w:after="0" w:line="22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Impairment losses recognized on receivables or contract assets arising from the Company's contracts with customers were not material for the three and six months ended June 30, 2022 and June 30,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9700" w:firstLine="8"/>
        <w:spacing w:after="0" w:line="503" w:lineRule="auto"/>
        <w:tabs>
          <w:tab w:leader="none" w:pos="3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Finxera Acquisition</w:t>
      </w:r>
    </w:p>
    <w:p>
      <w:pPr>
        <w:ind w:right="20"/>
        <w:spacing w:after="0" w:line="289" w:lineRule="auto"/>
        <w:rPr>
          <w:sz w:val="20"/>
          <w:szCs w:val="20"/>
          <w:color w:val="auto"/>
        </w:rPr>
      </w:pPr>
      <w:r>
        <w:rPr>
          <w:rFonts w:ascii="Times New Roman" w:cs="Times New Roman" w:eastAsia="Times New Roman" w:hAnsi="Times New Roman"/>
          <w:sz w:val="17"/>
          <w:szCs w:val="17"/>
          <w:color w:val="auto"/>
        </w:rPr>
        <w:t>On September 17, 2021, the Company completed its acquisition of 100% of the equity interests of Finxera. Finxera is a provider of deposit account management and licensed money transmission services in the U.S. The acquisition will allow the Company to offer clients turn-key merchant services, payment facilitation, card issuing, automated payables, virtual banking, e-wallet tools, risk management, underwriting and compliance on a single platform.</w:t>
      </w:r>
    </w:p>
    <w:p>
      <w:pPr>
        <w:spacing w:after="0" w:line="15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transaction was funded with the Company's cash on hand, proceeds from the issuance of the redeemable senior preferred stock and debt, and the issuance of common equity shares to the sellers.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assets acquired and liabilities assumed were recognized at their fair values as of September 17, 2021, with the excess of the fair value of consideration transferred over the fair value of the net assets acquired recognized as goodwill. The fair values of the assets acquired and liabilities assumed as of September 17, 2021 were estimated by management based on the valuation of the Finxera business using the discounted cash flow method and other factors specific to certain assets and liabilities. The purchase price allocation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379,220</w:t>
            </w:r>
          </w:p>
        </w:tc>
      </w:tr>
      <w:tr>
        <w:trPr>
          <w:trHeight w:val="229"/>
        </w:trPr>
        <w:tc>
          <w:tcPr>
            <w:tcW w:w="90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instruments</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29"/>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cash and restricted cash acquired</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and restricted cash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407,010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assets and customer account balances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498,811</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245,104</w:t>
            </w:r>
          </w:p>
        </w:tc>
      </w:tr>
      <w:tr>
        <w:trPr>
          <w:trHeight w:val="230"/>
        </w:trPr>
        <w:tc>
          <w:tcPr>
            <w:tcW w:w="90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211,400</w:t>
            </w:r>
          </w:p>
        </w:tc>
      </w:tr>
      <w:tr>
        <w:trPr>
          <w:trHeight w:val="22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and customer account obligations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(498,811)</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(44,311)</w:t>
            </w:r>
          </w:p>
        </w:tc>
      </w:tr>
      <w:tr>
        <w:trPr>
          <w:trHeight w:val="230"/>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407,010</w:t>
            </w:r>
          </w:p>
        </w:tc>
      </w:tr>
      <w:tr>
        <w:trPr>
          <w:trHeight w:val="21"/>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12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ind w:left="660" w:right="60" w:hanging="328"/>
        <w:spacing w:after="0" w:line="21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$154.9 million for referral partner relationships, $34.3 million for technology, $20.1 million for customer relationships and $2.1 million for money transmission licenses.</w:t>
      </w:r>
    </w:p>
    <w:p>
      <w:pPr>
        <w:spacing w:after="0" w:line="1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of $245.1 million arising from the acquisition primarily consists of the expected synergies and other benefits from combining operations. Approximately $8.7 million of the goodwill attributable to the acquisition is expected to be deductible for income tax purposes. The goodwill was allocated 100% to the Company's Enterprise Payments reportable segment.</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2020, Finxera acquired two businesses for which the purchase price included contingent consideration valued at $6.1 million. The contingent consideration payable is comprised of earnout opportunities equal to 50% of certain revenues earned from the customers assumed in these acquisitions. The associated earnout opportunities are to be measured and paid every six months and expire at various dates through December 31, 2023. As of June 30, 2022, $0.4 million of contingent consideration has been paid. The remaining $5.8 million was accrued, of which $2.4 million and $3.4 million were included in accounts payable and accrued expenses and other noncurrent liabilities, respectively, on the Company's Unaudited Consolidated Balance Sheet as of June 30, 2022. The accretion of contingent consideration was $0.3 million for the three and six months ended June 30, 2022, which is included in interest expense on the Company's Unaudited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Payments,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28, 2021, a subsidiary of the Company completed its acquisition of certain residual portfolio rights for a purchase price of $42.4 million and $24.8 million of post-closing payments and earnout payments based on meeting certain attrition thresholds over a three-year period from the date of acquisition. The transaction did not meet the definition of a business, therefore it was accounted for as an asset acquisition under which the cost of the acquisition was allocated to the acquired assets based on relative fair values. As this is an asset acquisition, additional purchase price is accounted for when payment to the seller becomes probable and is added to the carrying value of the asset. The seller's note payable to the Company of $3.0 million and an advance of $2.0 million outstanding at the time of the purchase was netted against the initial purchase price, resulting in cash of $41.2 million being paid by the Company to the seller, which was funded from cash proceeds from the issuance of the redeemable senior preferred stock and cash on hand.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2022, the sellers earned $9.4 million of the $24.8 million, increasing the total purchase price recorded to $51.8 million, which was recorded to residual buyout intangible assets with a seven-year useful life amortized on a straight-line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C&amp;H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25, 2021, a subsidiary of the Company acquired certain assets and assumed certain related liabilities of C&amp;H under an asset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C&amp;H was an ISO partner of the Company where it developed expertise in software-integrated payment services, as well as marketing programs for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verticals such as automotive and youth sports. This business is reported within the Company's SMB Payments reportable segment. The initial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for the net assets was $35.0 million in cash and a total purchase price of not more than $60.0 million including post-closing payments and earnout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based on certain gross profit and revenue achievements over a three-year period from the date of acquisition. The acquisition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contingent consideration was $4.7 million, which increased the total purchase price to $39.7 million. The seller's note payable to the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at the time of purchase was netted against the initial purchase price, resulting in cash of $34.5 million being paid by the Company to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funded from a $30.0 million draw down of the revolving credit facility under the Credit Agreement held by the Company and $4.5 million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hand. Transaction costs were not material and were expensed. The purchase price allocation is set forth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 and other current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8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$20.2 million for merchant portfolio intangible assets with a ten-year useful life and $5.2 million for ISO partner relationships with a twelve-year useful life.</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June 30, 2022, the fair value of the C&amp;H contingent consideration was $5.0 million, of which $3.0 million and $2.0 million were included in accounts payable and accrued expenses and other noncurrent liabilities, respectively, on the Company's Unaudited Consolidated Balance Sheet as of June 30, 2022. The accretion of contingent consideration was $0.3 million for the three and six months ended June 30, 2022, which is included in interest expense on the Company's Unaudited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for the C&amp;H business combination is deductible by the Company for income tax purposes.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Settlement Assets and Customer Account Balances and Related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SMB Payments Segment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12529"/>
        </w:rPr>
        <w:t xml:space="preserve">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Unaudited Consolidated Balance Sheets. Member banks held merchant funds of $115.5 million </w:t>
      </w:r>
      <w:r>
        <w:rPr>
          <w:rFonts w:ascii="Times New Roman" w:cs="Times New Roman" w:eastAsia="Times New Roman" w:hAnsi="Times New Roman"/>
          <w:sz w:val="18"/>
          <w:szCs w:val="18"/>
          <w:color w:val="000000"/>
        </w:rPr>
        <w:t>and $102.1 million at June 30, 2022 and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2021, respectively.</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Exception items that become the liability of the Company are recorded as merchant losses, a component of cost of revenue in the Company's Unaudited Consolidated Statements of Operations. Exception items that the Company is still attempting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collect from the merchants through the funds settlement process or merchant reserves are recognized as settlement assets and customer account balances in the Company's Unaudited Consolidated Balance Sheets, with an offsetting reserve for those amounts the Company estimates it will not be able to recover. Expenses for merchant losses for the three and six months ended June 30, 2022 were $1.0 million and $2.1 million, respectively. Expenses for merchant losses for the three and six months ended June 30, 2021 were $0.6 million and $1.0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B2B Payments Segment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related to these funds are not liabilities of the Company. Therefore, neither is recognized in the Company's Unaudited Consolidated Balance Sheets. Bank-owned FBO accounts held funds of $83.1 million and $45.5 million at June 30, 2022 and December 31, 2021, respectively. Company-owned bank accounts held $4.4 million and $21.4 million at June 30, 2022 and December 31, 2021, respectively, which are included in restricted cash and settlement and customer account obligations in the Company's Unaudited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Payments Segment</w:t>
      </w:r>
    </w:p>
    <w:p>
      <w:pPr>
        <w:spacing w:after="0" w:line="2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 account balances and the related obligations as settlement and customer account obligations in the Company's Unaudited Consolidated Balance Sheets.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settlement assets and customer account balances and settlement and customer account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Card settlements due from merchants, net of estimated losses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Account Balances: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468,934</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 and customer account balances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504,132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479,471</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and Customer Account Obligations:</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 obligations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478,935</w:t>
            </w:r>
          </w:p>
        </w:tc>
      </w:tr>
      <w:tr>
        <w:trPr>
          <w:trHeight w:val="229"/>
        </w:trPr>
        <w:tc>
          <w:tcPr>
            <w:tcW w:w="7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Due to customer payees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and customer account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500,291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related assets are included in restricted cash on our Unaudited Consolidated Balance Sheets.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15"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20" w:firstLine="8"/>
        <w:spacing w:after="0" w:line="503" w:lineRule="auto"/>
        <w:tabs>
          <w:tab w:leader="none" w:pos="31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spacing w:after="0"/>
        <w:rPr>
          <w:sz w:val="20"/>
          <w:szCs w:val="20"/>
          <w:color w:val="auto"/>
        </w:rPr>
      </w:pPr>
      <w:r>
        <w:rPr>
          <w:rFonts w:ascii="Times New Roman" w:cs="Times New Roman" w:eastAsia="Times New Roman" w:hAnsi="Times New Roman"/>
          <w:sz w:val="18"/>
          <w:szCs w:val="18"/>
          <w:color w:val="auto"/>
        </w:rPr>
        <w:t>The Company's goodwill relates to the following reporting units as of June 30, 2022 and December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Payments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120,636</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 Payments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245,104</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is not aware of any triggering events that have occurred since October 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and December 31, 2021, other intangible assets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40" w:type="dxa"/>
            <w:vAlign w:val="bottom"/>
          </w:tcPr>
          <w:p>
            <w:pPr>
              <w:spacing w:after="0"/>
              <w:rPr>
                <w:sz w:val="14"/>
                <w:szCs w:val="14"/>
                <w:color w:val="auto"/>
              </w:rPr>
            </w:pPr>
          </w:p>
        </w:tc>
        <w:tc>
          <w:tcPr>
            <w:tcW w:w="164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157,442</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8.0</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7.0</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31,887</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537,230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(220,266)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316,964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5"/>
                <w:szCs w:val="15"/>
                <w:color w:val="auto"/>
              </w:rPr>
            </w:pPr>
          </w:p>
        </w:tc>
        <w:tc>
          <w:tcPr>
            <w:tcW w:w="17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5"/>
                <w:szCs w:val="15"/>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5"/>
                <w:szCs w:val="15"/>
                <w:color w:val="auto"/>
              </w:rPr>
            </w:pPr>
          </w:p>
        </w:tc>
        <w:tc>
          <w:tcPr>
            <w:tcW w:w="15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Residual buyouts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6.4</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6.7</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(2)</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9.9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Non-compete agreements</w:t>
            </w:r>
            <w:r>
              <w:rPr>
                <w:rFonts w:ascii="Times New Roman" w:cs="Times New Roman" w:eastAsia="Times New Roman" w:hAnsi="Times New Roman"/>
                <w:sz w:val="23"/>
                <w:szCs w:val="23"/>
                <w:color w:val="auto"/>
                <w:vertAlign w:val="superscript"/>
              </w:rPr>
              <w:t>(2)</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11.6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(3)</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530,157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340,211</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Additions to residual buyouts were offset by certain assets that became fully amortized in 2021 but are still in service.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assets in the group became fully amortized in 2021 but are still in service.</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there were no impairment indicators present.</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Equipment and Software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equipment and software, net as of June 30, 2022 and December 31, 2021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 lives)</w:t>
            </w:r>
          </w:p>
        </w:tc>
        <w:tc>
          <w:tcPr>
            <w:tcW w:w="10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52,715</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80,264</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74,256</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(49,023)</w:t>
            </w: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26,749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25,233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8"/>
        </w:trPr>
        <w:tc>
          <w:tcPr>
            <w:tcW w:w="4600" w:type="dxa"/>
            <w:vAlign w:val="bottom"/>
          </w:tcPr>
          <w:p>
            <w:pPr>
              <w:spacing w:after="0"/>
              <w:rPr>
                <w:sz w:val="24"/>
                <w:szCs w:val="24"/>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gridSpan w:val="8"/>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Computer software represents purchased software and internally developed back office and merchant interfacing systems used to assist in the reporting of merchant processing transactions and other related information.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had notes receivable of $2.8 million and $0.4 million as of June 30, 2022 and December 31, 2021, respectively, which are reported as current portion of notes receivable and notes receivable less current portion on the Company's Unaudited Consolidated Balance Sheets. The notes receivable carried weighted-average interest rates of 14.6% and 13.8% as of June 30, 2022 and December 31, 2021, respectively. The notes receivable are comprised of notes receivable from ISOs, and under the terms of the agreements the Company preserves the right to hold back residual payments due to the ISOs and to apply such residuals against future payments due to the Company. As of June 30, 2022 and December 31, 2021, the Company had no allowance for doubtful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principal payments for the Company's notes receivable are due as follows:</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2027</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debt obligations as of June 30, 2022 and December 31, 2021 consisted of the following:</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7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55"/>
        </w:trPr>
        <w:tc>
          <w:tcPr>
            <w:tcW w:w="73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Term facility - matures April 27, 2027, interest rates of 6.81% and 6.75% at June 30, 2022 and</w:t>
            </w:r>
          </w:p>
        </w:tc>
        <w:tc>
          <w:tcPr>
            <w:tcW w:w="26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616,900</w:t>
            </w:r>
          </w:p>
        </w:tc>
      </w:tr>
      <w:tr>
        <w:trPr>
          <w:trHeight w:val="175"/>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Revolving credit facility - $40.0 million line, matures April 27, 2026, interest rates of 5.81% and</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5.75% at June 30, 2022 and December 31, 2021, respectively</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631,900</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602,224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604,105</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Loan Costs and Discounts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Agreement accrue interest using either a base rate or a LIBOR rate plus an applicable margin per year, subject to a LIBOR rate floor of 1.00%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18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Interest expense for outstanding debt, including fees for undrawn amounts and amortization of deferred financing costs and debt discounts, was $12.4 million and $23.9 million for the three and six months ended June 30, 2022, respectively, and $7.3 million and $16.5 million for the three and six months ended June 30, 2021, respectively. Interest expense included amortization of deferred financing costs and debt discounts of $0.9 million and $1.7 million for the three and six months ended June 30, 2022, respectively, and $0.6 million and $1.2 million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Loan Costs and Discounts, and Debt Extinguishment and Modification Expenses</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connection with the April 2021 refinancing, the Company recorded $8.3 million of debt extinguishment and modification costs for the three and six months ended June 30, 2021 on the Company's Unaudited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June 30, 2022, the Company was in compliance with our financial covenants.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Contingent consideration related to the Company's business combinations is estimated based on the present value of a weighted payout probability at the measurement date, which falls within Level 3 on the fair value hierarchy.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measured at fair value on a recurring basis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Hierarchy</w:t>
            </w:r>
          </w:p>
        </w:tc>
        <w:tc>
          <w:tcPr>
            <w:tcW w:w="26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 portion</w:t>
            </w:r>
          </w:p>
        </w:tc>
        <w:tc>
          <w:tcPr>
            <w:tcW w:w="2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r>
      <w:tr>
        <w:trPr>
          <w:trHeight w:val="248"/>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contingent consideration</w:t>
            </w: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2022, there were no transfers into, out of, or between levels of the fair value hierarchy.</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 of the Company's contingent consideration liability for the three and six months ended June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0" w:type="dxa"/>
            <w:vAlign w:val="bottom"/>
          </w:tcPr>
          <w:p>
            <w:pPr>
              <w:spacing w:after="0"/>
              <w:rPr>
                <w:sz w:val="1"/>
                <w:szCs w:val="1"/>
                <w:color w:val="auto"/>
              </w:rPr>
            </w:pPr>
          </w:p>
        </w:tc>
      </w:tr>
      <w:tr>
        <w:trPr>
          <w:trHeight w:val="243"/>
        </w:trPr>
        <w:tc>
          <w:tcPr>
            <w:tcW w:w="886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29"/>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29"/>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 on contingent consideration</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 due to resolution of contingencies related to future payments</w:t>
            </w:r>
          </w:p>
        </w:tc>
        <w:tc>
          <w:tcPr>
            <w:tcW w:w="1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10,825</w:t>
            </w: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 of the Company's contingent consideration liability for the three and six months ended June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7"/>
                <w:szCs w:val="17"/>
                <w:color w:val="auto"/>
              </w:rPr>
            </w:pP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0" w:type="dxa"/>
            <w:vAlign w:val="bottom"/>
          </w:tcPr>
          <w:p>
            <w:pPr>
              <w:spacing w:after="0"/>
              <w:rPr>
                <w:sz w:val="1"/>
                <w:szCs w:val="1"/>
                <w:color w:val="auto"/>
              </w:rPr>
            </w:pPr>
          </w:p>
        </w:tc>
      </w:tr>
      <w:tr>
        <w:trPr>
          <w:trHeight w:val="243"/>
        </w:trPr>
        <w:tc>
          <w:tcPr>
            <w:tcW w:w="886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contingent consideration due to acquisition</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4,700</w:t>
            </w:r>
          </w:p>
        </w:tc>
        <w:tc>
          <w:tcPr>
            <w:tcW w:w="0" w:type="dxa"/>
            <w:vAlign w:val="bottom"/>
          </w:tcPr>
          <w:p>
            <w:pPr>
              <w:spacing w:after="0"/>
              <w:rPr>
                <w:sz w:val="1"/>
                <w:szCs w:val="1"/>
                <w:color w:val="auto"/>
              </w:rPr>
            </w:pPr>
          </w:p>
        </w:tc>
      </w:tr>
      <w:tr>
        <w:trPr>
          <w:trHeight w:val="21"/>
        </w:trPr>
        <w:tc>
          <w:tcPr>
            <w:tcW w:w="8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Notes Receivable</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$2.8 million and $0.4 million at June 30, 2022 and December 31, 2021, respectively. On the fair value hierarchy, Level 3 inputs are used to estimate the fair value of these notes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Outstanding debt obligations are reflected in the Company's Unaudited Consolidated Balance Sheets at carrying value since the Company did not elect to remeasure debt obligations to fair value at the end of each reporting period.</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of the term facility was estimated to be $587.7 million and $613.8 million at June 30, 2022 and December 31, 2021, respectively, and was estimated using binding and non-binding quoted prices in an active secondary market, which considers the credit risk and market related conditions, and is within Level 3 of the fair value hierarchy.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Redeemable Senior Preferred Stock and Warrants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carrying amounts of the redeemable senior preferred stock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210,158</w:t>
            </w: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215,053</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dividend on redeemable senior preferred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discounts and issuance cost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220,031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dividends for the period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vMerge w:val="continue"/>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in 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dividends accrued as part of the carrying value of</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14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redeemable senior preferred stock</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Dividends declared at the rate of 13.0% per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27, 2021, the Company issued warrants to purchase up to 1,803,841 shares of the Company's common stock, par value $0.001 per share, at an exercise price of $0.001. As of June 30, 2022,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consolidated effective income tax rate for the three and six months ended June 30, 2022, was 61.9% and 147.9%, respectively. The effective rate for the three and six months ended June 30, 2022 differed from the statutory rate of 21.0% primarily due to </w:t>
      </w:r>
      <w:r>
        <w:rPr>
          <w:rFonts w:ascii="Times New Roman" w:cs="Times New Roman" w:eastAsia="Times New Roman" w:hAnsi="Times New Roman"/>
          <w:sz w:val="18"/>
          <w:szCs w:val="18"/>
          <w:color w:val="222222"/>
        </w:rPr>
        <w:t>an increase in the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allowance against certain business interest carryover deferred tax assets.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consolidated effective income tax (benefit) rate for the three and six months ended June 30, 2021, was (18.7)% and 5.7%, respectively. The effective rate for the three and six months ended June 30, 2021 differed from the statutory federal rate of 21.0% primarily due to </w:t>
      </w:r>
      <w:r>
        <w:rPr>
          <w:rFonts w:ascii="Times New Roman" w:cs="Times New Roman" w:eastAsia="Times New Roman" w:hAnsi="Times New Roman"/>
          <w:sz w:val="18"/>
          <w:szCs w:val="18"/>
          <w:color w:val="222222"/>
        </w:rPr>
        <w:t>an increase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valuation allowance against certain business interest carryover deferred tax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for Deferred Income Tax Assets</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management's assessment, as of June 30, 2022,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Annual Commitments with Third-party Processors</w:t>
      </w:r>
    </w:p>
    <w:p>
      <w:pPr>
        <w:spacing w:after="0" w:line="2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June 30, 2022, the Company is committed to pay minimum processing fees under these agreements of approximately $15.7 million in 2022 and $16.6 million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14, 2022, the Company amended the purchase agreement related to its acquisition of certain residual portfolio rights in 2019 to provide for an additional earnout opportunity to be earned during the 12 months ending March 31, 2023. The initial purchase price was subject to an increase of up to $6.4 million in accordance with the terms of the agreement between the Company and the sellers. In connection with this amendment, the Company paid $2.1 million to the sellers during the second quarter of 2022, of which half was related to the earnout for the 12 months ended March 31, 2022 and half was paid as an advance of the earnout for the 12 months ending March 31, 2023. This advance must be repaid by the sellers if certain metrics are not achieved.</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June 30, 2022 and December 31, 2021, the Company had accrued $1.0 million and $2.4 million, respectively, of estimated remaining cash consideration and additional accumulated costs related to its October 2019 acquisition of certain merchant portfolio rights. The Company had recorded aggregate costs, including both actual costs and estimated remaining consideration, totaling $11.5 million and $11.1 million as of June 30, 2022 and December 31, 2021, respectively. Amortization expense was adjusted to reflect the new carrying value at the original purchase date. As of June 30, 2022 and December 31, 2021, accumulated amortization was $6.1 million and $5.0 million, respectively. The merchant portfolio has an estimated remaining life of 2.25 years at June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3, Acquisitions</w:t>
      </w:r>
      <w:r>
        <w:rPr>
          <w:rFonts w:ascii="Times New Roman" w:cs="Times New Roman" w:eastAsia="Times New Roman" w:hAnsi="Times New Roman"/>
          <w:sz w:val="18"/>
          <w:szCs w:val="18"/>
          <w:color w:val="auto"/>
        </w:rPr>
        <w:t>, for information about contingent consideration related to other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Employee Loan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12529"/>
        </w:rPr>
        <w:t>In February 2021, the Company loaned $0.9 million to an employee who is considered to be an affiliate of the Company. Under the terms the loan agreement, the loan accrues interest at the rate of 4.0% per year and is secured by shares of the Company's common stock that are owned by the employee. The loan was originally repayable in August 2021, but the agreement was amended in August 2021 to automatically renew for one year terms until the Company requires repayment. The loan may be prepaid at any time. As of June 30, 2022 and December 31, 2021, the amount due to the Company for this loan was $0.9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xml:space="preserve">PHOT </w:t>
      </w:r>
      <w:r>
        <w:rPr>
          <w:rFonts w:ascii="Times New Roman" w:cs="Times New Roman" w:eastAsia="Times New Roman" w:hAnsi="Times New Roman"/>
          <w:sz w:val="18"/>
          <w:szCs w:val="18"/>
          <w:i w:val="1"/>
          <w:iCs w:val="1"/>
          <w:color w:val="000000"/>
        </w:rPr>
        <w:t>Preferred Unit Redemption - Distribution to NCIs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In November 2020, the Company agreed to an exchange of shares of common stock of the Company, or cash, for the $4.8 million of remaining undistributed preferred equity interests related to the February 2019 contribution of the eTab and Cumulus assets to PHOT. An exchange valuation for the Company's common stock was established as of November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at the prior 20-day volume weighted average price of $2.78 per share. The exchange was contingent upon receiving approval of the Company's lenders; therefore, the binding exchange agreements were not entered into until after lender approval was received in April 2021. In May 2021, the Company entered into exchange agreements and completed the exchange of 1,428,358 shares of common stock and $0.8 million of cash for the undistributed preferred equity interests. The CEO received 605,623 shares of common stock of the Company in exchange for his 35.3% interest, and the Company's Executive Vice President of M&amp;A and Corporate Development received 413,081 shares of common stock of the Company in exchange for her 24.1% interest. Subsequent to establishing the common stock valuation in November 2020 and the date of exchange in May 2021, the Company's common stock price appreciated to $7.75 per share. The Company's Unaudited Consolidated Financial Statements for the three and six months ended June 30, 2021 reflect this exchange as a distribution to NCIs at an appreciated common stock value of $6.975 per share, which incorporates a 10% liquidity discount of $0.775 per share due to trading restrictions under Securities Rule 144. Therefore, the total distribution amounted to $10.8 million, comprised of $10.0 million of common stock and $0.8 million of cash. In addition, the Company recorded a $2.8 million tax benefit related to an increase in the tax basis associated with the share exchange, for a net impact to equity of $8.0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stock-based compensation expense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March 2021, the Company converted a $0.3 million liability-classified stock-based compensation award for restricted stock units under the 2018 Plan, whereby the service inception date preceded the future grant-date, to an equity-classified award when the restricted stock units were granted.</w:t>
      </w:r>
    </w:p>
    <w:p>
      <w:pPr>
        <w:spacing w:after="0" w:line="162"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Income tax benefit for stock-based compensation was immaterial for the three and six months ended June 30, 2022 and 2021. No stock-based compensation has been capitalized.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Purchase Plan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on a quarterly basis through payroll deductions at a price equal to 95% of the lesser of the fair value on the first and last trading day of each offering period. The compensation expense for the three and six months ended June 30, 2022,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with such designations, voting and other rights and preferences as may be determined from time to time by the Company's Board of Directors. As of June 30, 2022 and December 31, 2021, the Company has not issued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Share Repurchase Program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PRTH's Board of Directors authorized the Company to implement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12529"/>
        </w:rPr>
        <w:t xml:space="preserve">Prior to the fourth quarter of 2021, the Company's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reportable segments included the Consumer Payments segment, the Commercial Payments segment and the Integrated Partners segment. As a result of the Company's organic growth and recent acquisitions, a new internal reporting structure was implemented which resulted in changes to the Company's reportable segments.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new reportable operating segments are </w:t>
      </w:r>
      <w:r>
        <w:rPr>
          <w:rFonts w:ascii="Times New Roman" w:cs="Times New Roman" w:eastAsia="Times New Roman" w:hAnsi="Times New Roman"/>
          <w:sz w:val="18"/>
          <w:szCs w:val="18"/>
          <w:color w:val="000000"/>
        </w:rPr>
        <w:t>SMB Payments, B2B</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Payments and Enterprise Payments. </w:t>
      </w:r>
      <w:r>
        <w:rPr>
          <w:rFonts w:ascii="Times New Roman" w:cs="Times New Roman" w:eastAsia="Times New Roman" w:hAnsi="Times New Roman"/>
          <w:sz w:val="18"/>
          <w:szCs w:val="18"/>
          <w:color w:val="212529"/>
        </w:rPr>
        <w:t>All comparative periods have been adjusted to reflect the new reportable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information about our three reportable segments:</w:t>
      </w:r>
    </w:p>
    <w:p>
      <w:pPr>
        <w:spacing w:after="0" w:line="223" w:lineRule="exact"/>
        <w:rPr>
          <w:sz w:val="20"/>
          <w:szCs w:val="20"/>
          <w:color w:val="auto"/>
        </w:rPr>
      </w:pPr>
    </w:p>
    <w:p>
      <w:pPr>
        <w:ind w:left="660" w:right="42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SMB Payments – </w:t>
      </w:r>
      <w:r>
        <w:rPr>
          <w:rFonts w:ascii="Times New Roman" w:cs="Times New Roman" w:eastAsia="Times New Roman" w:hAnsi="Times New Roman"/>
          <w:sz w:val="18"/>
          <w:szCs w:val="18"/>
          <w:color w:val="auto"/>
        </w:rPr>
        <w:t>provides full-service acquiring and payment-enabled solutions for B2C transactions, leveraging the Company's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platform, distributed through ISOs, direct sales and vertically focused ISV channels.</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B2B Payments – </w:t>
      </w:r>
      <w:r>
        <w:rPr>
          <w:rFonts w:ascii="Times New Roman" w:cs="Times New Roman" w:eastAsia="Times New Roman" w:hAnsi="Times New Roman"/>
          <w:sz w:val="18"/>
          <w:szCs w:val="18"/>
          <w:color w:val="auto"/>
        </w:rPr>
        <w:t>provides AP automation solutions to corporations, software partners and FIs, including Citi, Mastercard and American Express.</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Payments – </w:t>
      </w:r>
      <w:r>
        <w:rPr>
          <w:rFonts w:ascii="Times New Roman" w:cs="Times New Roman" w:eastAsia="Times New Roman" w:hAnsi="Times New Roman"/>
          <w:sz w:val="18"/>
          <w:szCs w:val="18"/>
          <w:color w:val="auto"/>
        </w:rPr>
        <w:t>provides embedded payment and banking solutions to enterprise customers that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modern software partners looking to monetize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revenues, consolidated depreciation and amortization, and consolidated operating income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272,465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229,412</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48"/>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238,311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19,081</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3"/>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17,505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19,793</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SMB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B2B Payments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Enterprise Payments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48"/>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operating income of reportable segments to the Company's net income (loss) is provided in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6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of reportable segments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costs</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8"/>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Loss per Common Share</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loss per common share:`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20" w:type="dxa"/>
            <w:vAlign w:val="bottom"/>
          </w:tcPr>
          <w:p>
            <w:pPr>
              <w:spacing w:after="0"/>
              <w:rPr>
                <w:sz w:val="24"/>
                <w:szCs w:val="24"/>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4"/>
                <w:szCs w:val="24"/>
                <w:color w:val="auto"/>
              </w:rPr>
            </w:pPr>
          </w:p>
        </w:tc>
        <w:tc>
          <w:tcPr>
            <w:tcW w:w="26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Dividends and accretion attributable to redeemable senior</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stockholders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Non-controlling interest preferred unit redemptions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common shares outstanding includes 1,803,841 warrants issued in the second quarter of 2021.</w:t>
      </w:r>
    </w:p>
    <w:p>
      <w:pPr>
        <w:spacing w:after="0" w:line="19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Potentially anti-dilutive securities that were excluded from the Company's loss per common share that could potentially be dilutive in future periods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Outstanding warrants on common stock</w:t>
            </w:r>
            <w:r>
              <w:rPr>
                <w:rFonts w:ascii="Times New Roman" w:cs="Times New Roman" w:eastAsia="Times New Roman" w:hAnsi="Times New Roman"/>
                <w:sz w:val="23"/>
                <w:szCs w:val="23"/>
                <w:color w:val="auto"/>
                <w:vertAlign w:val="superscript"/>
              </w:rPr>
              <w:t>(1)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options and warrants issued to adviser</w:t>
            </w:r>
            <w:r>
              <w:rPr>
                <w:rFonts w:ascii="Times New Roman" w:cs="Times New Roman" w:eastAsia="Times New Roman" w:hAnsi="Times New Roman"/>
                <w:sz w:val="23"/>
                <w:szCs w:val="23"/>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awards</w:t>
            </w:r>
            <w:r>
              <w:rPr>
                <w:rFonts w:ascii="Times New Roman" w:cs="Times New Roman" w:eastAsia="Times New Roman" w:hAnsi="Times New Roman"/>
                <w:sz w:val="23"/>
                <w:szCs w:val="23"/>
                <w:color w:val="auto"/>
                <w:vertAlign w:val="superscript"/>
              </w:rPr>
              <w:t>(3)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restricted stock units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stock option awards</w:t>
            </w:r>
            <w:r>
              <w:rPr>
                <w:rFonts w:ascii="Times New Roman" w:cs="Times New Roman" w:eastAsia="Times New Roman" w:hAnsi="Times New Roman"/>
                <w:sz w:val="23"/>
                <w:szCs w:val="23"/>
                <w:color w:val="auto"/>
                <w:vertAlign w:val="superscript"/>
              </w:rPr>
              <w:t>(3)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7,374</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0"/>
        </w:trPr>
        <w:tc>
          <w:tcPr>
            <w:tcW w:w="79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warrants are exercisable at $11.50 per share and expire on August 24, 2023.</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warrants and options are exercisable at $12.00 per share and expire on August 24, 2023.</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its continuing effects on the economic and business environment in which we operate;</w:t>
      </w:r>
    </w:p>
    <w:p>
      <w:pPr>
        <w:spacing w:after="0" w:line="27" w:lineRule="exact"/>
        <w:rPr>
          <w:rFonts w:ascii="Times New Roman" w:cs="Times New Roman" w:eastAsia="Times New Roman" w:hAnsi="Times New Roman"/>
          <w:sz w:val="18"/>
          <w:szCs w:val="18"/>
          <w:color w:val="auto"/>
        </w:rPr>
      </w:pPr>
    </w:p>
    <w:p>
      <w:pPr>
        <w:ind w:left="660" w:right="600" w:hanging="328"/>
        <w:spacing w:after="0" w:line="265"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9" w:lineRule="exact"/>
        <w:rPr>
          <w:rFonts w:ascii="Times New Roman" w:cs="Times New Roman" w:eastAsia="Times New Roman" w:hAnsi="Times New Roman"/>
          <w:sz w:val="18"/>
          <w:szCs w:val="18"/>
          <w:color w:val="auto"/>
        </w:rPr>
      </w:pPr>
    </w:p>
    <w:p>
      <w:pPr>
        <w:ind w:left="660" w:right="4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section of this Quarterly Report on Form 10-Q or our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8"/>
          <w:szCs w:val="18"/>
          <w:u w:val="single" w:color="auto"/>
          <w:color w:val="0000FF"/>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section of this Quarterly Report on Form 10-Q or our Annual Report on Form 10-K, that may cause our actual results or performance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Terms Used in this Quarterly Report on Form 10-Q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section includes certain components of our results of operations for the three and six months ended June 30, 2022, compared to the three and six months ended June 30, 2021. We have derived this data, except key indicators for merchant bankcard processing dollar values and transaction volumes, from our Unaudited Consolidated Financial Statements included elsewhere in this Quarterly Report on Form 10-Q and our Audited Consolidated Financial Statements included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our consolidated revenue of $166.4 million increased by $41.4 million, or 33.1%, from $125.0 million for the three months ended June 30, 2021. This overall increase was mainly driven by an increase in bankcard volumes resulting from increased consumer spending and acquisitions completed by the Company in 2021.</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our consolidated revenue of $319.7 million increased by $81.4 million, or 34.2%, from $238.3 million for the six months ended June 30, 2021. This overall increase was primarily driven by an increase in bankcard volumes resulting from increased consumer spending, an increase in certain fee-based revenue and acquisitions completed by the Company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by type for the three and six months ended June 30,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37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Pr>
          <w:p>
            <w:pPr>
              <w:spacing w:after="0"/>
              <w:rPr>
                <w:sz w:val="20"/>
                <w:szCs w:val="20"/>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139,793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118,367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267,745</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226,069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41,676</w:t>
            </w:r>
          </w:p>
        </w:tc>
      </w:tr>
      <w:tr>
        <w:trPr>
          <w:trHeight w:val="230"/>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4,781</w:t>
            </w:r>
          </w:p>
        </w:tc>
      </w:tr>
      <w:tr>
        <w:trPr>
          <w:trHeight w:val="230"/>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transmission services revenue</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33,466</w:t>
            </w:r>
          </w:p>
        </w:tc>
      </w:tr>
      <w:tr>
        <w:trPr>
          <w:trHeight w:val="229"/>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4,474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1,435</w:t>
            </w: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166,430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125,014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41,416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319,669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238,311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81,358</w:t>
            </w:r>
          </w:p>
        </w:tc>
      </w:tr>
      <w:tr>
        <w:trPr>
          <w:trHeight w:val="21"/>
        </w:trPr>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our merchant card fees revenue of $139.8 million increased by $21.4 million, or 18.1%, from $118.4 million for the three months ended June 30, 2021. This increase was primarily driven by an increase in the merchant bankcard volume processed by the Company slightly offset by rate decreases.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our merchant card fees revenue of $267.7 million increased by $41.6 million, or 18.4%, from $226.1 million for the six months ended June 30, 2021. This increase was primarily driven by an increase in the merchant bankcard volume processed by the Company, an increase in certain fee-based revenue slightly offset by rate decreases.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Outsourced services and other services revenue of $6.9 million for the three months ended June 30, 2022 increased by $2.1 million, or 43.8%, from $4.8 million for the three months ended June 30, 2021, primarily due to growth in revenue from AP automation solutions and the acceleration of certain customer programs which were scaled back in 2021 due to the impact of the COVID-19 pandemic.</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Outsourced services and other services revenue of $14.0 million for the six months ended June 30, 2022 increased by $4.8 million, or 52.2%, from $9.2 million for the six months ended June 30, 2021. This increase was primarily driven by growth in revenue from AP automation solutions and the acceleration of certain customer programs which were scaled back in 2021 due to the impact of the COVID-19 pandemic.</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Money transmission services revenue of $17.2 million and $33.5 million for the three and six months ended June 30, 2022, respectively, is related to the business acquired from Finxera in September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Equipment revenue of $2.6 million for the three months ended June 30, 2022 increased by $0.8 million, or 44.4%, from $1.8 million for the three months ended June 30, 2021. The increase was primarily due to increased sales of mobile card reader equipment and other equipment from our MX product line.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Equipment revenue of $4.5 million for the six months ended June 30, 2022 increased by $1.5 million, or 50.0%, from $3.0 million for the six months ended June 30, 2021. This increase was primarily due to increased sales of mobile card reader equipment and other equipment from our MX product 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three and six months ended June 30, 2022 and 2021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372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Pr>
          <w:p>
            <w:pPr>
              <w:spacing w:after="0"/>
              <w:rPr>
                <w:sz w:val="20"/>
                <w:szCs w:val="20"/>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110,749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89,831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212,229</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171,694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40,535</w:t>
            </w:r>
          </w:p>
        </w:tc>
      </w:tr>
      <w:tr>
        <w:trPr>
          <w:trHeight w:val="230"/>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11,948</w:t>
            </w: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34,858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15,065</w:t>
            </w:r>
          </w:p>
        </w:tc>
      </w:tr>
      <w:tr>
        <w:trPr>
          <w:trHeight w:val="229"/>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16,849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153,370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117,609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35,761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295,783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226,379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69,404</w:t>
            </w:r>
          </w:p>
        </w:tc>
      </w:tr>
      <w:tr>
        <w:trPr>
          <w:trHeight w:val="21"/>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Cost of revenue of $110.7 million for the three months ended June 30, 2022 increased by $20.9 million, or 23.3%, from $89.8 million for the three months ended June 30, 2021, primarily due to the corresponding increase in revenues. For the three months ended June 30, 2022, cost of revenue as a percentage of total revenues decreased to 66.5% as compared to 71.9% for the three months ended June 30, 2021. This decrease was primarily due to the impact of the Finxera acquisition on gross profit margins, partially offset by mix of bankcard volume growth from larger partners with higher commissions.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Cost of revenue of $212.2 million for the six months ended June 30, 2022 increased by $40.5 million, or 23.6% from $171.7 million for the six months ended June 30, 2021. For the six months ended June 30, 2022 cost of revenue as a percentage of total revenues decreased to 66.4% as compared to 72.0% for the six months ended June 30, 2021. This decrease was primarily due to the impact of the Finxera acquisition on gross profit margins, partially offset by mix of bankcard volume growth from larger partners with higher commissions and the temporary pull-back of the specialized merchant acquiring portfolio, resulting from risk-pairing action taken by the company during the prior 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Salary and Employee Benefits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$15.8 million for the three months ended June 30, 2022 increased by $5.4 million, or 51.9%, from $10.4 million for the three months ended June 30, 2021, primarily due to annual pay raises, increases in headcount related to our acquisition of Finxera in September 2021, an increase in stock-based compensation and overall growth of the Company.</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$31.8 million for the six months ended June 30, 2022 increased by $11.9 million, or 59.8%, from $19.9 million for the six months ended June 30, 2021, primarily due to in headcount related to our acquisition of Finxera in September 2021, an increase in stock-based compensation and overall growth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 Expense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$17.5 million for the three months ended June 30, 2022 increased by $6.8 million, or 63.6%, from $10.7 million for the three months ended June 30, 2021, primarily due to the amortization of finite-lived intangible assets acquired from the business combinations completed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$34.9 million for the six months ended June 30, 2022 increased by $15.1 million, or 76.3%, from $19.8 million for the six months ended June 30, 2021, primarily due to the amortization of finite-lived intangible assets acquired from the business combinations completed during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of $9.3 million for the three months ended June 30, 2022 increased by $2.6 million, or 38.8%, from $6.7 million for the three months ended June 30, 2021, primarily due to an increase in expenses from acquired businesses and certain non-recurring expenses.</w:t>
      </w:r>
    </w:p>
    <w:p>
      <w:pPr>
        <w:spacing w:after="0" w:line="14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of $16.8 million for the six months ended June 30, 2022 increased by $1.8 million, or 12.0%, from $15.0 million for the six months ended June 30, 2021, primarily due to an increase in expenses from acquired businesses, offset by a decrease in certain non-recurring transaction related expenses.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net for three and six months ended June 30, 2022 and 2021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372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(23,870)</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(7,417)</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Debt extinguishment and modification</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c>
          <w:tcPr>
            <w:tcW w:w="0" w:type="dxa"/>
            <w:vAlign w:val="bottom"/>
          </w:tcPr>
          <w:p>
            <w:pPr>
              <w:spacing w:after="0"/>
              <w:rPr>
                <w:sz w:val="1"/>
                <w:szCs w:val="1"/>
                <w:color w:val="auto"/>
              </w:rPr>
            </w:pPr>
          </w:p>
        </w:tc>
      </w:tr>
      <w:tr>
        <w:trPr>
          <w:trHeight w:val="149"/>
        </w:trPr>
        <w:tc>
          <w:tcPr>
            <w:tcW w:w="3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32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(23,790)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Interest expense of $12.3 million for the three months ended June 30, 2022 increased by $5.0 million, or 68.5%, from $7.3 million for the three months ended June 30, 2021, due to additional borrowings to fund the acquisition of Finxera in September 2021.</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of $23.9 million for the six months ended June 30, 2022 increased by $7.4 million, or 44.8%, from $16.5 million for the six months ended June 30, 2021, primarily due to additional borrowings to fund the acquisition of Finxera in September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Extinguishment and Modification Costs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April 2021, the Company expensed unamortized deferred costs and discounts of $3.0 million associated with the retirement of our subordinated debt facility and refinancing of our senior debt facility, and expensed $5.3 million of third-party costs incurred in connection with the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75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Income tax expense (benefit) for three and six months ended June 30, 2022 and 2021 was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2"/>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60" w:type="dxa"/>
            <w:vAlign w:val="bottom"/>
            <w:tcBorders>
              <w:bottom w:val="single" w:sz="8" w:color="auto"/>
            </w:tcBorders>
          </w:tcPr>
          <w:p>
            <w:pPr>
              <w:spacing w:after="0"/>
              <w:rPr>
                <w:sz w:val="24"/>
                <w:szCs w:val="24"/>
                <w:color w:val="auto"/>
              </w:rPr>
            </w:pPr>
          </w:p>
        </w:tc>
      </w:tr>
      <w:tr>
        <w:trPr>
          <w:trHeight w:val="223"/>
        </w:trPr>
        <w:tc>
          <w:tcPr>
            <w:tcW w:w="2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2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r>
      <w:tr>
        <w:trPr>
          <w:trHeight w:val="23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12529"/>
        </w:rPr>
        <w:t xml:space="preserve">We compute our interim period income tax expense or benefit by using a forecasted EAETR and adjust for any discrete items arising during the interim period and any changes in our projected full-year business interest expense and taxable income. The EAETR for 2022 is 81.4% and includes the income tax provision on pre-tax income and a tax provision related to establishment of a valuation allowance for deferred income tax on the future portion of the Section 163(j) limitation created by additional 2022 interest expense. </w:t>
      </w:r>
      <w:r>
        <w:rPr>
          <w:rFonts w:ascii="Times New Roman" w:cs="Times New Roman" w:eastAsia="Times New Roman" w:hAnsi="Times New Roman"/>
          <w:sz w:val="18"/>
          <w:szCs w:val="18"/>
          <w:color w:val="000000"/>
        </w:rPr>
        <w:t>The effective tax rate for 2022 changed primarily due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222222"/>
        </w:rPr>
        <w:t>an increase in the valuation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222222"/>
        </w:rPr>
        <w:t>allowance against certain business interest carryover deferred tax assets.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consolidated effective income tax rates differ from the statutory rate due to timing and permanent differences between amounts calculated under accounting principles GAAP and the U.S. tax code. The consolidated effective income tax rate for 2022 may not be indicative of our effective tax rate for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reorganized its business segments as of December 31, 2021, resulting in three segments: SMB Payments, B2B Payments and Enterprise Payments. Segment results included in the discussion below were restated in accordance with the new segment structure for comparison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restatement of the prior period results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208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SMB Payments</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center"/>
              <w:ind w:right="400"/>
              <w:spacing w:after="0" w:line="223" w:lineRule="exact"/>
              <w:rPr>
                <w:sz w:val="20"/>
                <w:szCs w:val="20"/>
                <w:color w:val="auto"/>
              </w:rPr>
            </w:pPr>
            <w:r>
              <w:rPr>
                <w:rFonts w:ascii="Times New Roman" w:cs="Times New Roman" w:eastAsia="Times New Roman" w:hAnsi="Times New Roman"/>
                <w:sz w:val="18"/>
                <w:szCs w:val="18"/>
                <w:b w:val="1"/>
                <w:bCs w:val="1"/>
                <w:color w:val="auto"/>
                <w:w w:val="96"/>
              </w:rPr>
              <w:t>B2B Payments</w:t>
            </w:r>
            <w:r>
              <w:rPr>
                <w:rFonts w:ascii="Times New Roman" w:cs="Times New Roman" w:eastAsia="Times New Roman" w:hAnsi="Times New Roman"/>
                <w:sz w:val="23"/>
                <w:szCs w:val="23"/>
                <w:b w:val="1"/>
                <w:bCs w:val="1"/>
                <w:color w:val="auto"/>
                <w:w w:val="96"/>
                <w:vertAlign w:val="superscript"/>
              </w:rPr>
              <w:t>(2)</w:t>
            </w:r>
          </w:p>
        </w:tc>
        <w:tc>
          <w:tcPr>
            <w:tcW w:w="200" w:type="dxa"/>
            <w:vAlign w:val="bottom"/>
          </w:tcPr>
          <w:p>
            <w:pPr>
              <w:spacing w:after="0"/>
              <w:rPr>
                <w:sz w:val="19"/>
                <w:szCs w:val="19"/>
                <w:color w:val="auto"/>
              </w:rPr>
            </w:pPr>
          </w:p>
        </w:tc>
        <w:tc>
          <w:tcPr>
            <w:tcW w:w="2080" w:type="dxa"/>
            <w:vAlign w:val="bottom"/>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Enterprise Payments</w:t>
            </w:r>
            <w:r>
              <w:rPr>
                <w:rFonts w:ascii="Times New Roman" w:cs="Times New Roman" w:eastAsia="Times New Roman" w:hAnsi="Times New Roman"/>
                <w:sz w:val="23"/>
                <w:szCs w:val="23"/>
                <w:b w:val="1"/>
                <w:bCs w:val="1"/>
                <w:color w:val="auto"/>
                <w:vertAlign w:val="superscript"/>
              </w:rPr>
              <w:t>(3)</w:t>
            </w: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120,311</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119,625</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1,348</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(686)</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422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Difference</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96"/>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2021</w:t>
            </w:r>
          </w:p>
        </w:tc>
        <w:tc>
          <w:tcPr>
            <w:tcW w:w="2100" w:type="dxa"/>
            <w:vAlign w:val="bottom"/>
            <w:tcBorders>
              <w:bottom w:val="single" w:sz="8" w:color="auto"/>
            </w:tcBorders>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ind w:right="310"/>
              <w:spacing w:after="0" w:line="223" w:lineRule="exact"/>
              <w:rPr>
                <w:sz w:val="20"/>
                <w:szCs w:val="20"/>
                <w:color w:val="auto"/>
              </w:rPr>
            </w:pPr>
            <w:r>
              <w:rPr>
                <w:rFonts w:ascii="Times New Roman" w:cs="Times New Roman" w:eastAsia="Times New Roman" w:hAnsi="Times New Roman"/>
                <w:sz w:val="18"/>
                <w:szCs w:val="18"/>
                <w:b w:val="1"/>
                <w:bCs w:val="1"/>
                <w:color w:val="auto"/>
              </w:rPr>
              <w:t>SMB Payments</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center"/>
              <w:ind w:right="400"/>
              <w:spacing w:after="0" w:line="223" w:lineRule="exact"/>
              <w:rPr>
                <w:sz w:val="20"/>
                <w:szCs w:val="20"/>
                <w:color w:val="auto"/>
              </w:rPr>
            </w:pPr>
            <w:r>
              <w:rPr>
                <w:rFonts w:ascii="Times New Roman" w:cs="Times New Roman" w:eastAsia="Times New Roman" w:hAnsi="Times New Roman"/>
                <w:sz w:val="18"/>
                <w:szCs w:val="18"/>
                <w:b w:val="1"/>
                <w:bCs w:val="1"/>
                <w:color w:val="auto"/>
                <w:w w:val="96"/>
              </w:rPr>
              <w:t>B2B Payments</w:t>
            </w:r>
            <w:r>
              <w:rPr>
                <w:rFonts w:ascii="Times New Roman" w:cs="Times New Roman" w:eastAsia="Times New Roman" w:hAnsi="Times New Roman"/>
                <w:sz w:val="23"/>
                <w:szCs w:val="23"/>
                <w:b w:val="1"/>
                <w:bCs w:val="1"/>
                <w:color w:val="auto"/>
                <w:w w:val="96"/>
                <w:vertAlign w:val="superscript"/>
              </w:rPr>
              <w:t>(2)</w:t>
            </w:r>
          </w:p>
        </w:tc>
        <w:tc>
          <w:tcPr>
            <w:tcW w:w="180" w:type="dxa"/>
            <w:vAlign w:val="bottom"/>
          </w:tcPr>
          <w:p>
            <w:pPr>
              <w:spacing w:after="0"/>
              <w:rPr>
                <w:sz w:val="19"/>
                <w:szCs w:val="19"/>
                <w:color w:val="auto"/>
              </w:rPr>
            </w:pPr>
          </w:p>
        </w:tc>
        <w:tc>
          <w:tcPr>
            <w:tcW w:w="2100" w:type="dxa"/>
            <w:vAlign w:val="bottom"/>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rPr>
              <w:t>Enterprise Payments</w:t>
            </w:r>
            <w:r>
              <w:rPr>
                <w:rFonts w:ascii="Times New Roman" w:cs="Times New Roman" w:eastAsia="Times New Roman" w:hAnsi="Times New Roman"/>
                <w:sz w:val="23"/>
                <w:szCs w:val="23"/>
                <w:b w:val="1"/>
                <w:bCs w:val="1"/>
                <w:color w:val="auto"/>
                <w:vertAlign w:val="superscript"/>
              </w:rPr>
              <w:t>(3)</w:t>
            </w:r>
          </w:p>
        </w:tc>
      </w:tr>
      <w:tr>
        <w:trPr>
          <w:trHeight w:val="209"/>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229,412</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1,358</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2,752</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23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27,733</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Restated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Historically reported</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r>
      <w:tr>
        <w:trPr>
          <w:trHeight w:val="21"/>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Compared to the Company's legacy Consumer Payments segment.</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Compared to the Company's legacy Commercial Payments segment.</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Compared to the Company's legacy Integrated Partners segment.</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may not net to zero due to rounding differences.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SMB Payments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272,465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43,053</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128,511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105,867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22,644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245,984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201,679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44,305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26,481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Merchant bankcard processing dollar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15,402,560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13,888,861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7"/>
              </w:rPr>
              <w:t>1,513,699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29,479,407</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25,772,028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3,707,379</w:t>
            </w: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7"/>
                <w:szCs w:val="17"/>
                <w:color w:val="auto"/>
              </w:rPr>
              <w:t>value</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Merchant bankcard transaction</w:t>
            </w:r>
          </w:p>
        </w:tc>
        <w:tc>
          <w:tcPr>
            <w:tcW w:w="260" w:type="dxa"/>
            <w:vAlign w:val="bottom"/>
          </w:tcPr>
          <w:p>
            <w:pPr>
              <w:spacing w:after="0"/>
              <w:rPr>
                <w:sz w:val="15"/>
                <w:szCs w:val="15"/>
                <w:color w:val="auto"/>
              </w:rPr>
            </w:pP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164,341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150,733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310,289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278,316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31,973</w:t>
            </w:r>
          </w:p>
        </w:tc>
        <w:tc>
          <w:tcPr>
            <w:tcW w:w="0" w:type="dxa"/>
            <w:vAlign w:val="bottom"/>
          </w:tcPr>
          <w:p>
            <w:pPr>
              <w:spacing w:after="0"/>
              <w:rPr>
                <w:sz w:val="1"/>
                <w:szCs w:val="1"/>
                <w:color w:val="auto"/>
              </w:rPr>
            </w:pPr>
          </w:p>
        </w:tc>
      </w:tr>
      <w:tr>
        <w:trPr>
          <w:trHeight w:val="149"/>
        </w:trPr>
        <w:tc>
          <w:tcPr>
            <w:tcW w:w="2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volume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8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from our SMB Payments segment was $142.5 million for the three months ended June 30, 2022, compared to $120.3 million for the three months ended June 30, 2021. The increase of $22.2 million, or 18.5%, was primarily driven by increased merchant bankcard volume. The Company's revenue from the SMB Payments segment as a percentage of merchant bankcard processing dollar value during 2022 increased to 0.92% from 0.87% during 2021. The increase was primarily driven by increased volume (transaction count) related fees revenues and changes in the merchant mix.</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from our SMB Payments segment was $272.5 million for the six months ended June 30, 2022, compared to $229.4 million for the six months ended June 30, 2021. The increase of $43.1 million, or 18.8%, was primarily driven by increased merchant bankcard volume and an increase in certain fee-based revenue. The Company's revenue from the SMB Payments segment as a percentage of merchant bankcard processing dollar value during 2022 increased to 0.92% from 0.89% during 2021. The increase was primarily driven by an increase in other fees revenues and changes in the merchant mix.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Operating income from our SMB Payments segment was $14.0 million for the three months ended June 30, 2022, compared to $14.4 million for the three months ended June 30, 2021. The decrease of $0.4 million, or 2.8%, was primarily driven by mix related margin compression, a $1.7 million increase in salary and employee benefits due to higher headcount, higher stock-based compensation and annual pay raises, a $1.2 million increase in selling, general and administrative expenses driven by higher software, travel and other operating costs and a $0.6 million increase in depreciation and amortization. The increase in headcount and selling, general and administrative expenses are mainly attributable to growth initiatives.</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Operating income from our SMB Payments segment was $26.5 million for the six months ended June 30, 2022, compared to $27.7 million for the six months ended June 30, 2021. The decrease of $1.2 million, or 4.3%, was primarily driven by mix related margin compression, a $3.2 million increase in salary and employee benefits due to higher headcount, higher stock-based compensation and annual pay raises, a $1.6 million increase in selling, general and administrative expenses driven by higher software and travel and other operating costs and a $2.7 million increase in depreciation and amortization. The increase in headcount and selling, general and administrative expenses are mainly attributable to growth initiatives.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our SMB Payments segment was $11.0 million for the three months ended June 30, 2022, compared to $10.4 million for the three months ended June 30, 2021. The increase of $0.6 million was primarily driven by the amortization of acquired intangibles resulting from the C&amp;H and Wholesale Payments, Inc. acquisitions.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our SMB Payments segment was $21.8 million for the six months ended June 30, 2022, compared to $19.1 million for the six months ended June 30, 2021. The increase of $2.7 million was primarily driven by the amortization of acquired intangibles resulting from the C&amp;H and Wholesale Payments, Inc. acquisitions.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B2B Payments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10,148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Merchant bankcard processing dollar</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155,462</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75,289</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80,173</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263,869</w:t>
            </w:r>
          </w:p>
        </w:tc>
        <w:tc>
          <w:tcPr>
            <w:tcW w:w="14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138,939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124,930</w:t>
            </w:r>
          </w:p>
        </w:tc>
        <w:tc>
          <w:tcPr>
            <w:tcW w:w="0" w:type="dxa"/>
            <w:vAlign w:val="bottom"/>
          </w:tcPr>
          <w:p>
            <w:pPr>
              <w:spacing w:after="0"/>
              <w:rPr>
                <w:sz w:val="1"/>
                <w:szCs w:val="1"/>
                <w:color w:val="auto"/>
              </w:rPr>
            </w:pPr>
          </w:p>
        </w:tc>
      </w:tr>
      <w:tr>
        <w:trPr>
          <w:trHeight w:val="148"/>
        </w:trPr>
        <w:tc>
          <w:tcPr>
            <w:tcW w:w="30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w:t>
            </w:r>
          </w:p>
        </w:tc>
        <w:tc>
          <w:tcPr>
            <w:tcW w:w="30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4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from our B2B Payments segment was $5.3 million for the three months ended June 30, 2022, compared to $4.0 million for the three months ended June 30, 2021. The increase of $1.3 million, or 32.5%, was primarily driven by an increase of $0.4 million as a result of the acceleration of certain programs in the Managed Services business operations that were scaled back in 2021 as a result of the COVID-19 pandemic, an increase of $0.9 million in the CPX business, of which $0.5 million is related to volume growth, and the remaining increase of $0.4 million is from the recognition of certain revenues for which recovery became probable during the current quarter.</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 from our B2B Payments segment was $11.2 million for the six months ended June 30, 2022, compared to $7.5 million for the six months ended June 30, 2021. The increase of $3.7 million, or 49.3%, was primarily driven by an increase of $1.2 million as a result of the acceleration of certain programs in the Managed Services business operations that were scaled back in 2021 as a result of the COVID-19 pandemic, an increase of $2.5 million in the CPX business, of which $1.5 million is related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volume growth, and the remaining increase of $1.0 million is from the recognition of certain revenues for which recovery became probable during the current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 (Loss)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income from our B2B Payments segment was $0.7 million for the three months ended June 30, 2022, compared to $21 thousand for the three months ended June 30, 2021. The increase was primarily attributable to increases in revenue.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from our B2B Payments segment was $1.1 million for the six months ended June 30, 2022. compared to an operating loss of $0.4 million for the six months ended June 30, 2021. The increase of $1.5 million was primarily attributable to increases in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Payments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34,626</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25,792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24,769</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9,857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28.3 %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12,396</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Indicators: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Merchant bankcard processing dollar</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387,253</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387,253</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603,652</w:t>
            </w:r>
          </w:p>
        </w:tc>
        <w:tc>
          <w:tcPr>
            <w:tcW w:w="14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603,652</w:t>
            </w:r>
          </w:p>
        </w:tc>
        <w:tc>
          <w:tcPr>
            <w:tcW w:w="0" w:type="dxa"/>
            <w:vAlign w:val="bottom"/>
          </w:tcPr>
          <w:p>
            <w:pPr>
              <w:spacing w:after="0"/>
              <w:rPr>
                <w:sz w:val="1"/>
                <w:szCs w:val="1"/>
                <w:color w:val="auto"/>
              </w:rPr>
            </w:pPr>
          </w:p>
        </w:tc>
      </w:tr>
      <w:tr>
        <w:trPr>
          <w:trHeight w:val="148"/>
        </w:trPr>
        <w:tc>
          <w:tcPr>
            <w:tcW w:w="30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w:t>
            </w:r>
          </w:p>
        </w:tc>
        <w:tc>
          <w:tcPr>
            <w:tcW w:w="3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06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from our Enterprise Payments segment was $18.6 million for the three months ended June 30, 2022, compared to $0.7 million for the three months ended June 30, 2021. The increase of $17.9 million was primarily driven by revenues contributed by the Finxera business acquired in September 2021.</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from our Enterprise Payments segment was $36.0 million for the six months ended June 30, 2022, compared to $1.4 million for the six months ended June 30, 2021. The increase of $34.6 million was primarily driven by revenues contributed by the Finxera business acquired in September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from our Enterprise Payments segment was $5.7 million for the three months ended June 30, 2022, compared to $0.2 million for the three months ended June 30, 2021. The increase of $5.5 million was primarily driven by operating income contributed by the Finxera business acquired in September 2021.</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Operating income from our Enterprise Payments segment was $10.2 million for the six months ended June 30, 2022, compared to $0.3 million for the six months ended June 30, 2021. The increase of $9.9 million was primarily driven by operating income contributed by the Finxera business acquired in September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our Enterprise Payments segment was $6.2 million for the three months ended June 30, 2022, compared to no depreciation and expense for the three months ended June 30, 2021. The increase of $6.2 million was primarily driven by the amortization of acquired intangibles resulting from the Finxera acquisition in September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Depreciation and amortization from our Enterprise Payments segment was $12.4 million for the six months ended June 30, 2022, compared to no depreciation and amortization expense for the six months ended June 30, 2021. The increase of $12.4 million was primarily driven by the amortization of acquired intangibles resulting from the Finxera acquisition in September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2021. There have been no material changes to these critical accounting policies and estimates as of June 30,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needs and other anticipated needs, including our acquisition strategy. We anticipate that cash on hand, funds generated from operations and available borrowings under our revolving credit agreement are sufficient to meet our working capital requirements for at least the next 12 months. This is based upon management's estimates and assumptions, including utilizing the most currently available information regarding the effects of the COVID-19 pandemic on our financial results. Actual future results could differ materially, as the magnitude, duration and effects of the COVID-19 pandemic are difficult to predict, and ultimately could negatively impact our liquidity and capital resources.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uses of cash are to fund business operations and administrative costs, and to service our debt.</w:t>
      </w:r>
    </w:p>
    <w:p>
      <w:pPr>
        <w:spacing w:after="0" w:line="22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working capital, defined as current assets less current liabilities, was $23.8 million at June 30, 2022 and $19.6 million at December 31, 2021. As of June 30, 2022, we had cash totaling $22.2 million compared to $20.3 million at December 31, 2021. These cash balances do not include restricted cash of $11.7 million and $28.9 million at June 30, 2022 and December 31, 2021, respectively, which reflects cash accounts holding customer settlement funds and cash reserves for potential losses. The current portion of long-term debt included in current liabilities was $6.2 million at June 30, 2022 and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At June 30, 2022, we had availability of approximately $25.5 million under our revolving credit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discussion reflect our changes in cash flows for the comparative six month periods.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(83,082)</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$30.3 million for the six months ended June 30, 2022 compared $9.8 million of net cash used in operating activities for the six months ended June 30, 2021. The $40.1 million, or 409.2%, increase in 2022 was primarily driven by cash generated from the operations of the Company, offset by changes in operating assets and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$12.7 million and $83.1 million for the six months ended June 30, 2022 and 2021, respectively. For the six months ended June 30, 2022, net cash used in investing activities included $2.8 million related to the funding of new loans to ISOs, additions to property, equipment and software of $6.0 million, and acquisitions of intangible assets of $3.7 million. For the six months ended June 30, 2021, net cash used in investing activities included $43.4 million of cash used to fund acquisitions of intangible assets, $34.5 million of net cash used for the acquisition of a business and $5.2 million of cash used to acquire property, equipment and software.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$0.6 million for the six months ended June 30, 2022, compared to $34.1 million of cash provided by financing activities for the six months ended June 30, 2021. The net cash provided by financing activities for the six months ended June 30, 2022 included changes in the net obligations for funds held on the behalf of customers of $15.2 million and $12.0 million related to additional borrowings under the revolving credit facility, offset by $15.6 million of cash used for the repayment of debt, $7.1 million of cash dividends paid to redeemable senior preferred stockholders, $2.1 million of cash used for stock repurchases, including a portion related to shares withheld for taxes, and $1.9 million of payments of contingent consideration for business combinations and asset acquisitions. The net cash provided by financing activities for the six months ended June 30, 2021 included $286.0 million of cash proceeds from the issuance of long-term debt, net of debt issuance and modification costs, $139.5 million of proceeds from the issuance of the redeemable senior preferred stock, net of issuance fees and costs, and $30.0 million related to borrowings under the revolving credit facility, offset by $358.3 million of cash used for the repayment of debt, $61.6 million of cash used related to changes in the net obligations for funds held on behalf of customers, and $1.6 million of cash dividends paid to the redeemable senior preferred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June 30, 2022, we had outstanding debt obligations, including the current portion and net of unamortized debt discount of $608.4 million, compared to $610.3 million at December 31, 2021, resulting in a decrease of $1.9 million. The debt balance at June 30, 2022 consisted of $613.8 million outstanding under the term facility and $14.5 million outstanding under the revolving credit facility, offset by $19.9 million of unamortized debt discounts and issuance costs. The $14.5 million outstanding under the revolving credit facility was fully repaid subsequent to June 30, 2022. Minimum amortization of the term facility are equal quarterly installments in aggregate annual amounts equal to 1.0% of the original principal, with the balance paid upon maturity. The term facility matures in April 2027 and the revolving credit facility expires in April 2026.</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June 30, 2022, the Company was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8"/>
          <w:szCs w:val="18"/>
          <w:u w:val="single" w:color="auto"/>
          <w:color w:val="0000FF"/>
        </w:rPr>
        <w:t>Note 1, Basis of Presentation and Significant Accounting Policies</w:t>
      </w:r>
      <w:r>
        <w:rPr>
          <w:rFonts w:ascii="Times New Roman" w:cs="Times New Roman" w:eastAsia="Times New Roman" w:hAnsi="Times New Roman"/>
          <w:sz w:val="18"/>
          <w:szCs w:val="18"/>
          <w:color w:val="auto"/>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For quantitative and qualitative disclosures about market risk, see Item 7A, "Quantitative and Qualitative Disclosures About Market Risk," of our Annual Report on Form 10-K for the year ended December 31, 2021. Our exposures to market risk have not changed materially since December 31, 2021.</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CEO and CFO, has evaluated the effectiveness of the Company's disclosure controls and procedures as of June 30, 2022. Based on that evaluation, the Company's CEO and CFO concluded that the Company's disclosure controls and procedures were effective as of June 30, 2022.</w:t>
      </w:r>
    </w:p>
    <w:p>
      <w:pPr>
        <w:spacing w:after="0" w:line="176"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three and six months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its common stock during the three months ended June 30, 2022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 Purchased as</w:t>
            </w:r>
          </w:p>
        </w:tc>
        <w:tc>
          <w:tcPr>
            <w:tcW w:w="1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 that</w:t>
            </w:r>
          </w:p>
        </w:tc>
        <w:tc>
          <w:tcPr>
            <w:tcW w:w="0" w:type="dxa"/>
            <w:vAlign w:val="bottom"/>
          </w:tcPr>
          <w:p>
            <w:pPr>
              <w:spacing w:after="0"/>
              <w:rPr>
                <w:sz w:val="1"/>
                <w:szCs w:val="1"/>
                <w:color w:val="auto"/>
              </w:rPr>
            </w:pPr>
          </w:p>
        </w:tc>
      </w:tr>
      <w:tr>
        <w:trPr>
          <w:trHeight w:val="176"/>
        </w:trPr>
        <w:tc>
          <w:tcPr>
            <w:tcW w:w="2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 Announced Plans or</w:t>
            </w:r>
          </w:p>
        </w:tc>
        <w:tc>
          <w:tcPr>
            <w:tcW w:w="100" w:type="dxa"/>
            <w:vAlign w:val="bottom"/>
          </w:tcPr>
          <w:p>
            <w:pPr>
              <w:spacing w:after="0"/>
              <w:rPr>
                <w:sz w:val="15"/>
                <w:szCs w:val="15"/>
                <w:color w:val="auto"/>
              </w:rPr>
            </w:pPr>
          </w:p>
        </w:tc>
        <w:tc>
          <w:tcPr>
            <w:tcW w:w="3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Yet Be Purchased Under the</w:t>
            </w:r>
          </w:p>
        </w:tc>
        <w:tc>
          <w:tcPr>
            <w:tcW w:w="0" w:type="dxa"/>
            <w:vAlign w:val="bottom"/>
          </w:tcPr>
          <w:p>
            <w:pPr>
              <w:spacing w:after="0"/>
              <w:rPr>
                <w:sz w:val="1"/>
                <w:szCs w:val="1"/>
                <w:color w:val="auto"/>
              </w:rPr>
            </w:pPr>
          </w:p>
        </w:tc>
      </w:tr>
      <w:tr>
        <w:trPr>
          <w:trHeight w:val="243"/>
        </w:trPr>
        <w:tc>
          <w:tcPr>
            <w:tcW w:w="2000" w:type="dxa"/>
            <w:vAlign w:val="bottom"/>
            <w:gridSpan w:val="2"/>
            <w:vMerge w:val="continue"/>
          </w:tcPr>
          <w:p>
            <w:pPr>
              <w:spacing w:after="0"/>
              <w:rPr>
                <w:sz w:val="21"/>
                <w:szCs w:val="21"/>
                <w:color w:val="auto"/>
              </w:rPr>
            </w:pP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21"/>
                <w:szCs w:val="21"/>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31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(2)</w:t>
            </w:r>
          </w:p>
        </w:tc>
        <w:tc>
          <w:tcPr>
            <w:tcW w:w="10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1-30, 2022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129,425</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1,620,575</w:t>
            </w:r>
          </w:p>
        </w:tc>
        <w:tc>
          <w:tcPr>
            <w:tcW w:w="0" w:type="dxa"/>
            <w:vAlign w:val="bottom"/>
          </w:tcPr>
          <w:p>
            <w:pPr>
              <w:spacing w:after="0"/>
              <w:rPr>
                <w:sz w:val="1"/>
                <w:szCs w:val="1"/>
                <w:color w:val="auto"/>
              </w:rPr>
            </w:pPr>
          </w:p>
        </w:tc>
      </w:tr>
      <w:tr>
        <w:trPr>
          <w:trHeight w:val="22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379,425</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100" w:hanging="328"/>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(in whole units) withheld to satisfy employees' tax withholding obligations related to the vesting of restricted stock awards, which was determined based on the fair market value on the vesting date.</w:t>
      </w:r>
    </w:p>
    <w:p>
      <w:pPr>
        <w:ind w:left="660" w:right="420" w:hanging="328"/>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May 2022, the Company's Board of Directors approved a stock repurchase program for the purchase of up to 2.0 million of the Company's common shares outstanding for up to $10.0 million.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240" w:type="dxa"/>
            <w:vAlign w:val="bottom"/>
            <w:tcBorders>
              <w:top w:val="single" w:sz="8" w:color="auto"/>
            </w:tcBorders>
            <w:gridSpan w:val="34"/>
            <w:shd w:val="clear" w:color="auto" w:fill="CCEEFF"/>
          </w:tcPr>
          <w:p>
            <w:pPr>
              <w:spacing w:after="0" w:line="18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Second Amended and Restated Contribution Agreement, dated as of April 17, 2018, by and among Priority Investment Holdings, Priority</w:t>
              </w:r>
            </w:hyperlink>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Incentive Equity Holdings, LLC and M I Acquisitions, Inc. (incorporated by reference to Annex A to the Company's Proxy Statement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0000FF"/>
            </w:tcBorders>
            <w:gridSpan w:val="5"/>
            <w:shd w:val="clear" w:color="auto" w:fill="CCEEFF"/>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Schedule 14(a), filed July 5, 2018).</w:t>
              </w:r>
            </w:hyperlink>
          </w:p>
        </w:tc>
        <w:tc>
          <w:tcPr>
            <w:tcW w:w="7480" w:type="dxa"/>
            <w:vAlign w:val="bottom"/>
            <w:tcBorders>
              <w:bottom w:val="single" w:sz="8" w:color="CCEEFF"/>
            </w:tcBorders>
            <w:gridSpan w:val="18"/>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180" w:type="dxa"/>
            <w:vAlign w:val="bottom"/>
            <w:gridSpan w:val="7"/>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Agreement and Plan of Merger, dated as of March 5, 2021, by and among the Company, Finxera, Merger Sub, and the Equityholder</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rFonts w:ascii="Times New Roman" w:cs="Times New Roman" w:eastAsia="Times New Roman" w:hAnsi="Times New Roman"/>
                <w:sz w:val="18"/>
                <w:szCs w:val="18"/>
                <w:color w:val="0000FF"/>
                <w:w w:val="97"/>
              </w:rPr>
            </w:pPr>
            <w:hyperlink r:id="rId5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0" w:type="dxa"/>
            <w:vAlign w:val="bottom"/>
            <w:tcBorders>
              <w:bottom w:val="single" w:sz="8" w:color="0000FF"/>
            </w:tcBorders>
            <w:gridSpan w:val="20"/>
            <w:shd w:val="clear" w:color="auto" w:fill="CCEEFF"/>
          </w:tcPr>
          <w:p>
            <w:pPr>
              <w:spacing w:after="0" w:line="189"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Certificate of Amendment to the Certificate of Incorporation of Priority Technology Holdings dated April 16, 2021, filed April 29, 2021</w:t>
              </w:r>
            </w:hyperlink>
          </w:p>
        </w:tc>
        <w:tc>
          <w:tcPr>
            <w:tcW w:w="440" w:type="dxa"/>
            <w:vAlign w:val="bottom"/>
            <w:tcBorders>
              <w:bottom w:val="single" w:sz="8" w:color="CCEEFF"/>
            </w:tcBorders>
            <w:gridSpan w:val="14"/>
            <w:shd w:val="clear" w:color="auto" w:fill="CCEEFF"/>
          </w:tcPr>
          <w:p>
            <w:pPr>
              <w:spacing w:after="0"/>
              <w:rPr>
                <w:sz w:val="18"/>
                <w:szCs w:val="18"/>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Agreement and Plan of Merger by and among the Company, Finxera Holdings, Inc., Prime Warrior Acquisition Corp., and Stone Point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Capital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Second Amended and Restated Certificate of Incorporation of Priority Technology Holdings, Inc. (incorporated by reference to Exhibit 3.1</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to the Company's Current Report on Form 8-K, filed July 31,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Bylaws of Priority Technology Holdings, Inc. (incorporated by reference to Exhibit 3.2 to the Company's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8-K, filed July 31,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89" w:lineRule="exact"/>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7"/>
            <w:shd w:val="clear" w:color="auto" w:fill="CCEEFF"/>
          </w:tcPr>
          <w:p>
            <w:pPr>
              <w:spacing w:after="0" w:line="189"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Certificate of Designations of Senior Preferred Stock</w:t>
              </w:r>
            </w:hyperlink>
          </w:p>
        </w:tc>
        <w:tc>
          <w:tcPr>
            <w:tcW w:w="6420" w:type="dxa"/>
            <w:vAlign w:val="bottom"/>
            <w:tcBorders>
              <w:bottom w:val="single" w:sz="8" w:color="CCEEFF"/>
            </w:tcBorders>
            <w:gridSpan w:val="27"/>
            <w:shd w:val="clear" w:color="auto" w:fill="CCEEFF"/>
          </w:tcPr>
          <w:p>
            <w:pPr>
              <w:spacing w:after="0"/>
              <w:rPr>
                <w:sz w:val="18"/>
                <w:szCs w:val="18"/>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Warrant Agreement, dated September 13, 2016, by and between American Stock Transfer &amp; Trust Company, LLC and the Registrant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(incorporated by reference to Exhibit 4.1 to the Current Report on Form 8-K, filed September 16,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Registration Rights Agreement dated as of July 25, 2018 by and among M I Acquisitions, Inc. and the other parties thereto (incorporated</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by reference to Exhibit 10.1 to the Company's Current Report on Form 8-K, filed July 31,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80" w:type="dxa"/>
            <w:vAlign w:val="bottom"/>
            <w:gridSpan w:val="7"/>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Priority Technology Holdings, Inc. 2018 Equity Incentive Plan (incorporated by reference to Exhibit 10.2 to the Company's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Report on Form 8-K, filed July 31, 2018).</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Priority Technology Holdings, Inc. 2021 Employee Stock Purchase Plan</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80" w:type="dxa"/>
            <w:vAlign w:val="bottom"/>
            <w:gridSpan w:val="6"/>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Amendment No. 1 to Priority Technology Holdings, Inc. 2021 Employee Stock Purchase Plan</w:t>
              </w:r>
            </w:hyperlink>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7"/>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Director Agreement by and among Priority Holdings LLC, Pipeline Cynergy Holdings, LLC, Priority Payment Systems Holdings, LLC</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and Thomas C. Priore, dated May 21, 2014 (incorporated by reference to Exhibit 10.6 to the Company's Registration Statement on Form</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S-4/A, filed December 26, 2018).</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Amendment No. 1 to Director Agreement by and among Priority Holdings LLC, Pipeline Cynergy Holdings, LLC, Priority Payment</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Systems Holdings, LLC and Thomas C. Priore, dated April 19, 2018 (incorporated by reference to Exhibit 10.7 to the Company's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76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Registration Statement on Form S-4/A, filed December 26, 2018).</w:t>
              </w:r>
            </w:hyperlink>
          </w:p>
        </w:tc>
        <w:tc>
          <w:tcPr>
            <w:tcW w:w="522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180" w:type="dxa"/>
            <w:vAlign w:val="bottom"/>
            <w:gridSpan w:val="7"/>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Executive Employment Agreement between Priority Technology Holdings, Inc. and Michael Vollkommer, dated December 20, 2018</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(incorporated by reference to Exhibit 10.1 to the Company's Current Report on Form 8-K, filed December 26, 2018).</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Restricted Stock Unit Award Agreement between Priority Technology Holdings, Inc. and Michael Vollkommer, dated December 20, 2018</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(incorporated by reference to Exhibit 10.13 to the Company's Annual Report on Form 10-K, filed March 29, 2019).</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80" w:type="dxa"/>
            <w:vAlign w:val="bottom"/>
            <w:gridSpan w:val="7"/>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w:t>
              </w:r>
            </w:hyperlink>
            <w:r>
              <w:rPr>
                <w:rFonts w:ascii="Arial" w:cs="Arial" w:eastAsia="Arial" w:hAnsi="Arial"/>
                <w:sz w:val="18"/>
                <w:szCs w:val="18"/>
                <w:color w:val="000000"/>
              </w:rPr>
              <w:t>†</w:t>
            </w: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Independent Director Agreement (incorporated by reference to Exhibit 10.19 to the Company's Annual Report on Form 10-K,</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filed March 29,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80" w:type="dxa"/>
            <w:vAlign w:val="bottom"/>
            <w:gridSpan w:val="6"/>
            <w:shd w:val="clear" w:color="auto" w:fill="CCEEFF"/>
          </w:tcPr>
          <w:p>
            <w:pPr>
              <w:ind w:left="20"/>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60" w:type="dxa"/>
            <w:vAlign w:val="bottom"/>
            <w:tcBorders>
              <w:top w:val="single" w:sz="8" w:color="0000FF"/>
              <w:bottom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August 31, 2020 (incorporated by reference to Exhibit 10.1 to the Company's Current Report on Form 8-K filed September 1, 2020).</w:t>
              </w:r>
            </w:hyperlink>
          </w:p>
        </w:tc>
        <w:tc>
          <w:tcPr>
            <w:tcW w:w="66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480" w:type="dxa"/>
            <w:vAlign w:val="bottom"/>
            <w:gridSpan w:val="6"/>
          </w:tcPr>
          <w:p>
            <w:pPr>
              <w:ind w:left="20"/>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34"/>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Support Agreement, dated as of March 5, 2021, by and among the Stockholders and Finxera</w:t>
              </w:r>
            </w:hyperlink>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80" w:type="dxa"/>
            <w:vAlign w:val="bottom"/>
            <w:gridSpan w:val="6"/>
            <w:shd w:val="clear" w:color="auto" w:fill="CCEEFF"/>
          </w:tcPr>
          <w:p>
            <w:pPr>
              <w:ind w:left="20"/>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4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Debt Commitment Letter, dated as of March 5, 2021, between Priority Holdings, LLC and Truist Securities, Inc.</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5"/>
          </w:tcPr>
          <w:p>
            <w:pPr>
              <w:ind w:left="2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740" w:type="dxa"/>
            <w:vAlign w:val="bottom"/>
          </w:tcPr>
          <w:p>
            <w:pPr>
              <w:spacing w:after="0"/>
              <w:rPr>
                <w:sz w:val="17"/>
                <w:szCs w:val="17"/>
                <w:color w:val="auto"/>
              </w:rPr>
            </w:pPr>
          </w:p>
        </w:tc>
        <w:tc>
          <w:tcPr>
            <w:tcW w:w="10100" w:type="dxa"/>
            <w:vAlign w:val="bottom"/>
            <w:gridSpan w:val="1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Preferred Stock Commitment Letter, dated as of March 5, 2021, among the Company and certain affiliates of Ares Capital Management</w:t>
              </w:r>
            </w:hyperlink>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10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Securities Purchase Agreement, dated as of April 27, 2021, among the Company and the Investors named therein</w:t>
              </w:r>
            </w:hyperlink>
          </w:p>
        </w:tc>
      </w:tr>
      <w:tr>
        <w:trPr>
          <w:trHeight w:val="189"/>
        </w:trPr>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3"/>
          </w:tcPr>
          <w:p>
            <w:pPr>
              <w:spacing w:after="0" w:line="189"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w:t>
            </w:r>
          </w:p>
        </w:tc>
        <w:tc>
          <w:tcPr>
            <w:tcW w:w="8140" w:type="dxa"/>
            <w:vAlign w:val="bottom"/>
            <w:tcBorders>
              <w:top w:val="single" w:sz="8" w:color="0000FF"/>
            </w:tcBorders>
            <w:gridSpan w:val="9"/>
          </w:tcPr>
          <w:p>
            <w:pPr>
              <w:spacing w:after="0" w:line="18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Registration Rights Agreement, dated as of April 27, 2021, among the Company and the Investors name therein</w:t>
              </w:r>
            </w:hyperlink>
          </w:p>
        </w:tc>
        <w:tc>
          <w:tcPr>
            <w:tcW w:w="1960" w:type="dxa"/>
            <w:vAlign w:val="bottom"/>
            <w:tcBorders>
              <w:top w:val="single" w:sz="8" w:color="CCEEFF"/>
            </w:tcBorders>
            <w:gridSpan w:val="6"/>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10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Credit Agreement, dated as of April 27, 2021, among the Loan Parties name therein and Truist Bank</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gridSpan w:val="3"/>
          </w:tcPr>
          <w:p>
            <w:pPr>
              <w:spacing w:after="0" w:line="189" w:lineRule="exact"/>
              <w:rPr>
                <w:rFonts w:ascii="Times New Roman" w:cs="Times New Roman" w:eastAsia="Times New Roman" w:hAnsi="Times New Roman"/>
                <w:sz w:val="18"/>
                <w:szCs w:val="18"/>
                <w:color w:val="0000FF"/>
                <w:w w:val="98"/>
              </w:rPr>
            </w:pPr>
            <w:hyperlink r:id="rId7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100" w:type="dxa"/>
            <w:vAlign w:val="bottom"/>
            <w:gridSpan w:val="15"/>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Amendment No. 2, dated September 17, 2021, to the Credit Agreement, dated as of April 27, 2021, by and among the Loan Parties named</w:t>
              </w:r>
            </w:hyperlink>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therein and Truist Bank.</w:t>
              </w:r>
            </w:hyperlink>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1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Restricted Stock Unit Award Agreement</w:t>
            </w:r>
          </w:p>
        </w:tc>
      </w:tr>
      <w:tr>
        <w:trPr>
          <w:trHeight w:val="189"/>
        </w:trPr>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3"/>
          </w:tcPr>
          <w:p>
            <w:pPr>
              <w:spacing w:after="0" w:line="18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340" w:type="dxa"/>
            <w:vAlign w:val="bottom"/>
            <w:tcBorders>
              <w:top w:val="single" w:sz="8" w:color="0000FF"/>
            </w:tcBorders>
            <w:gridSpan w:val="6"/>
          </w:tcPr>
          <w:p>
            <w:pPr>
              <w:spacing w:after="0" w:line="18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Subsidiaries</w:t>
              </w:r>
            </w:hyperlink>
          </w:p>
        </w:tc>
        <w:tc>
          <w:tcPr>
            <w:tcW w:w="6760" w:type="dxa"/>
            <w:vAlign w:val="bottom"/>
            <w:tcBorders>
              <w:top w:val="single" w:sz="8" w:color="CCEEFF"/>
            </w:tcBorders>
            <w:gridSpan w:val="9"/>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31.</w:t>
            </w:r>
            <w:r>
              <w:rPr>
                <w:rFonts w:ascii="Times New Roman" w:cs="Times New Roman" w:eastAsia="Times New Roman" w:hAnsi="Times New Roman"/>
                <w:sz w:val="18"/>
                <w:szCs w:val="18"/>
                <w:u w:val="single" w:color="auto"/>
                <w:color w:val="0000FF"/>
                <w:w w:val="97"/>
              </w:rPr>
              <w:t>1</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w:t>
            </w:r>
          </w:p>
        </w:tc>
        <w:tc>
          <w:tcPr>
            <w:tcW w:w="740" w:type="dxa"/>
            <w:vAlign w:val="bottom"/>
            <w:shd w:val="clear" w:color="auto" w:fill="CCEEFF"/>
          </w:tcPr>
          <w:p>
            <w:pPr>
              <w:spacing w:after="0"/>
              <w:rPr>
                <w:sz w:val="16"/>
                <w:szCs w:val="16"/>
                <w:color w:val="auto"/>
              </w:rPr>
            </w:pPr>
          </w:p>
        </w:tc>
        <w:tc>
          <w:tcPr>
            <w:tcW w:w="101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 and Rule 15d-14(a), promulgated under the Securities and Exchange Act</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 1934, as amended.</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31.</w:t>
            </w:r>
            <w:r>
              <w:rPr>
                <w:rFonts w:ascii="Times New Roman" w:cs="Times New Roman" w:eastAsia="Times New Roman" w:hAnsi="Times New Roman"/>
                <w:sz w:val="18"/>
                <w:szCs w:val="18"/>
                <w:u w:val="single" w:color="auto"/>
                <w:color w:val="0000FF"/>
                <w:w w:val="97"/>
              </w:rPr>
              <w:t>2</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w:t>
            </w:r>
          </w:p>
        </w:tc>
        <w:tc>
          <w:tcPr>
            <w:tcW w:w="740" w:type="dxa"/>
            <w:vAlign w:val="bottom"/>
          </w:tcPr>
          <w:p>
            <w:pPr>
              <w:spacing w:after="0"/>
              <w:rPr>
                <w:sz w:val="16"/>
                <w:szCs w:val="16"/>
                <w:color w:val="auto"/>
              </w:rPr>
            </w:pPr>
          </w:p>
        </w:tc>
        <w:tc>
          <w:tcPr>
            <w:tcW w:w="101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 and Rule 15d-14(a), promulgated under the Securities and Exchange Act</w:t>
            </w:r>
          </w:p>
        </w:tc>
      </w:tr>
      <w:tr>
        <w:trPr>
          <w:trHeight w:val="155"/>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of 1934, as amended.</w:t>
            </w:r>
          </w:p>
        </w:tc>
        <w:tc>
          <w:tcPr>
            <w:tcW w:w="40" w:type="dxa"/>
            <w:vAlign w:val="bottom"/>
            <w:gridSpan w:val="2"/>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 xml:space="preserve">32 </w:t>
            </w:r>
            <w:r>
              <w:rPr>
                <w:rFonts w:ascii="Times New Roman" w:cs="Times New Roman" w:eastAsia="Times New Roman" w:hAnsi="Times New Roman"/>
                <w:sz w:val="18"/>
                <w:szCs w:val="18"/>
                <w:color w:val="000000"/>
              </w:rPr>
              <w:t>**</w:t>
            </w:r>
          </w:p>
        </w:tc>
        <w:tc>
          <w:tcPr>
            <w:tcW w:w="740" w:type="dxa"/>
            <w:vAlign w:val="bottom"/>
            <w:shd w:val="clear" w:color="auto" w:fill="CCEEFF"/>
          </w:tcPr>
          <w:p>
            <w:pPr>
              <w:spacing w:after="0"/>
              <w:rPr>
                <w:sz w:val="16"/>
                <w:szCs w:val="16"/>
                <w:color w:val="auto"/>
              </w:rPr>
            </w:pPr>
          </w:p>
        </w:tc>
        <w:tc>
          <w:tcPr>
            <w:tcW w:w="101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12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101.INS *</w:t>
            </w: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 *</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 *</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 *</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20" w:type="dxa"/>
            <w:vAlign w:val="bottom"/>
          </w:tcPr>
          <w:p>
            <w:pPr>
              <w:spacing w:after="0"/>
              <w:rPr>
                <w:sz w:val="19"/>
                <w:szCs w:val="19"/>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 *</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9"/>
        </w:trPr>
        <w:tc>
          <w:tcPr>
            <w:tcW w:w="2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 *</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6640" w:type="dxa"/>
            <w:vAlign w:val="bottom"/>
            <w:gridSpan w:val="4"/>
          </w:tcPr>
          <w:p>
            <w:pPr>
              <w:ind w:left="164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36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August 9, 2022</w:t>
            </w:r>
          </w:p>
        </w:tc>
        <w:tc>
          <w:tcPr>
            <w:tcW w:w="30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9"/>
        </w:trPr>
        <w:tc>
          <w:tcPr>
            <w:tcW w:w="2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Thomas C. Priore</w:t>
            </w: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82"/>
        </w:trPr>
        <w:tc>
          <w:tcPr>
            <w:tcW w:w="27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5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w:t>
            </w:r>
          </w:p>
        </w:tc>
      </w:tr>
      <w:tr>
        <w:trPr>
          <w:trHeight w:val="236"/>
        </w:trPr>
        <w:tc>
          <w:tcPr>
            <w:tcW w:w="2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33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August 9, 2022</w:t>
            </w:r>
          </w:p>
        </w:tc>
        <w:tc>
          <w:tcPr>
            <w:tcW w:w="308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Michael Vollkommer</w:t>
            </w:r>
          </w:p>
        </w:tc>
      </w:tr>
      <w:tr>
        <w:trPr>
          <w:trHeight w:val="149"/>
        </w:trPr>
        <w:tc>
          <w:tcPr>
            <w:tcW w:w="2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6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7"/>
                <w:szCs w:val="17"/>
                <w:color w:val="auto"/>
              </w:rPr>
              <w:t>Michael Vollkommer</w:t>
            </w:r>
          </w:p>
        </w:tc>
        <w:tc>
          <w:tcPr>
            <w:tcW w:w="1800" w:type="dxa"/>
            <w:vAlign w:val="bottom"/>
          </w:tcPr>
          <w:p>
            <w:pPr>
              <w:spacing w:after="0"/>
              <w:rPr>
                <w:sz w:val="12"/>
                <w:szCs w:val="12"/>
                <w:color w:val="auto"/>
              </w:rPr>
            </w:pPr>
          </w:p>
        </w:tc>
      </w:tr>
      <w:tr>
        <w:trPr>
          <w:trHeight w:val="182"/>
        </w:trPr>
        <w:tc>
          <w:tcPr>
            <w:tcW w:w="27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5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2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21" w:right="3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2018 EQUITY INCENTIVE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182" w:lineRule="exact"/>
        <w:rPr>
          <w:sz w:val="20"/>
          <w:szCs w:val="20"/>
          <w:color w:val="auto"/>
        </w:rPr>
      </w:pPr>
    </w:p>
    <w:p>
      <w:pPr>
        <w:ind w:right="60" w:firstLine="1296"/>
        <w:spacing w:after="0" w:line="229"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made and entered into as of ___ __, 20__ (the “</w:t>
      </w:r>
      <w:r>
        <w:rPr>
          <w:rFonts w:ascii="Times New Roman" w:cs="Times New Roman" w:eastAsia="Times New Roman" w:hAnsi="Times New Roman"/>
          <w:sz w:val="21"/>
          <w:szCs w:val="21"/>
          <w:b w:val="1"/>
          <w:bCs w:val="1"/>
          <w:i w:val="1"/>
          <w:iCs w:val="1"/>
          <w:color w:val="auto"/>
        </w:rPr>
        <w:t>Grant Date</w:t>
      </w:r>
      <w:r>
        <w:rPr>
          <w:rFonts w:ascii="Times New Roman" w:cs="Times New Roman" w:eastAsia="Times New Roman" w:hAnsi="Times New Roman"/>
          <w:sz w:val="21"/>
          <w:szCs w:val="21"/>
          <w:color w:val="auto"/>
        </w:rPr>
        <w:t>”), by and between Priority Technology Holdings,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___________</w:t>
      </w:r>
    </w:p>
    <w:p>
      <w:pPr>
        <w:spacing w:after="0" w:line="1"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Capitalized terms not otherwise defined herein shall have the meanings provided in the Priority Technology Holdings, Inc. 2018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maintains the Plan; and</w:t>
      </w:r>
    </w:p>
    <w:p>
      <w:pPr>
        <w:spacing w:after="0" w:line="179" w:lineRule="exact"/>
        <w:rPr>
          <w:sz w:val="20"/>
          <w:szCs w:val="20"/>
          <w:color w:val="auto"/>
        </w:rPr>
      </w:pPr>
    </w:p>
    <w:p>
      <w:pPr>
        <w:ind w:right="24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grant Restricted Stock Units to the Participant pursuant to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the terms set forth herein;</w:t>
      </w:r>
    </w:p>
    <w:p>
      <w:pPr>
        <w:spacing w:after="0" w:line="146"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in consideration of the mutual covenants and agreements herein contained and other good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valuable consideration, the receipt and sufficiency of which are hereby acknowledged, the parties hereby agree as follows:</w:t>
      </w:r>
    </w:p>
    <w:p>
      <w:pPr>
        <w:spacing w:after="0" w:line="127" w:lineRule="exact"/>
        <w:rPr>
          <w:sz w:val="20"/>
          <w:szCs w:val="20"/>
          <w:color w:val="auto"/>
        </w:rPr>
      </w:pPr>
    </w:p>
    <w:p>
      <w:pPr>
        <w:ind w:left="1960" w:hanging="656"/>
        <w:spacing w:after="0"/>
        <w:tabs>
          <w:tab w:leader="none" w:pos="19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Subject to the conditions set forth in the Plan and this Agreement, the Company grants Participant</w:t>
      </w:r>
    </w:p>
    <w:p>
      <w:pPr>
        <w:spacing w:after="0" w:line="2" w:lineRule="exact"/>
        <w:rPr>
          <w:rFonts w:ascii="Times New Roman" w:cs="Times New Roman" w:eastAsia="Times New Roman" w:hAnsi="Times New Roman"/>
          <w:sz w:val="21"/>
          <w:szCs w:val="21"/>
          <w:color w:val="auto"/>
        </w:rPr>
      </w:pPr>
    </w:p>
    <w:p>
      <w:pPr>
        <w:ind w:right="4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________ shares of Restricted Stock Units, subject to a three-year vesting schedule as further defined in Schedule A and set forth herein.</w:t>
      </w:r>
    </w:p>
    <w:p>
      <w:pPr>
        <w:spacing w:after="0" w:line="14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become vested in the Restricted Stock Units, in accordance with the terms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Schedule A attached hereto.</w:t>
      </w:r>
    </w:p>
    <w:p>
      <w:pPr>
        <w:spacing w:after="0" w:line="155" w:lineRule="exact"/>
        <w:rPr>
          <w:rFonts w:ascii="Times New Roman" w:cs="Times New Roman" w:eastAsia="Times New Roman" w:hAnsi="Times New Roman"/>
          <w:sz w:val="21"/>
          <w:szCs w:val="21"/>
          <w:color w:val="auto"/>
        </w:rPr>
      </w:pPr>
    </w:p>
    <w:p>
      <w:pPr>
        <w:jc w:val="both"/>
        <w:ind w:right="160" w:firstLine="1952"/>
        <w:spacing w:after="0" w:line="220" w:lineRule="auto"/>
        <w:tabs>
          <w:tab w:leader="none" w:pos="258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of the Participant’s Termination of Service on account of the Participant’s death or Disability (as defined below), the Restricted Stock Units shall become one hundred percent (100%) vested. For purposes of this Agreement,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that the Participant would be considered disabled under Section 409A of the Code.</w:t>
      </w:r>
    </w:p>
    <w:p>
      <w:pPr>
        <w:spacing w:after="0" w:line="152" w:lineRule="exact"/>
        <w:rPr>
          <w:rFonts w:ascii="Times New Roman" w:cs="Times New Roman" w:eastAsia="Times New Roman" w:hAnsi="Times New Roman"/>
          <w:sz w:val="22"/>
          <w:szCs w:val="22"/>
          <w:color w:val="auto"/>
        </w:rPr>
      </w:pPr>
    </w:p>
    <w:p>
      <w:pPr>
        <w:jc w:val="both"/>
        <w:ind w:right="300" w:firstLine="1952"/>
        <w:spacing w:after="0" w:line="255" w:lineRule="auto"/>
        <w:tabs>
          <w:tab w:leader="none" w:pos="2589"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Participant’s Termination of Service for any reason, the portion of the Restricted Stock Units in which the Participant has not become vested shall be cancelled and forfeited by the Participant without consideration.</w:t>
      </w:r>
    </w:p>
    <w:p>
      <w:pPr>
        <w:spacing w:after="0" w:line="200" w:lineRule="exact"/>
        <w:rPr>
          <w:rFonts w:ascii="Times New Roman" w:cs="Times New Roman" w:eastAsia="Times New Roman" w:hAnsi="Times New Roman"/>
          <w:sz w:val="21"/>
          <w:szCs w:val="21"/>
          <w:color w:val="auto"/>
        </w:rPr>
      </w:pPr>
    </w:p>
    <w:p>
      <w:pPr>
        <w:spacing w:after="0" w:line="389" w:lineRule="exact"/>
        <w:rPr>
          <w:rFonts w:ascii="Times New Roman" w:cs="Times New Roman" w:eastAsia="Times New Roman" w:hAnsi="Times New Roman"/>
          <w:sz w:val="21"/>
          <w:szCs w:val="21"/>
          <w:color w:val="auto"/>
        </w:rPr>
      </w:pPr>
    </w:p>
    <w:p>
      <w:pPr>
        <w:ind w:right="80" w:firstLine="1304"/>
        <w:spacing w:after="0" w:line="206"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Settlement</w:t>
      </w:r>
      <w:r>
        <w:rPr>
          <w:rFonts w:ascii="Times New Roman" w:cs="Times New Roman" w:eastAsia="Times New Roman" w:hAnsi="Times New Roman"/>
          <w:sz w:val="22"/>
          <w:szCs w:val="22"/>
          <w:color w:val="auto"/>
        </w:rPr>
        <w:t>. The Company shall deliver to the Participant (or, in the event of the Participant’s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death, the Participant’s beneficiary), one (1) share of Company Stock for each Restricted Stock Unit in which the Participant becomes vested in accordance with this Agreement, less any shares withheld for payment of taxes as provided in Section 17 of the Plan. The Participant shall receive cash in lieu of any fractional shares of Company Stock that would otherwise be issuable hereunder. Delivery of such Company Stock and cash, if applicable, shall be made within thirty (30) days following the applicable Vesting Date, but in no event later than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month following the end of the calendar year in which the Vesting Date occurred.</w:t>
      </w:r>
    </w:p>
    <w:p>
      <w:pPr>
        <w:spacing w:after="0" w:line="148" w:lineRule="exact"/>
        <w:rPr>
          <w:rFonts w:ascii="Times New Roman" w:cs="Times New Roman" w:eastAsia="Times New Roman" w:hAnsi="Times New Roman"/>
          <w:sz w:val="22"/>
          <w:szCs w:val="22"/>
          <w:color w:val="auto"/>
        </w:rPr>
      </w:pPr>
    </w:p>
    <w:p>
      <w:pPr>
        <w:ind w:right="560" w:firstLine="1304"/>
        <w:spacing w:after="0" w:line="238"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22"/>
          <w:szCs w:val="22"/>
          <w:color w:val="auto"/>
        </w:rPr>
        <w:t>. The Participant shall not have any voting rights, rights to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or other rights of a stockholder with respect to shares of Company</w:t>
      </w:r>
    </w:p>
    <w:p>
      <w:pPr>
        <w:sectPr>
          <w:pgSz w:w="11900" w:h="16838" w:orient="portrait"/>
          <w:cols w:equalWidth="0" w:num="1">
            <w:col w:w="11240"/>
          </w:cols>
          <w:pgMar w:left="320" w:top="108" w:right="339" w:bottom="1440" w:gutter="0" w:footer="0" w:header="0"/>
        </w:sectPr>
      </w:pPr>
    </w:p>
    <w:bookmarkStart w:id="45" w:name="page46"/>
    <w:bookmarkEnd w:id="45"/>
    <w:p>
      <w:pPr>
        <w:jc w:val="both"/>
        <w:ind w:right="560"/>
        <w:spacing w:after="0" w:line="255" w:lineRule="auto"/>
        <w:rPr>
          <w:sz w:val="20"/>
          <w:szCs w:val="20"/>
          <w:color w:val="auto"/>
        </w:rPr>
      </w:pPr>
      <w:r>
        <w:rPr>
          <w:rFonts w:ascii="Times New Roman" w:cs="Times New Roman" w:eastAsia="Times New Roman" w:hAnsi="Times New Roman"/>
          <w:sz w:val="21"/>
          <w:szCs w:val="21"/>
          <w:color w:val="auto"/>
        </w:rPr>
        <w:t>Stock underlying a Restricted Stock Unit until the Restricted Stock Unit has vested and a share of Company Stock has been issued in settlement thereof and, if applicable, the Participant has satisfied any other conditions imposed by the Committee.</w:t>
      </w:r>
    </w:p>
    <w:p>
      <w:pPr>
        <w:spacing w:after="0" w:line="131" w:lineRule="exact"/>
        <w:rPr>
          <w:sz w:val="20"/>
          <w:szCs w:val="20"/>
          <w:color w:val="auto"/>
        </w:rPr>
      </w:pPr>
    </w:p>
    <w:p>
      <w:pPr>
        <w:ind w:right="100" w:firstLine="1304"/>
        <w:spacing w:after="0" w:line="224" w:lineRule="auto"/>
        <w:tabs>
          <w:tab w:leader="none" w:pos="194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Transferability</w:t>
      </w:r>
      <w:r>
        <w:rPr>
          <w:rFonts w:ascii="Times New Roman" w:cs="Times New Roman" w:eastAsia="Times New Roman" w:hAnsi="Times New Roman"/>
          <w:sz w:val="21"/>
          <w:szCs w:val="21"/>
          <w:color w:val="auto"/>
        </w:rPr>
        <w:t>. Except as permitted by the Committee, in its sole discretion, the Restricted Stock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may not be assigned, alienated, pledged, attached, sold or otherwise transferred or encumbered by the Participant other than by will or by the laws of descent and distribution or, subject to the consent of the Committee, pursuant to a domestic relations order, unless and until the Restricted Stock Units have been settled and the shares of Company Stock underlying the Restricted Stock Units have been issued, and all restrictions applicable to such shares have lapsed, and any such purported assignment, alienation, pledge, attachment, sale, transfer or encumbrance shall be void and unenforceable against the Company;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the designation of a beneficiary shall not constitute an assignment, alienation, pledge, attachment, sale, transfer or encumbrance.</w:t>
      </w:r>
    </w:p>
    <w:p>
      <w:pPr>
        <w:spacing w:after="0" w:line="150" w:lineRule="exact"/>
        <w:rPr>
          <w:rFonts w:ascii="Times New Roman" w:cs="Times New Roman" w:eastAsia="Times New Roman" w:hAnsi="Times New Roman"/>
          <w:sz w:val="21"/>
          <w:szCs w:val="21"/>
          <w:color w:val="auto"/>
        </w:rPr>
      </w:pPr>
    </w:p>
    <w:p>
      <w:pPr>
        <w:jc w:val="both"/>
        <w:ind w:right="120" w:firstLine="1304"/>
        <w:spacing w:after="0" w:line="218"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Participant has reviewed with his or her own tax advisors the federal, state, local and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4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Non-Solicitation of Customers</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I agree that, while I am employed by the Company and for a period of two years following any termination or cessation of such employment (such period, the “</w:t>
      </w:r>
      <w:r>
        <w:rPr>
          <w:rFonts w:ascii="Times New Roman" w:cs="Times New Roman" w:eastAsia="Times New Roman" w:hAnsi="Times New Roman"/>
          <w:sz w:val="22"/>
          <w:szCs w:val="22"/>
          <w:u w:val="single" w:color="auto"/>
          <w:color w:val="auto"/>
        </w:rPr>
        <w:t>Non-Interference Period</w:t>
      </w:r>
      <w:r>
        <w:rPr>
          <w:rFonts w:ascii="Times New Roman" w:cs="Times New Roman" w:eastAsia="Times New Roman" w:hAnsi="Times New Roman"/>
          <w:sz w:val="22"/>
          <w:szCs w:val="22"/>
          <w:color w:val="auto"/>
        </w:rPr>
        <w:t>”), I shall not solicit, divert, or take away, or attempt to divert or take away, the business or patronage of any of the referral sources, clients, customers, or accounts of the Company for the purpose of selling or providing any products or services competitive with the Business.</w:t>
      </w:r>
    </w:p>
    <w:p>
      <w:pPr>
        <w:spacing w:after="0" w:line="148" w:lineRule="exact"/>
        <w:rPr>
          <w:sz w:val="20"/>
          <w:szCs w:val="20"/>
          <w:color w:val="auto"/>
        </w:rPr>
      </w:pPr>
    </w:p>
    <w:p>
      <w:pPr>
        <w:ind w:right="20" w:firstLine="1304"/>
        <w:spacing w:after="0" w:line="232" w:lineRule="auto"/>
        <w:tabs>
          <w:tab w:leader="none" w:pos="194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w:t>
      </w:r>
      <w:r>
        <w:rPr>
          <w:rFonts w:ascii="Times New Roman" w:cs="Times New Roman" w:eastAsia="Times New Roman" w:hAnsi="Times New Roman"/>
          <w:sz w:val="21"/>
          <w:szCs w:val="21"/>
          <w:color w:val="auto"/>
        </w:rPr>
        <w:t>. The terms and provisions of the Plan are incorporated herein by reference,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Participant hereby acknowledges receiving a copy of the Plan and represents that the Participant is familiar with the terms and provisions thereof. The Participant accepts this Award subject to all of the terms and conditions of the Plan. In the event of a conflict or inconsistency between the terms of the Plan and the terms of this Agreement, the Plan shall govern and control.</w:t>
      </w:r>
    </w:p>
    <w:p>
      <w:pPr>
        <w:spacing w:after="0" w:line="146" w:lineRule="exact"/>
        <w:rPr>
          <w:rFonts w:ascii="Times New Roman" w:cs="Times New Roman" w:eastAsia="Times New Roman" w:hAnsi="Times New Roman"/>
          <w:sz w:val="21"/>
          <w:szCs w:val="21"/>
          <w:color w:val="auto"/>
        </w:rPr>
      </w:pPr>
    </w:p>
    <w:p>
      <w:pPr>
        <w:ind w:right="80" w:firstLine="1304"/>
        <w:spacing w:after="0" w:line="216"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color w:val="auto"/>
        </w:rPr>
        <w:t>. The issuance of the RSUs (and the Shares upon settlement of the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or regulation applicable thereto. The Company shall not be obligated to issue the RSUs or any of the Shares pursuant to this Agreement if any such issuance would violate any such requirements.</w:t>
      </w:r>
    </w:p>
    <w:p>
      <w:pPr>
        <w:spacing w:after="0" w:line="145" w:lineRule="exact"/>
        <w:rPr>
          <w:rFonts w:ascii="Times New Roman" w:cs="Times New Roman" w:eastAsia="Times New Roman" w:hAnsi="Times New Roman"/>
          <w:sz w:val="22"/>
          <w:szCs w:val="22"/>
          <w:color w:val="auto"/>
        </w:rPr>
      </w:pPr>
    </w:p>
    <w:p>
      <w:pPr>
        <w:ind w:right="500" w:firstLine="1304"/>
        <w:spacing w:after="0" w:line="238"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Captions</w:t>
      </w:r>
      <w:r>
        <w:rPr>
          <w:rFonts w:ascii="Times New Roman" w:cs="Times New Roman" w:eastAsia="Times New Roman" w:hAnsi="Times New Roman"/>
          <w:sz w:val="22"/>
          <w:szCs w:val="22"/>
          <w:color w:val="auto"/>
        </w:rPr>
        <w:t>. The captions in this Agreement are for convenience of reference only and shall not limit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affect the meaning of terms contained herein.</w:t>
      </w:r>
    </w:p>
    <w:p>
      <w:pPr>
        <w:spacing w:after="0" w:line="146" w:lineRule="exact"/>
        <w:rPr>
          <w:rFonts w:ascii="Times New Roman" w:cs="Times New Roman" w:eastAsia="Times New Roman" w:hAnsi="Times New Roman"/>
          <w:sz w:val="22"/>
          <w:szCs w:val="22"/>
          <w:color w:val="auto"/>
        </w:rPr>
      </w:pPr>
    </w:p>
    <w:p>
      <w:pPr>
        <w:ind w:right="100" w:firstLine="1304"/>
        <w:spacing w:after="0" w:line="221" w:lineRule="auto"/>
        <w:tabs>
          <w:tab w:leader="none" w:pos="19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together with the Plan, as either of the foregoing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supplemented in accordance with their terms, constitutes the entire agreement and understanding of the parties hereto with respect to the subject matter contained herein and therein, and supersedes all prior communications, representations and negotiations in respect thereto.</w:t>
      </w:r>
    </w:p>
    <w:p>
      <w:pPr>
        <w:sectPr>
          <w:pgSz w:w="11900" w:h="16838" w:orient="portrait"/>
          <w:cols w:equalWidth="0" w:num="1">
            <w:col w:w="11240"/>
          </w:cols>
          <w:pgMar w:left="320" w:top="1395" w:right="339" w:bottom="1440" w:gutter="0" w:footer="0" w:header="0"/>
        </w:sectPr>
      </w:pPr>
    </w:p>
    <w:bookmarkStart w:id="46" w:name="page47"/>
    <w:bookmarkEnd w:id="46"/>
    <w:p>
      <w:pPr>
        <w:ind w:left="-1120" w:right="20" w:firstLine="1304"/>
        <w:spacing w:after="0" w:line="221" w:lineRule="auto"/>
        <w:tabs>
          <w:tab w:leader="none" w:pos="8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terms of this Agreement shall inure to the benefit of and be binding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and their respective heirs, successors and permitted assigns. The Participant may not assign any of the rights or obligations under this Agreement without the prior written consent of the Company. The Company may assign its rights and obligations to another entity which will succeed to all or substantially all of the assets and business of the Company.</w:t>
      </w:r>
    </w:p>
    <w:p>
      <w:pPr>
        <w:spacing w:after="0" w:line="148" w:lineRule="exact"/>
        <w:rPr>
          <w:rFonts w:ascii="Times New Roman" w:cs="Times New Roman" w:eastAsia="Times New Roman" w:hAnsi="Times New Roman"/>
          <w:sz w:val="22"/>
          <w:szCs w:val="22"/>
          <w:color w:val="auto"/>
        </w:rPr>
      </w:pPr>
    </w:p>
    <w:p>
      <w:pPr>
        <w:ind w:left="-1120" w:firstLine="1304"/>
        <w:spacing w:after="0" w:line="218" w:lineRule="auto"/>
        <w:tabs>
          <w:tab w:leader="none" w:pos="8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and Waivers</w:t>
      </w:r>
      <w:r>
        <w:rPr>
          <w:rFonts w:ascii="Times New Roman" w:cs="Times New Roman" w:eastAsia="Times New Roman" w:hAnsi="Times New Roman"/>
          <w:sz w:val="22"/>
          <w:szCs w:val="22"/>
          <w:color w:val="auto"/>
        </w:rPr>
        <w:t>. The Board may, at any time, suspend or terminate this Agreement or revise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it in any respect whatsoever provided however, that no amendment, suspension or termination will materially and adversely affect the rights of any Participant under this Award Agreement or the Plan without the consent of the Participant. Waivers or consents to departures from the provisions hereof may not be given if they materially and adversely affect the rights of any Participant under this Award Agreement or the Plan without the consent of the Participant.</w:t>
      </w:r>
    </w:p>
    <w:p>
      <w:pPr>
        <w:spacing w:after="0" w:line="147" w:lineRule="exact"/>
        <w:rPr>
          <w:rFonts w:ascii="Times New Roman" w:cs="Times New Roman" w:eastAsia="Times New Roman" w:hAnsi="Times New Roman"/>
          <w:sz w:val="22"/>
          <w:szCs w:val="22"/>
          <w:color w:val="auto"/>
        </w:rPr>
      </w:pPr>
    </w:p>
    <w:p>
      <w:pPr>
        <w:ind w:left="-1120" w:right="120" w:firstLine="1304"/>
        <w:spacing w:after="0" w:line="227" w:lineRule="auto"/>
        <w:tabs>
          <w:tab w:leader="none" w:pos="8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any provision of this Agreement shall be held illegal or invalid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such illegality or invalidity shall not affect the remaining parts of this Agreement, and this Agreement shall be construed and enforced as if the illegal or invalid provision had not been included.</w:t>
      </w:r>
    </w:p>
    <w:p>
      <w:pPr>
        <w:spacing w:after="0" w:line="146" w:lineRule="exact"/>
        <w:rPr>
          <w:rFonts w:ascii="Times New Roman" w:cs="Times New Roman" w:eastAsia="Times New Roman" w:hAnsi="Times New Roman"/>
          <w:sz w:val="22"/>
          <w:szCs w:val="22"/>
          <w:color w:val="auto"/>
        </w:rPr>
      </w:pPr>
    </w:p>
    <w:p>
      <w:pPr>
        <w:ind w:left="-1120" w:right="380" w:firstLine="1304"/>
        <w:spacing w:after="0" w:line="238" w:lineRule="auto"/>
        <w:tabs>
          <w:tab w:leader="none" w:pos="8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signed in counterparts, each which shall constitute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same effect as if the signatures thereto and hereto were upon the same instrument.</w:t>
      </w:r>
    </w:p>
    <w:p>
      <w:pPr>
        <w:spacing w:after="0" w:line="146" w:lineRule="exact"/>
        <w:rPr>
          <w:rFonts w:ascii="Times New Roman" w:cs="Times New Roman" w:eastAsia="Times New Roman" w:hAnsi="Times New Roman"/>
          <w:sz w:val="22"/>
          <w:szCs w:val="22"/>
          <w:color w:val="auto"/>
        </w:rPr>
      </w:pPr>
    </w:p>
    <w:p>
      <w:pPr>
        <w:ind w:left="-1120" w:right="40" w:firstLine="1304"/>
        <w:spacing w:after="0" w:line="224" w:lineRule="auto"/>
        <w:tabs>
          <w:tab w:leader="none" w:pos="82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required to be given or delivered to the Company under the terms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in writing and addressed to the General Counsel and the Secretary of the Company at its principal corporate offices. Any notice required to be given or delivered to the Participant shall be in writing and addressed to the Participant at the address listed in the Company’s personnel files or to such other address as the Participant may designate in writing from time to time to the Company. All notices shall be deemed to have been given or delivered upon: personal delivery, three (3) days after deposit in the United States mail by certified or registered mail (return receipt requested), one business day after deposit with any return receipt express courier (prepaid), or one business day after transmission by facsimile.</w:t>
      </w:r>
    </w:p>
    <w:p>
      <w:pPr>
        <w:spacing w:after="0" w:line="150" w:lineRule="exact"/>
        <w:rPr>
          <w:rFonts w:ascii="Times New Roman" w:cs="Times New Roman" w:eastAsia="Times New Roman" w:hAnsi="Times New Roman"/>
          <w:sz w:val="21"/>
          <w:szCs w:val="21"/>
          <w:color w:val="auto"/>
        </w:rPr>
      </w:pPr>
    </w:p>
    <w:p>
      <w:pPr>
        <w:ind w:left="-1120" w:right="20" w:firstLine="1304"/>
        <w:spacing w:after="0" w:line="259" w:lineRule="auto"/>
        <w:tabs>
          <w:tab w:leader="none" w:pos="82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Except to the extent preempted by any applicable federal law, the Plan shall be construed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administered in accordance with the laws of the State of Delaware without reference to its principles of conflicts of law.</w:t>
      </w:r>
    </w:p>
    <w:p>
      <w:pPr>
        <w:spacing w:after="0" w:line="126" w:lineRule="exact"/>
        <w:rPr>
          <w:rFonts w:ascii="Times New Roman" w:cs="Times New Roman" w:eastAsia="Times New Roman" w:hAnsi="Times New Roman"/>
          <w:sz w:val="21"/>
          <w:szCs w:val="21"/>
          <w:color w:val="auto"/>
        </w:rPr>
      </w:pPr>
    </w:p>
    <w:p>
      <w:pPr>
        <w:ind w:left="-1120" w:firstLine="1304"/>
        <w:spacing w:after="0" w:line="213" w:lineRule="auto"/>
        <w:tabs>
          <w:tab w:leader="none" w:pos="8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to Jurisdiction</w:t>
      </w:r>
      <w:r>
        <w:rPr>
          <w:rFonts w:ascii="Times New Roman" w:cs="Times New Roman" w:eastAsia="Times New Roman" w:hAnsi="Times New Roman"/>
          <w:sz w:val="22"/>
          <w:szCs w:val="22"/>
          <w:color w:val="auto"/>
        </w:rPr>
        <w:t>. Each of the parties hereto hereby irrevocably and unconditionally agrees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suit or proceeding, at law or equity, arising out of or relating to the Plan, this Agreement or any agreements or transactions contemplated hereby shall only be brought in any federal court of the Northern District of Georgia or any state court located in Fulton County, State of Georgia, and hereby irrevocably and unconditionally expressly submits to the personal jurisdiction and venue of such courts for the purposes thereof and hereby irrevocably and unconditionally waives (by way of motion, as a defense or otherwise) any and all jurisdictional, venue and convenience objections or defenses that such party may have in such action, suit or proceeding. Each party hereby irrevocably and unconditionally consents to the service of process of any of the aforementioned courts.</w:t>
      </w:r>
    </w:p>
    <w:p>
      <w:pPr>
        <w:spacing w:after="0" w:line="147" w:lineRule="exact"/>
        <w:rPr>
          <w:rFonts w:ascii="Times New Roman" w:cs="Times New Roman" w:eastAsia="Times New Roman" w:hAnsi="Times New Roman"/>
          <w:sz w:val="22"/>
          <w:szCs w:val="22"/>
          <w:color w:val="auto"/>
        </w:rPr>
      </w:pPr>
    </w:p>
    <w:p>
      <w:pPr>
        <w:ind w:left="-1120" w:firstLine="1304"/>
        <w:spacing w:after="0" w:line="216" w:lineRule="auto"/>
        <w:tabs>
          <w:tab w:leader="none" w:pos="8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THE PARTIES HERETO HEREBY WAIVE, TO THE EXTENT PERMITTED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TRIAL BY JURY IN ANY LITIGATION IN ANY COURT WITH RESPECT TO, IN CONNECTION WITH, OR ARISING OUT OF THIS AGREEMENT OR THE VALIDITY, INTERPRETATION OR ENFORCEMENT HEREOF. THE PARTIES HERETO AGREE THAT THIS SECTION IS A SPECIFIC AND MATERIAL ASPECT OF THIS AGREEMENT AND WOULD NOT ENTER INTO THIS AGREEMENT IF THIS SECTION WERE NOT PART OF THIS AGREEMENT.</w:t>
      </w:r>
    </w:p>
    <w:p>
      <w:pPr>
        <w:sectPr>
          <w:pgSz w:w="11900" w:h="16838" w:orient="portrait"/>
          <w:cols w:equalWidth="0" w:num="1">
            <w:col w:w="10100"/>
          </w:cols>
          <w:pgMar w:left="1440" w:top="1391" w:right="359" w:bottom="1440" w:gutter="0" w:footer="0" w:header="0"/>
        </w:sectPr>
      </w:pPr>
    </w:p>
    <w:bookmarkStart w:id="47" w:name="page48"/>
    <w:bookmarkEnd w:id="47"/>
    <w:p>
      <w:pPr>
        <w:jc w:val="both"/>
        <w:ind w:left="-60" w:right="200" w:firstLine="1304"/>
        <w:spacing w:after="0" w:line="221" w:lineRule="auto"/>
        <w:tabs>
          <w:tab w:leader="none" w:pos="18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Employment Rights</w:t>
      </w:r>
      <w:r>
        <w:rPr>
          <w:rFonts w:ascii="Times New Roman" w:cs="Times New Roman" w:eastAsia="Times New Roman" w:hAnsi="Times New Roman"/>
          <w:sz w:val="22"/>
          <w:szCs w:val="22"/>
          <w:color w:val="auto"/>
        </w:rPr>
        <w:t>. The Participant understands and agrees that this Agreement does not impact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way the right of the Company or its Affiliates to terminate or change the terms of the employment of the Participant at any time for any reason whatsoever, with or without cause, nor confer upon any right to continue in the employ of the Company or any of its Affiliates.</w:t>
      </w:r>
    </w:p>
    <w:p>
      <w:pPr>
        <w:spacing w:after="0" w:line="148" w:lineRule="exact"/>
        <w:rPr>
          <w:rFonts w:ascii="Times New Roman" w:cs="Times New Roman" w:eastAsia="Times New Roman" w:hAnsi="Times New Roman"/>
          <w:sz w:val="22"/>
          <w:szCs w:val="22"/>
          <w:color w:val="auto"/>
        </w:rPr>
      </w:pPr>
    </w:p>
    <w:p>
      <w:pPr>
        <w:ind w:left="-60" w:right="260" w:firstLine="1304"/>
        <w:spacing w:after="0" w:line="216" w:lineRule="auto"/>
        <w:tabs>
          <w:tab w:leader="none" w:pos="18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the Participant is subject to Section 16 of the Exchange Act, the Plan, the Restricted Stock Units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5" w:lineRule="exact"/>
        <w:rPr>
          <w:rFonts w:ascii="Times New Roman" w:cs="Times New Roman" w:eastAsia="Times New Roman" w:hAnsi="Times New Roman"/>
          <w:sz w:val="22"/>
          <w:szCs w:val="22"/>
          <w:color w:val="auto"/>
        </w:rPr>
      </w:pPr>
    </w:p>
    <w:p>
      <w:pPr>
        <w:ind w:left="-60" w:firstLine="1304"/>
        <w:spacing w:after="0" w:line="221" w:lineRule="auto"/>
        <w:tabs>
          <w:tab w:leader="none" w:pos="18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color w:val="auto"/>
        </w:rPr>
        <w:t>. The Restricted Stock Units are subject to the terms of the Company’s recoupment, clawback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5"/>
          <w:szCs w:val="25"/>
          <w:b w:val="1"/>
          <w:bCs w:val="1"/>
          <w:i w:val="1"/>
          <w:iCs w:val="1"/>
          <w:color w:val="auto"/>
        </w:rPr>
        <w:t>]</w:t>
      </w:r>
    </w:p>
    <w:p>
      <w:pPr>
        <w:sectPr>
          <w:pgSz w:w="11900" w:h="16838" w:orient="portrait"/>
          <w:cols w:equalWidth="0" w:num="1">
            <w:col w:w="11140"/>
          </w:cols>
          <w:pgMar w:left="380" w:top="1391" w:right="379" w:bottom="1440" w:gutter="0" w:footer="0" w:header="0"/>
        </w:sectPr>
      </w:pPr>
    </w:p>
    <w:bookmarkStart w:id="48" w:name="page49"/>
    <w:bookmarkEnd w:id="48"/>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first date set forth above.</w:t>
      </w:r>
    </w:p>
    <w:p>
      <w:pPr>
        <w:sectPr>
          <w:pgSz w:w="11900" w:h="16838" w:orient="portrait"/>
          <w:cols w:equalWidth="0" w:num="1">
            <w:col w:w="9900"/>
          </w:cols>
          <w:pgMar w:left="1440" w:top="139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b w:val="1"/>
          <w:bCs w:val="1"/>
          <w:color w:val="auto"/>
        </w:rPr>
        <w:t>PRIORITY TECHNOLOGY HOLDINGS, INC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-5715</wp:posOffset>
            </wp:positionV>
            <wp:extent cx="274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36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-151130</wp:posOffset>
            </wp:positionV>
            <wp:extent cx="274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9900"/>
          </w:cols>
          <w:pgMar w:left="1440" w:top="1391" w:right="55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 to Restricted Stock Unit Award Agreement</w:t>
      </w:r>
    </w:p>
    <w:p>
      <w:pPr>
        <w:spacing w:after="0" w:line="17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Vesting Schedule For 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57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Vesting Schedule*</w:t>
            </w:r>
          </w:p>
        </w:tc>
      </w:tr>
    </w:tbl>
    <w:p>
      <w:pPr>
        <w:spacing w:after="0" w:line="200" w:lineRule="exact"/>
        <w:rPr>
          <w:sz w:val="20"/>
          <w:szCs w:val="20"/>
          <w:color w:val="auto"/>
        </w:rPr>
      </w:pPr>
    </w:p>
    <w:p>
      <w:pPr>
        <w:spacing w:after="0" w:line="31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*Participant must be employed by the Company on each Vesting Date to be eligible to receive the Restricted Stock Units for each applicable Grant Date.</w:t>
      </w:r>
    </w:p>
    <w:p>
      <w:pPr>
        <w:sectPr>
          <w:pgSz w:w="11900" w:h="16838" w:orient="portrait"/>
          <w:cols w:equalWidth="0" w:num="1">
            <w:col w:w="11240"/>
          </w:cols>
          <w:pgMar w:left="320" w:top="139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1020"/>
        <w:spacing w:after="0"/>
        <w:tabs>
          <w:tab w:leader="none" w:pos="642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36944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Vollkommer, certify that:</w:t>
      </w:r>
    </w:p>
    <w:p>
      <w:pPr>
        <w:spacing w:after="0" w:line="25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120"/>
        <w:spacing w:after="0"/>
        <w:tabs>
          <w:tab w:leader="none" w:pos="744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0600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T. Vollkommer</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Priority Technology Holdings, Inc. (the "Company") for the quarter ended June 30, 2022 as filed with the Securities and Exchange Commission (the "Report"), each of the undersigned, on the dates indicated below, hereby certifies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42005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Michael T. Vollkommer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lvl w:ilvl="1">
      <w:lvlJc w:val="left"/>
      <w:lvlText w:val="(%2)"/>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decimal"/>
      <w:start w:val="8"/>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decimal"/>
      <w:start w:val="20"/>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73"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52" Type="http://schemas.openxmlformats.org/officeDocument/2006/relationships/hyperlink" Target="https://www.sec.gov/Archives/edgar/data/1653558/000161577418006226/s111183_defm14a.htm" TargetMode="External"/><Relationship Id="rId53" Type="http://schemas.openxmlformats.org/officeDocument/2006/relationships/hyperlink" Target="https://www.sec.gov/Archives/edgar/data/1653558/000165355821000031/projectwarriorfinxera-merg.htm" TargetMode="External"/><Relationship Id="rId54" Type="http://schemas.openxmlformats.org/officeDocument/2006/relationships/hyperlink" Target="https://www.sec.gov/Archives/edgar/data/1653558/000165355821000060/annex1certificateofamendme.htm" TargetMode="External"/><Relationship Id="rId55" Type="http://schemas.openxmlformats.org/officeDocument/2006/relationships/hyperlink" Target="https://www.sec.gov/Archives/edgar/data/0001653558/000165355821000031/projectwarriorfinxera-merg.htm" TargetMode="External"/><Relationship Id="rId56" Type="http://schemas.openxmlformats.org/officeDocument/2006/relationships/hyperlink" Target="http://www.sec.gov/Archives/edgar/data/1653558/000161577418007231/s111606_ex3-1.htm" TargetMode="External"/><Relationship Id="rId57" Type="http://schemas.openxmlformats.org/officeDocument/2006/relationships/hyperlink" Target="http://www.sec.gov/Archives/edgar/data/1653558/000161577418007231/s111606_ex3-2.htm" TargetMode="External"/><Relationship Id="rId58" Type="http://schemas.openxmlformats.org/officeDocument/2006/relationships/hyperlink" Target="https://www.sec.gov/Archives/edgar/data/0001653558/000165355821000065/exhibit31-priorityxcertifi.htm" TargetMode="External"/><Relationship Id="rId59" Type="http://schemas.openxmlformats.org/officeDocument/2006/relationships/hyperlink" Target="http://www.sec.gov/Archives/edgar/data/1653558/000161577416007233/s104127_ex4-1.htm" TargetMode="External"/><Relationship Id="rId60" Type="http://schemas.openxmlformats.org/officeDocument/2006/relationships/hyperlink" Target="http://www.sec.gov/Archives/edgar/data/1653558/000161577418007231/s111606_ex10-1.htm" TargetMode="External"/><Relationship Id="rId61" Type="http://schemas.openxmlformats.org/officeDocument/2006/relationships/hyperlink" Target="http://www.sec.gov/Archives/edgar/data/1653558/000161577418007231/s111606_ex10-2.htm" TargetMode="External"/><Relationship Id="rId62" Type="http://schemas.openxmlformats.org/officeDocument/2006/relationships/hyperlink" Target="https://www.sec.gov/Archives/edgar/data/0001653558/000165355821000101/ex1021prioritytechnologyq2.htm" TargetMode="External"/><Relationship Id="rId63" Type="http://schemas.openxmlformats.org/officeDocument/2006/relationships/hyperlink" Target="https://www.sec.gov/Archives/edgar/data/1653558/000165355822000028/prioritytechnology-ex1031x.htm" TargetMode="External"/><Relationship Id="rId64" Type="http://schemas.openxmlformats.org/officeDocument/2006/relationships/hyperlink" Target="https://www.sec.gov/Archives/edgar/data/0001653558/000165355821000065/exhibit103-prioritypayment.htm" TargetMode="External"/><Relationship Id="rId65" Type="http://schemas.openxmlformats.org/officeDocument/2006/relationships/hyperlink" Target="http://www.sec.gov/Archives/edgar/data/1653558/000161577418014981/s114881_ex10-6.htm" TargetMode="External"/><Relationship Id="rId66" Type="http://schemas.openxmlformats.org/officeDocument/2006/relationships/hyperlink" Target="http://www.sec.gov/Archives/edgar/data/1653558/000161577418014981/s114881_ex10-7.htm" TargetMode="External"/><Relationship Id="rId67" Type="http://schemas.openxmlformats.org/officeDocument/2006/relationships/hyperlink" Target="http://www.sec.gov/Archives/edgar/data/1653558/000161577418014966/s114910_ex10-1.htm" TargetMode="External"/><Relationship Id="rId68" Type="http://schemas.openxmlformats.org/officeDocument/2006/relationships/hyperlink" Target="http://www.sec.gov/Archives/edgar/data/1653558/000162828019003666/prioritytechnology-ex1013.htm" TargetMode="External"/><Relationship Id="rId69" Type="http://schemas.openxmlformats.org/officeDocument/2006/relationships/hyperlink" Target="http://www.sec.gov/Archives/edgar/data/1653558/000162828019003666/prioritytechnology-ex1019.htm" TargetMode="External"/><Relationship Id="rId70" Type="http://schemas.openxmlformats.org/officeDocument/2006/relationships/hyperlink" Target="https://www.sec.gov/Archives/edgar/data/1653558/000165355820000148/assetpurchaseagreement.htm" TargetMode="External"/><Relationship Id="rId71" Type="http://schemas.openxmlformats.org/officeDocument/2006/relationships/hyperlink" Target="https://www.sec.gov/Archives/edgar/data/0001653558/000165355821000031/exhibith-supportagreemente.htm" TargetMode="External"/><Relationship Id="rId72" Type="http://schemas.openxmlformats.org/officeDocument/2006/relationships/hyperlink" Target="https://www.sec.gov/Archives/edgar/data/0001653558/000165355821000031/priorityprojectwarrior-tru.htm" TargetMode="External"/><Relationship Id="rId74" Type="http://schemas.openxmlformats.org/officeDocument/2006/relationships/hyperlink" Target="https://www.sec.gov/Archives/edgar/data/0001653558/000165355821000031/priority-arespreferredcomm.htm" TargetMode="External"/><Relationship Id="rId75" Type="http://schemas.openxmlformats.org/officeDocument/2006/relationships/hyperlink" Target="https://www.sec.gov/Archives/edgar/data/0001653558/000165355821000065/exhibit101-priorityxpurcha.htm" TargetMode="External"/><Relationship Id="rId76" Type="http://schemas.openxmlformats.org/officeDocument/2006/relationships/hyperlink" Target="https://www.sec.gov/Archives/edgar/data/0001653558/000165355821000065/exhibit102-priorityxregist.htm" TargetMode="External"/><Relationship Id="rId77" Type="http://schemas.openxmlformats.org/officeDocument/2006/relationships/hyperlink" Target="https://www.sec.gov/Archives/edgar/data/0001653558/000165355821000114/prioritypayments-secondame.htm" TargetMode="External"/><Relationship Id="rId78" Type="http://schemas.openxmlformats.org/officeDocument/2006/relationships/hyperlink" Target="https://www.sec.gov/Archives/edgar/data/1653558/000165355822000028/prioritytechnology-ex211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2022-08-09T07:21:49Z</dcterms:created>
  <dcterms:modified xsi:type="dcterms:W3CDTF">2022-08-09T07:21:49Z</dcterms:modified>
</cp:coreProperties>
</file>