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1" w:lineRule="exact"/>
        <w:rPr>
          <w:sz w:val="24"/>
          <w:szCs w:val="24"/>
          <w:color w:val="auto"/>
        </w:rPr>
      </w:pPr>
    </w:p>
    <w:p>
      <w:pPr>
        <w:ind w:left="3920" w:right="1020" w:hanging="2883"/>
        <w:spacing w:after="0" w:line="486" w:lineRule="auto"/>
        <w:tabs>
          <w:tab w:leader="none" w:pos="141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25" w:lineRule="exact"/>
        <w:rPr>
          <w:rFonts w:ascii="MS PGothic" w:cs="MS PGothic" w:eastAsia="MS PGothic" w:hAnsi="MS PGothic"/>
          <w:sz w:val="18"/>
          <w:szCs w:val="18"/>
          <w:color w:val="auto"/>
        </w:rPr>
      </w:pPr>
    </w:p>
    <w:p>
      <w:pPr>
        <w:ind w:left="1180" w:hanging="261"/>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1" w:lineRule="exact"/>
        <w:rPr>
          <w:rFonts w:ascii="MS PGothic" w:cs="MS PGothic" w:eastAsia="MS PGothic" w:hAnsi="MS PGothic"/>
          <w:sz w:val="18"/>
          <w:szCs w:val="18"/>
          <w:color w:val="auto"/>
        </w:rPr>
      </w:pPr>
    </w:p>
    <w:p>
      <w:pPr>
        <w:ind w:left="35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transition period from ____________ to __________</w:t>
      </w:r>
    </w:p>
    <w:p>
      <w:pPr>
        <w:spacing w:after="0" w:line="282"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53975</wp:posOffset>
            </wp:positionV>
            <wp:extent cx="2537460" cy="1174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3420" w:type="dxa"/>
            <w:vAlign w:val="bottom"/>
            <w:tcBorders>
              <w:bottom w:val="single" w:sz="8" w:color="auto"/>
            </w:tcBorders>
          </w:tcPr>
          <w:p>
            <w:pPr>
              <w:jc w:val="center"/>
              <w:ind w:left="113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b w:val="1"/>
                <w:bCs w:val="1"/>
                <w:color w:val="auto"/>
              </w:rPr>
              <w:t>47-4257046</w:t>
            </w:r>
          </w:p>
        </w:tc>
      </w:tr>
      <w:tr>
        <w:trPr>
          <w:trHeight w:val="196"/>
        </w:trPr>
        <w:tc>
          <w:tcPr>
            <w:tcW w:w="3420" w:type="dxa"/>
            <w:vAlign w:val="bottom"/>
          </w:tcPr>
          <w:p>
            <w:pPr>
              <w:jc w:val="center"/>
              <w:ind w:left="1134"/>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420" w:type="dxa"/>
            <w:vAlign w:val="bottom"/>
          </w:tcPr>
          <w:p>
            <w:pPr>
              <w:jc w:val="center"/>
              <w:ind w:left="1134"/>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65"/>
        </w:trPr>
        <w:tc>
          <w:tcPr>
            <w:tcW w:w="3420" w:type="dxa"/>
            <w:vAlign w:val="bottom"/>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56"/>
        </w:trPr>
        <w:tc>
          <w:tcPr>
            <w:tcW w:w="3420" w:type="dxa"/>
            <w:vAlign w:val="bottom"/>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257"/>
        </w:trPr>
        <w:tc>
          <w:tcPr>
            <w:tcW w:w="3420" w:type="dxa"/>
            <w:vAlign w:val="bottom"/>
          </w:tcPr>
          <w:p>
            <w:pPr>
              <w:jc w:val="center"/>
              <w:ind w:right="254"/>
              <w:spacing w:after="0"/>
              <w:rPr>
                <w:sz w:val="20"/>
                <w:szCs w:val="20"/>
                <w:color w:val="auto"/>
              </w:rPr>
            </w:pPr>
            <w:r>
              <w:rPr>
                <w:rFonts w:ascii="Times New Roman" w:cs="Times New Roman" w:eastAsia="Times New Roman" w:hAnsi="Times New Roman"/>
                <w:sz w:val="18"/>
                <w:szCs w:val="18"/>
                <w:b w:val="1"/>
                <w:bCs w:val="1"/>
                <w:color w:val="auto"/>
                <w:w w:val="99"/>
              </w:rPr>
              <w:t>Alpharetta,</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160" w:type="dxa"/>
            <w:vAlign w:val="bottom"/>
          </w:tcPr>
          <w:p>
            <w:pPr>
              <w:jc w:val="right"/>
              <w:ind w:right="1275"/>
              <w:spacing w:after="0"/>
              <w:rPr>
                <w:sz w:val="20"/>
                <w:szCs w:val="20"/>
                <w:color w:val="auto"/>
              </w:rPr>
            </w:pPr>
            <w:r>
              <w:rPr>
                <w:rFonts w:ascii="Times New Roman" w:cs="Times New Roman" w:eastAsia="Times New Roman" w:hAnsi="Times New Roman"/>
                <w:sz w:val="18"/>
                <w:szCs w:val="18"/>
                <w:b w:val="1"/>
                <w:bCs w:val="1"/>
                <w:color w:val="auto"/>
              </w:rPr>
              <w:t>30004</w:t>
            </w:r>
          </w:p>
        </w:tc>
      </w:tr>
      <w:tr>
        <w:trPr>
          <w:trHeight w:val="244"/>
        </w:trPr>
        <w:tc>
          <w:tcPr>
            <w:tcW w:w="3420" w:type="dxa"/>
            <w:vAlign w:val="bottom"/>
            <w:tcBorders>
              <w:top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(404) 952-2107</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880" w:type="dxa"/>
        <w:tblCellMar>
          <w:top w:w="0" w:type="dxa"/>
          <w:left w:w="0" w:type="dxa"/>
          <w:bottom w:w="0" w:type="dxa"/>
          <w:right w:w="0" w:type="dxa"/>
        </w:tblCellMar>
      </w:tblP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00" w:type="dxa"/>
            <w:vAlign w:val="bottom"/>
          </w:tcPr>
          <w:p>
            <w:pPr>
              <w:spacing w:after="0"/>
              <w:rPr>
                <w:sz w:val="20"/>
                <w:szCs w:val="20"/>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PRTH</w:t>
            </w:r>
          </w:p>
        </w:tc>
        <w:tc>
          <w:tcPr>
            <w:tcW w:w="10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3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1"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1100" w:val="left"/>
        </w:tabs>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23"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jc w:val="both"/>
        <w:ind w:right="200" w:firstLine="4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71"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62" w:orient="portrait"/>
          <w:cols w:equalWidth="0" w:num="1">
            <w:col w:w="11240"/>
          </w:cols>
          <w:pgMar w:left="320" w:top="1339" w:right="339" w:bottom="0" w:gutter="0" w:footer="0" w:header="0"/>
        </w:sectPr>
      </w:pPr>
    </w:p>
    <w:bookmarkStart w:id="1" w:name="page2"/>
    <w:bookmarkEnd w:id="1"/>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64" w:lineRule="exact"/>
        <w:rPr>
          <w:sz w:val="20"/>
          <w:szCs w:val="20"/>
          <w:color w:val="auto"/>
        </w:rPr>
      </w:pPr>
    </w:p>
    <w:p>
      <w:pPr>
        <w:spacing w:after="0" w:line="184" w:lineRule="exact"/>
        <w:tabs>
          <w:tab w:leader="none" w:pos="80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7"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As of June 30, 2022, the last business day of the registrant's most recently completed second fiscal quarter, the aggregate market value of the registrant's Common Stock held by non-affiliates of the registrant was approximately $56.8 million (based upon the closing sale price of the Common Stock on that date on The Nasdaq Capital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17, 2023, the number of the registrant's Common Stock outstanding was 78,890,749.</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Portions of the definitive proxy statement to be filed with the Securities and Exchange Commission pursuant to Regulation 14A relating to the Annual Meeting of shareholders of Priority Technology Holdings, Inc., scheduled to be held on May 24, 2023, will be incorporated by reference in Part III of this Form 10-K. Priority Technology Holdings, Inc. intends to file such proxy statement with the Securities and Exchange Commission no later than 120 days after its fiscal year ended December 31, 2022.</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5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60" w:type="dxa"/>
            <w:vAlign w:val="bottom"/>
          </w:tcPr>
          <w:p>
            <w:pPr>
              <w:spacing w:after="0"/>
              <w:rPr>
                <w:sz w:val="20"/>
                <w:szCs w:val="20"/>
                <w:color w:val="auto"/>
              </w:rPr>
            </w:pPr>
          </w:p>
        </w:tc>
      </w:tr>
      <w:tr>
        <w:trPr>
          <w:trHeight w:val="562"/>
        </w:trPr>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3051F2"/>
              </w:rPr>
              <w:t>Cautionary Note Regarding Forward-Looking Statements and Terms Used in the Annual Report on Form 10-K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w:t>
            </w:r>
          </w:p>
        </w:tc>
      </w:tr>
      <w:tr>
        <w:trPr>
          <w:trHeight w:val="229"/>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3051F2"/>
              </w:rPr>
              <w:t>Commonly Defined Terms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Business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5</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Risk Factors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16</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1B.</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Unresolved Staff Comments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27</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2.</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Properties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27</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3.</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27</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4.</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27</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5.</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Market for Registrant's Common Equity, Related Stockholder Matters and Issuer Purchases of Equity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28</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6.</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Reserved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28</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7.</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29</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7A.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Qualitative and Quantitative Disclosure About Market Risk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37</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8.</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Financial Statements and Supplementary Data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38</w:t>
            </w:r>
          </w:p>
        </w:tc>
      </w:tr>
      <w:tr>
        <w:trPr>
          <w:trHeight w:val="229"/>
        </w:trPr>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Notes to Consolidated 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47</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9.</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Changes In and Disagreements with Accountants on Accounting and Financial Disclosure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90</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9A.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Controls and Procedures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90</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9B.</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Other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91</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III.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10.</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Directors, Executive Officers and Corporate Governance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92</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11.</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Executive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92</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12.</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Security Ownership of Certain Beneficial Owners and Management and Related Stockholder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92</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13.</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Certain Relationships and Related Transactions, and Director Independence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92</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14.</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Principal Accounting Fees and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92</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IV.</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15.</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Exhibits, Financial Statement Schedules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93</w:t>
            </w:r>
          </w:p>
        </w:tc>
      </w:tr>
      <w:tr>
        <w:trPr>
          <w:trHeight w:val="234"/>
        </w:trPr>
        <w:tc>
          <w:tcPr>
            <w:tcW w:w="840" w:type="dxa"/>
            <w:vAlign w:val="bottom"/>
          </w:tcPr>
          <w:p>
            <w:pPr>
              <w:spacing w:after="0"/>
              <w:rPr>
                <w:sz w:val="20"/>
                <w:szCs w:val="20"/>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16.</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Form 10-K Summary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95</w:t>
            </w:r>
          </w:p>
        </w:tc>
      </w:tr>
      <w:tr>
        <w:trPr>
          <w:trHeight w:val="44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Signatures</w:t>
            </w:r>
          </w:p>
        </w:tc>
        <w:tc>
          <w:tcPr>
            <w:tcW w:w="86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96</w:t>
            </w:r>
          </w:p>
        </w:tc>
      </w:tr>
      <w:tr>
        <w:trPr>
          <w:trHeight w:val="2302"/>
        </w:trPr>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Some of the statements made in this Annual Report on Form 10-K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Annual Report on Form 10-K include, but are not limited to, statements about:</w:t>
      </w:r>
    </w:p>
    <w:p>
      <w:pPr>
        <w:spacing w:after="0" w:line="192" w:lineRule="exact"/>
        <w:rPr>
          <w:sz w:val="20"/>
          <w:szCs w:val="20"/>
          <w:color w:val="auto"/>
        </w:rPr>
      </w:pPr>
    </w:p>
    <w:p>
      <w:pPr>
        <w:ind w:left="660" w:right="600" w:hanging="328"/>
        <w:spacing w:after="0" w:line="276"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its continuing effects on the economic and business environment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merchant or cardholder data, whether through breach of our computer systems, computer viruses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dispositions or any risks associated with completed acquisitions or dispositions;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w:t>
      </w:r>
      <w:r>
        <w:rPr>
          <w:rFonts w:ascii="Times New Roman" w:cs="Times New Roman" w:eastAsia="Times New Roman" w:hAnsi="Times New Roman"/>
          <w:sz w:val="18"/>
          <w:szCs w:val="18"/>
          <w:u w:val="single" w:color="auto"/>
          <w:color w:val="0000FF"/>
        </w:rPr>
        <w:t>Item 1A - Risk Factors</w:t>
      </w:r>
      <w:r>
        <w:rPr>
          <w:rFonts w:ascii="Times New Roman" w:cs="Times New Roman" w:eastAsia="Times New Roman" w:hAnsi="Times New Roman"/>
          <w:sz w:val="18"/>
          <w:szCs w:val="18"/>
          <w:color w:val="auto"/>
        </w:rPr>
        <w:t>" section of this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8"/>
          <w:szCs w:val="18"/>
          <w:u w:val="single" w:color="auto"/>
          <w:color w:val="0000FF"/>
        </w:rPr>
        <w:t>Item 1A -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00"/>
        </w:rPr>
        <w:t>" section of this Annual Report on Form 10-K, that may cause our actual results or performance to be materially different from those expressed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 should read this Annual Report on Form 10-K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Terms Used in this Annual Report on Form 10-K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Commonly Used or Defined Terms</w:t>
            </w:r>
          </w:p>
        </w:tc>
      </w:tr>
      <w:tr>
        <w:trPr>
          <w:trHeight w:val="351"/>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Definition</w:t>
            </w:r>
          </w:p>
        </w:tc>
      </w:tr>
      <w:tr>
        <w:trPr>
          <w:trHeight w:val="223"/>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Plan</w:t>
            </w:r>
          </w:p>
        </w:tc>
        <w:tc>
          <w:tcPr>
            <w:tcW w:w="100" w:type="dxa"/>
            <w:vAlign w:val="bottom"/>
            <w:tcBorders>
              <w:top w:val="single" w:sz="8" w:color="CCEEFF"/>
            </w:tcBorders>
            <w:shd w:val="clear" w:color="auto" w:fill="CCEEFF"/>
          </w:tcPr>
          <w:p>
            <w:pPr>
              <w:spacing w:after="0"/>
              <w:rPr>
                <w:sz w:val="19"/>
                <w:szCs w:val="19"/>
                <w:color w:val="auto"/>
              </w:rPr>
            </w:pPr>
          </w:p>
        </w:tc>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2018 Equity Incentive Plan</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Stock Purchase Plan</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2021 Employee Stock Purchase Plan</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Share Repurchase Program</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2021 Share Repurchase Program</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Share Repurchase Program</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2022 Share Repurchase Program</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ACH</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Automated clearing house</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AML</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Anti-money laundering</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API</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 program interface</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ATI</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taxable income</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B2B</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Business-to-business</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B2C</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Business-to-consumer</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BSA</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Secrecy Act of 1970, as amended by the USA Patriot Act of 2001</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CARES Act</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Coronavirus Aid, Relief, and Economic Security Act</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CCPA</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Consumer Protection Act</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Chairman and Chief Executive Officer</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Common Stock, par value $.001</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and Subsidiaries</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Guaranty Agreement dated April 27, 2021, by and between the Company and Truist Bank</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CRM</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management</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Delayed Draw Term Loan</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Delayed draw term loan facility under the credit agreement</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Dodd-Frank Act</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Dodd Frank Wall Street Reform and Consumer Protection Act of 2010</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Payments</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with credit, debit and prepaid cards</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EGC</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FBO</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benefit of</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FCA</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Kingdom's Financial Conduct Authority</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FCRA</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Credit Reporting Act</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Reserve Board</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Governors of the Federal Reserve System</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FFIEC</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Financial Institutions Examination Council</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institution</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FIFO</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in, first out</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FinCEN</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Crimes Enforcement Network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Finxera</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Finxera Holdings, Inc.</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FSOC</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Financial Stability Oversight Council</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Term Loan</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 senior secured first lien term loan facility in an aggregate principal amount of $300,000,000</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Inflation Reduction Act</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ISO</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Independent sales organization</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ISV</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Independent software vendors</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Information technology</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LIFO</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Last in, first out</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Limited Liability Company</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National Association of Securities Dealers Automated Quotations</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NCI</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Non-controlling interests</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OFAC</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Office of Foreign Assets Control</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PHOT</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Priority Hospitality Technology, LLC</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PIK</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Payment-in-kind</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Point-of-sale</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Priority Real Estate Technology, LLC</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PRTH</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Priority Technology Holding's Nasdaq Capital Market trading symbol</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NCI's</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Redeemable non-controlling preferred equity interests</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Right of use asset</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SaaS</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Software as a Service</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 appreciation rights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Small and medium-sized businesses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SMS</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 message service</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SRC</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Act</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Housing Assistance Tax Act of 2008</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TCPA</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Federal Telephone Consumer Protection Act of 1991</w:t>
            </w:r>
          </w:p>
        </w:tc>
      </w:tr>
      <w:tr>
        <w:trPr>
          <w:trHeight w:val="175"/>
        </w:trPr>
        <w:tc>
          <w:tcPr>
            <w:tcW w:w="2660" w:type="dxa"/>
            <w:vAlign w:val="bottom"/>
          </w:tcPr>
          <w:p>
            <w:pPr>
              <w:spacing w:after="0"/>
              <w:rPr>
                <w:sz w:val="15"/>
                <w:szCs w:val="15"/>
                <w:color w:val="auto"/>
              </w:rPr>
            </w:pPr>
          </w:p>
        </w:tc>
        <w:tc>
          <w:tcPr>
            <w:tcW w:w="85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$620.0 million senior secured term loan facility issued under the Credit Agreement (including $320 million</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delayed draw facility).</w:t>
            </w:r>
          </w:p>
        </w:tc>
      </w:tr>
      <w:tr>
        <w:trPr>
          <w:trHeight w:val="175"/>
        </w:trPr>
        <w:tc>
          <w:tcPr>
            <w:tcW w:w="2660" w:type="dxa"/>
            <w:vAlign w:val="bottom"/>
            <w:shd w:val="clear" w:color="auto" w:fill="CCEEFF"/>
          </w:tcPr>
          <w:p>
            <w:pPr>
              <w:spacing w:after="0"/>
              <w:rPr>
                <w:sz w:val="15"/>
                <w:szCs w:val="15"/>
                <w:color w:val="auto"/>
              </w:rPr>
            </w:pPr>
          </w:p>
        </w:tc>
        <w:tc>
          <w:tcPr>
            <w:tcW w:w="852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The ratio of consolidated total debt to the Consolidated Adjusted EBITDA (as defined in the Credit</w:t>
            </w: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Agreement).</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Preferred Equity Interest</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up to $4.5 million of profits earned by PHOT, plus a preferred yield (6.0% per year)</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Truist</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Truist Bank</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TSP</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Technology service provider</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VARs</w:t>
            </w:r>
          </w:p>
        </w:tc>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Value-added resellers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Priority is a leading payments technology company that leverages a purpose-built platform to enable clients to collect, store and send money, operating at scale. We help our customers take and make payments while managing business and consumer operating accounts to monetize payment networks. Our tailored, agile technology powers high-value payments products bolstered by our industry leading personalized support.</w:t>
      </w:r>
    </w:p>
    <w:p>
      <w:pPr>
        <w:spacing w:after="0" w:line="17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Priority was established in 2005 and has grown from a founder-financed startup to become the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largest non-bank merchant acquirer in the U.S. by volume. Since inception, we have built a native technology platform that provides all forms of payments (card acquiring and issuing, ACH, check and wire) and embedded finance services that serve SMB, ISV and enterprise customers. Collectively, our single platform to collect, store and send money currently processes approximately $113 billion in payment volume on behalf of its approximately 260,000 SMB and ISV customers and has established approximately 75,000 supplier relationships. Priority maintains a global business platform with 870 employees operating from its headquarters in Alpharetta, GA and offices in other locations, including New York, NY; Hicksville, NY; Chattanooga, TN; Raleigh, NC; Houston, TX; and Chandigarh, India.</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Priority delivers value to its partners by leveraging its payments and embedded finance technology to deliver solutions that power modern commerce for SMBs and enterprise software and business partners. Our approach is simple, we handle the complexities of payments and embedded finance to free our partners to focus on their core business objectives. Priority's solutions are offered via API or proprietary applications with nationwide money transmission licenses, providing end-to-end operational support including automated risk management and underwriting, full compliance and industry leading customer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has been underpinned by three key strengths: 1) market leading proprietary product platforms in SMB, B2B and Enterprise Payments verticals;</w:t>
      </w:r>
    </w:p>
    <w:p>
      <w:pPr>
        <w:spacing w:after="0" w:line="27" w:lineRule="exact"/>
        <w:rPr>
          <w:sz w:val="20"/>
          <w:szCs w:val="20"/>
          <w:color w:val="auto"/>
        </w:rPr>
      </w:pPr>
    </w:p>
    <w:p>
      <w:pPr>
        <w:ind w:right="360" w:firstLine="8"/>
        <w:spacing w:after="0" w:line="260" w:lineRule="auto"/>
        <w:tabs>
          <w:tab w:leader="none" w:pos="1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distribution engines dedicated to helping our partners monetize their merchant payment networks; and 3) a cost-efficient, agile payment and business processing infrastructure, purpose-built to support our partners in operating in these distinct market verticals.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Priority's solutions are delivered via internally developed payment applications and services to customers in the following business segments:</w:t>
      </w:r>
    </w:p>
    <w:p>
      <w:pPr>
        <w:spacing w:after="0" w:line="223" w:lineRule="exact"/>
        <w:rPr>
          <w:sz w:val="20"/>
          <w:szCs w:val="20"/>
          <w:color w:val="auto"/>
        </w:rPr>
      </w:pPr>
    </w:p>
    <w:p>
      <w:pPr>
        <w:ind w:left="660" w:right="30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SMB Payments</w:t>
      </w:r>
      <w:r>
        <w:rPr>
          <w:rFonts w:ascii="Times New Roman" w:cs="Times New Roman" w:eastAsia="Times New Roman" w:hAnsi="Times New Roman"/>
          <w:sz w:val="18"/>
          <w:szCs w:val="18"/>
          <w:color w:val="auto"/>
        </w:rPr>
        <w:t>: Provides full-service acquiring and payment-enabled solutions for B2C transactions, leveraging Priority's proprietary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distributed through ISO, direct sales and vertically focused ISV channels.</w:t>
      </w:r>
    </w:p>
    <w:p>
      <w:pPr>
        <w:spacing w:after="0" w:line="158" w:lineRule="exact"/>
        <w:rPr>
          <w:rFonts w:ascii="Times New Roman" w:cs="Times New Roman" w:eastAsia="Times New Roman" w:hAnsi="Times New Roman"/>
          <w:sz w:val="18"/>
          <w:szCs w:val="18"/>
          <w:color w:val="auto"/>
        </w:rPr>
      </w:pPr>
    </w:p>
    <w:p>
      <w:pPr>
        <w:ind w:left="660" w:right="14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B2B Payments</w:t>
      </w:r>
      <w:r>
        <w:rPr>
          <w:rFonts w:ascii="Times New Roman" w:cs="Times New Roman" w:eastAsia="Times New Roman" w:hAnsi="Times New Roman"/>
          <w:sz w:val="18"/>
          <w:szCs w:val="18"/>
          <w:color w:val="auto"/>
        </w:rPr>
        <w:t>: Provides market-leading AP automation solutions to corporations, software partners and industry leading FIs (including Citibank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Mastercard).</w:t>
      </w:r>
    </w:p>
    <w:p>
      <w:pPr>
        <w:spacing w:after="0" w:line="158" w:lineRule="exact"/>
        <w:rPr>
          <w:rFonts w:ascii="Times New Roman" w:cs="Times New Roman" w:eastAsia="Times New Roman" w:hAnsi="Times New Roman"/>
          <w:sz w:val="18"/>
          <w:szCs w:val="18"/>
          <w:color w:val="auto"/>
        </w:rPr>
      </w:pPr>
    </w:p>
    <w:p>
      <w:pPr>
        <w:ind w:left="660" w:right="26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 Payments</w:t>
      </w:r>
      <w:r>
        <w:rPr>
          <w:rFonts w:ascii="Times New Roman" w:cs="Times New Roman" w:eastAsia="Times New Roman" w:hAnsi="Times New Roman"/>
          <w:sz w:val="18"/>
          <w:szCs w:val="18"/>
          <w:color w:val="auto"/>
        </w:rPr>
        <w:t>: Provides embedded payment and treasury solutions to enterprise customers to modernize legacy platforms and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partners' strategies to monetize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702945</wp:posOffset>
            </wp:positionV>
            <wp:extent cx="5863590" cy="3291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MX product line provides technology-enabled payment acceptance and business management capabilities to merchants, enterprises and our distribution partners. The MX product line includes MX Connect and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SMB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line encompasses a variety of proprietary and third-party product applications that merchants can adopt such as MX Insights, MX Storefront, MX Retail, MX Invoice, MX B2B and ACH.com, among others. This comprehensive suite of solutions enables merchants to 1) identify key consumer trends in their businesses; 2) quickly implement e-commerce or retail POS solutions; and 3) handle ACH payments. By empowering resellers to adopt a consultative selling approach and embedding our technology into the critical day-to-day workflows and operations of both merchants and resellers, we believe that we have established and maintained "sticky" relationships. We believe that our strong retention, coupled with consistent merchant onboarding, have resulted in strong processing volume and revenue growth.</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our SMB offering, we have diversified our source of revenues through our growing presence in the B2B market. We provide automated AP offerings to our enterprise clients and financial institutions through our CPX platform. Our CPX platform offers clients a seamless bridge for buyer-to-supplier (payor-to-provider) payments by integrating directly to a buyer's payment instruction file and parsing it for payment to suppliers via virtual card, purchase card, ACH +, dynamic discounting or check. Successful implementation of our AP automation solutions provides: 1) suppliers with the benefits of cash acceleration; 2) buyers with valuable rebate/discount revenue: and 3) the Company with stable sources of payment processing and other revenue. Additionally, we provide curated managed services and a robust suite of integrated AP automation solutions to industry leading FIs and card networks such as Citibank, Mastercard and Visa, among others. Considering that the commercial payments volume in the U.S. is over twice the size of consumer payments and substantially less penetrated for Electronic Payments, we believe that this market represents a high growth opportunity for us.</w:t>
      </w:r>
    </w:p>
    <w:p>
      <w:pPr>
        <w:spacing w:after="0" w:line="1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Enterprise Payments segment provides embedded payment and treasury solutions to enterprise customers that modernize legacy platforms and accelerate modern software partners looking to monetize payment components. We provide solutions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ISVs, third-party integrators, and merchants that allow for the leveraging of our core payments engine, our automated payables platform or our account ledgering capabilities all via API resources.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payment processing transactions, and to a lesser extent, from monthly subscription services and other solutions provided to customers. Payment processing fees are generated from the ongoing sales of our merchants and are governed by multi-year merchant contracts. As a result, payment processing fees are highly recurring in nature. Due to the nature of our strong reseller-centric distribution model and differentiated technology offering, we can drive efficient scale and operating leverage, generating robust margins and profitability.</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generated revenue of $663.6 million, net loss attributable to common stockholders of $39.0 million and operating income of $56.2 million, compared to revenue of $514.9 million, net loss attributable to common stockholders of $24.6 million and operating income of $33.1 million for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payment processing industry provides merchants with credit, debit, gift, loyalty card and other payment processing services, along with related value-added solutions and information services. The industry continues to grow, driven by wider merchant acceptance, increased use of Electronic Payments and advances in payment technology. The proliferation of bankcards and the use of other payment technologies has made the acceptance of Electronic Payments through multiple channels a virtual necessity for many businesses to remain competitive. The increased use and acceptance of bankcards and the availability of more sophisticated products and services has resulted in a highly competitive, specialized industry.</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we believe that SMB merchants increasingly recognize the need for value-added services wrapped around omni-channel payment solutions that are tailored to their specific business needs.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Industry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key trends we believe are impacting the merchant acquiring/payment processing industry:</w:t>
      </w:r>
    </w:p>
    <w:p>
      <w:pPr>
        <w:spacing w:after="0" w:line="225" w:lineRule="exact"/>
        <w:rPr>
          <w:sz w:val="20"/>
          <w:szCs w:val="20"/>
          <w:color w:val="auto"/>
        </w:rPr>
      </w:pPr>
    </w:p>
    <w:p>
      <w:pPr>
        <w:ind w:left="660" w:right="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 Toward Electronic Transactions – We believe the continued shift from cash/paper payments toward electronic/card payments will drive growth for merchant acquirers and processors as volume continues to grow correspondingly. We believe this migration and overall market growth will continue to provide tailwinds to the Electronic Payments industry.</w:t>
      </w:r>
    </w:p>
    <w:p>
      <w:pPr>
        <w:spacing w:after="0" w:line="175"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Convergence of Payments and Embedded Finance Solutions – As consumer behavior shifted during the COVID-19 pandemic, the scale of disruption grew dramatically and we believe the speed of change will continue to rise. The appetite of both merchants and consumers for new alternatives to traditional payment options remains top of mind and big tech companies, fintechs, challenger banks and other non-bank entrants are driving market disruption by offering customers better user experiences at lower prices. The continued displacement of cash and checks over the next several years, helped along by customers' adoption of digital shopping and fueled by their desire to avoid contact with physical infrastructure and objects, continues to create even more opportunities for disruption in payments.</w:t>
      </w:r>
    </w:p>
    <w:p>
      <w:pPr>
        <w:spacing w:after="0" w:line="187"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Payments – Historically, e-commerce was conducted on a computer via a web browser; however, as mobile technologies continue to proliferate, consumers are making more purchases through mobile browsers and native mobile applications. We believe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B2B payments is the largest payment market in the U.S. by volume and presents a significant opportunity for payment providers to capitalize on the conversion of check and paper-based payments to Electronic Payments, including card-based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 As businesses have increasingly looked to improve efficiency and reduce costs, the electronification of B2B payments has gained momentum.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possess certain attributes that we believe differentiate us as a leading provider of merchant acquiring, commercial payment and embedded finance solutions in the U.S. Our key competitive strengths include:</w:t>
      </w:r>
    </w:p>
    <w:p>
      <w:pPr>
        <w:spacing w:after="0" w:line="162" w:lineRule="exact"/>
        <w:rPr>
          <w:sz w:val="20"/>
          <w:szCs w:val="20"/>
          <w:color w:val="auto"/>
        </w:rPr>
      </w:pPr>
    </w:p>
    <w:p>
      <w:pPr>
        <w:ind w:left="660" w:right="4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Diverse Reseller Community – We maintain strong reseller relationships with approximately 1,300 partners, including ISOs, FIs, ISVs, VARs and other referral partners. MX Connect enables resellers to efficiently market merchant acquiring solutions to a broad base of merchants through a one-to-many distribution model. We believe that our ability to service our reseller partners through a comprehensive offering provides a competitive advantage that has allowed the Company to build a large, diverse merchant base characterized by high retention. The strengths of our technology offering are manifested in the fact that we maintain ownership of merchant contracts, with most reseller contracts including strong non-solicit and portability restrictions.</w:t>
      </w:r>
    </w:p>
    <w:p>
      <w:pPr>
        <w:spacing w:after="0" w:line="187"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Suite of Payment Solutions – We offer a comprehensive and differentiated suite of traditional and emerging payment products and services that enables SMBs to address their payment needs through one provider. Our purpose-built proprietary technology provides technology-enabled payment acceptance and business management solutions to merchants, enterprises and ISVs. We provide a payment processing platform that allows merchants to accept Electronic Payments (e.g., credit cards, debit cards, and ACH) at the POS, online, and via mobile payment technologies. We deliver innovative business management products and add-on features that meet the needs of SMBs across different vertical markets. Additionally, with our embedded finance offerings, we are uniquely positioned to collect, store and send money on behalf of our customers. As a result, we believe we are well-positioned to capitalize on the trend towards integrated payments solutions, new technology adoption and value-add service utilization that is underway in the SMB market. We believe our solutions facilitate a superior merchant experience that results in increased customer lifetime value.</w:t>
      </w:r>
    </w:p>
    <w:p>
      <w:pPr>
        <w:spacing w:after="0" w:line="188"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Scalable Business Model with Operating Leverage – As a result of thoughtful investments in our technology, we have developed robust and differentiated infrastructure that has enabled us to scale in a cost-efficient manner. Our operating efficiency supports a low capital expenditure environment to develop product enhancements that drive organic growth across our SMB, B2B and Enterprise payment ecosystems, as well as, attract both reselling partners and enterprise clients looking for best-in-class solutions. By creating a cost-efficient environment that facilitates the combination of ongoing product innovation to drive organic growth and stable cash flow to fund acquisitions, we anticipate ongoing economies of scale and increased margins over time.</w:t>
      </w:r>
    </w:p>
    <w:p>
      <w:pPr>
        <w:spacing w:after="0" w:line="18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Management Team Led by Industry Veterans – Our executive management team has a record of execution in the merchant acquiring and technology-enabled payments industry. Our team has continued to develop and enhance our proprietary and innovative technology platforms that differentiate us in the payments industry. We invest to attract and retain executive leadership that align with the opportunities in the market and our strategic focus.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continue to execute a multi-pronged growth strategy, with diverse organic initiatives supplemented by acquisitions. Growth strategies include: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Organic Growth in our Reseller and Merchant Base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grow through our existing reseller network and merchant base by capitalizing on the organic growth of existing merchant volume and reseller merchant portfolios. By providing resellers with agile tools to manage their sales businesses and grow their merchant portfolio, we have established a solid base from which to generate new merchant adoption and retain existing merchants. By engaging in a consultative partnership approach, we maintain strong relationships with our reseller partners and continue to exhibit strong merchant adoption and volume growth trends. Through our resellers, we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merchants with full-service acquiring solutions, as well as value-added services and tools to streamline their business processes and enable them to focus on driving same store sales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Deploy our Embedded Finance Solution to Enterprise Customers</w:t>
      </w:r>
    </w:p>
    <w:p>
      <w:pPr>
        <w:spacing w:after="0" w:line="227"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7"/>
          <w:szCs w:val="17"/>
          <w:color w:val="auto"/>
        </w:rPr>
        <w:t>Our Enterprise Payments segment, and its flagship product Priority Passport enables software partners and business platform customers to embed our payments and treasury solutions into their core operating and business systems that deliver a fully automated and digital experience to collect, store and</w:t>
      </w:r>
    </w:p>
    <w:p>
      <w:pPr>
        <w:spacing w:after="0"/>
        <w:rPr>
          <w:sz w:val="20"/>
          <w:szCs w:val="20"/>
          <w:color w:val="auto"/>
        </w:rPr>
      </w:pPr>
      <w:r>
        <w:rPr>
          <w:rFonts w:ascii="Times New Roman" w:cs="Times New Roman" w:eastAsia="Times New Roman" w:hAnsi="Times New Roman"/>
          <w:sz w:val="18"/>
          <w:szCs w:val="18"/>
          <w:color w:val="auto"/>
        </w:rPr>
        <w:t>send money for their customers. Through Passport, Priority delivers a fully embedded finance solution to customers that manages the inflows and outflows,</w:t>
      </w:r>
    </w:p>
    <w:p>
      <w:pPr>
        <w:spacing w:after="0" w:line="50"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8"/>
          <w:szCs w:val="18"/>
          <w:color w:val="auto"/>
        </w:rPr>
        <w:t>and reconciliation, of all forms of payments (ACH, wire, check, credit and debit) for an infinite number of clients from a single account. The platform today manages over 460,000 active accounts and, through its money transmission licenses in 46 U.S. states and two U.S. territories, handles over</w:t>
      </w:r>
    </w:p>
    <w:p>
      <w:pPr>
        <w:spacing w:after="0" w:line="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$500 million in deposits across a growing number of banking partners. This segment is quickly growing as marketplaces, gig economy platforms, software partners, and legacy business platforms are incorporating features of payment processing and embedded finance services into their customer experience and enhance their offering.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our Network of Distribution Partners</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established and maintained a strong position within the reseller community with approximately 1,300 partners. We intend to continue to expand our distribution network to reach new partners, particularly with ISVs and VARs to expand technology and integrated partnerships. We believe that our technology offering enables us to attract and retain, high-quality resellers focused on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Deploy Industry Specific Payment Technology</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intend to continue to enhance and deploy our technology-enabled payment solutions and our capabilities to collect, store and send money into industry-specific verticals. We continue to identify and evaluate new, attractive industries where we can deliver differentiated technology-enabled payment solutions that meet merchants' industry-specific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Electronic Payments Share of B2B Transactions with CPX</w:t>
      </w:r>
    </w:p>
    <w:p>
      <w:pPr>
        <w:spacing w:after="0" w:line="22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have a growing presence in the commercial payments market where we provide curated managed services and AP automation solutions to industry leading FIs and card networks such as Citibank, Mastercard and Visa. The commercial payments market is the largest and one of the fastest growing payments markets in the U.S. by volume. We are well positioned to capitalize on the shift from check to Electronic Payments, which currently lags the consumer payments market, by eliminating the friction between buyers and suppliers through our industry leading offerings. We believe this will drive strong growth and profitability.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Accretive Acquisitions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 a consistent, long-term goal of maximizing stockholder value, we intend to selectively pursue strategic and tactical acquisitions that meet our established criteria. We actively seek potential acquisition candidates that exhibit certain attractive attributes including predictable and recurring revenue, a scalable operating model, low capital intensity complementary technology offerings and a strong cultural fit. Our operating infrastructure is purpose-built to rapidly and seamlessly consolidate complementary businesses into our ecosystem all while optimizing revenue and cost synergies.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reach our SMB segment through three primary sales channels: 1) ISOs (Retail and Wholesale) and Agents; 2) FIs; and 3) ISVs and VARs. Our cloud-based solution, MX Connect, allows our partners and resellers to engage merchants for processing services and a host of value-added features designed to enhance their customer relationships. Our merchants utilize our cloud-based MX Merchant product suite to manage their businesses and process transactions. This separate solution increases our ability to retain the merchant if the ISO were to leave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B2B segment obtains its partner clients through: 1) direct sales initiatives; 2) ISVs and business partnerships; 3) the card networks (Mastercard and Visa); and 4) large U.S. banking institutions. We support a direct vendor sales model that provides turn-key merchant development, product sales and supplier enablement programs. By establishing a seamless bridge for buyer-to-supplier (payor-to-provider) payments that is integrated directly to a buyer's payment instruction file to facilitate payments to vendors via all payment types (virtual card, purchase card, ACH +, dynamic discounting), we have established ourselves as one of the top solutions in commercial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segment goes to market through integrations with software partners and business platform customers by enabling them to embed our</w:t>
      </w:r>
    </w:p>
    <w:p>
      <w:pPr>
        <w:spacing w:after="0" w:line="5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payments and treasury solutions into their core operating and business systems. Priority’s Passport offering provides those partners with a fully automated, scalable and integrated financial tool to collect, store and send money for their customers.</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market strategy has resulted in a merchant base that we believe is diversified across both industries and geographies resulting in, what we believe, is more stable average profitability per merchant. Only one single reseller relationship contributes more than 10% of total bankcard processing volume, and that one relationship represents approximately 18% of our total bankcard processing volume.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Disaster Recovery and Back-up Systems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As a result of routine business operations, we store information relating to our merchants and their transactions. Because this information is considered sensitive in nature, we maintain a high level of security to protect it. Our computational systems are continually updated and audited to the latest security standards as defined by 1) payment card industry and data security standards; and 2) the Payment Card Industry Security Standards Council. As such, we have a dedicated team responsible for responding to security incidents. This team develops, maintains, tests and verifies our incident response plan. The primary function of this team is to react and respond to intrusions, denial of service, data leakage, malware, vandalism and other events that could potentially jeopardize data availability, integrity and confidentiality. In addition to handling security incidents, the incident response team continually educates themselves and us on information security matters.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High-availability and disaster recovery are provided through a combination of redundant hardware and software running at two geographically distinct data centers. Each data center deployment is an exact mirror of the other and each can handle all technical, payment and business operations for all product lines independently. If one data center becomes impaired, the traffic is automatically redirected to the other. Business continuity planning drills are run each quarter to test fail-over and recovery as well as staff operations and readiness.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Processors and Sponsor Banks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partner with various vendors in the payments value chain, most notably processors and sponsor banks which sit between us (the merchant acquirer) and the card networks, to assist us in providing payment processing services to merchant clients. Processing is a scale-driven business in which many acquirers outsource the processing function to a small number of large processors. In these partnerships, we serve as a merchant acquirer and enter into processing agreements with payment processors, such as First Data or Global Payments, to assist us in providing front-end and back-end transaction processing services for our merchants. These third parties are compensated for their services. These processors in turn have agreements with card networks such as Visa and Mastercard, through which the transaction information is routed in exchange for network fees.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provide processing services, merchant acquirers like Priority must be registered with the card networks (e.g., Visa and Mastercard). To register with a card network in the U.S., acquirers must maintain relationships with banks willing to sponsor the merchant acquirer's adherence to the rules and standards of the card networks, or a sponsor bank. We maintain sponsor bank relationships with Wells Fargo, Synovus Bank, Pueblo Bank, Sutton Bank, Fifth Third Bank and Axiom Bank. For ACH payments, the Company's ACH network (ACH.com) is sponsored by South State Bank and Fifth Third Bank. Sponsor bank relationships enable us to route transactions under the sponsor bank's control and identification number (referred to as a BIN for Visa and ICA for Mastercard) across the card networks (or ACH network) to authorize and clear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thoughtful merchant and reseller underwriting policies combined with our forward-looking transaction monitoring capabilities have enabled us to maintain low credit loss performance. Our risk management strategies are informed by a team with decades of experience managing merchant acquiring risk operations that are augmented by our rules-based modern systems designed to manage risk at the transaction level.</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Initial Underwriting </w:t>
      </w:r>
      <w:r>
        <w:rPr>
          <w:rFonts w:ascii="Times New Roman" w:cs="Times New Roman" w:eastAsia="Times New Roman" w:hAnsi="Times New Roman"/>
          <w:sz w:val="18"/>
          <w:szCs w:val="18"/>
          <w:color w:val="auto"/>
        </w:rPr>
        <w:t>– Central to our risk management process are our front-line underwriting policies that vet all resellers and merchants prior 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arrangements with us. Our automated risk systems pull: 1) credit bureau reports; 2) corporate ownership details; 3) anti-money laundering information; and, 4) OFAC and FinCEN information from a variety of integrated databases. The collected information is delivered to a tenured team of underwriters who conduct any necessary industry checks, financial performance analysis or owner background checks, consistent with our policies. Based upon these results, the underwriting department rejects or approves the merchant or reseller and sets appropriate merchant and reseller reserve requirements which are held by our bank sponsors on our behalf. Resellers are subject to quarterly and/or annual assessments for financial strength in compliance with our policies and adjustments to reserve levels. The results of our initial merchant underwriting process inform the transaction-level risk limits for volume, average ticket, transaction types and authorization codes that are captured by our CYRIS risk module - a proprietary risk system that monitors and reports transaction risk activity to our risk team. This transaction-level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Real-Time Risk Monitoring </w:t>
      </w:r>
      <w:r>
        <w:rPr>
          <w:rFonts w:ascii="Times New Roman" w:cs="Times New Roman" w:eastAsia="Times New Roman" w:hAnsi="Times New Roman"/>
          <w:sz w:val="18"/>
          <w:szCs w:val="18"/>
          <w:color w:val="auto"/>
        </w:rPr>
        <w:t>– Merchant transactions are monitored on a transactional basis to proactively enforce risk controls. Our risk systems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automated evaluation of merchant transaction activity against initial underwriting 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 Audit </w:t>
      </w:r>
      <w:r>
        <w:rPr>
          <w:rFonts w:ascii="Times New Roman" w:cs="Times New Roman" w:eastAsia="Times New Roman" w:hAnsi="Times New Roman"/>
          <w:sz w:val="18"/>
          <w:szCs w:val="18"/>
          <w:color w:val="auto"/>
        </w:rPr>
        <w:t>– Transactions flagged by our risk monitoring systems or that demonstrate suspicious activity traits that have been flagged for review can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funds being held in addition to other risk mitigation actions. The risk mitigation actions can include: 1) non-authorization of the transaction; 2) debit of reserves; or 3) termination of the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spacing w:after="0" w:line="18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Mitigation </w:t>
      </w:r>
      <w:r>
        <w:rPr>
          <w:rFonts w:ascii="Times New Roman" w:cs="Times New Roman" w:eastAsia="Times New Roman" w:hAnsi="Times New Roman"/>
          <w:sz w:val="18"/>
          <w:szCs w:val="18"/>
          <w:color w:val="auto"/>
        </w:rPr>
        <w:t>– In instances where transactions and/or individual merchants are flagged for fraud, or in instances where the transaction activity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in excessive charge-backs, several loss mitigation actions may be taken. These include: 1) charge-back dispute resolution; 2) merchant and reseller funds (reserves or processed batches) withheld; 3) inclusion on Network Match List to notify the industry of a "bad actor"; and/or 4) legal 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Dispositions of Businesses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18, 2022, the Company completed our acquisition of certain assets of Ovvi, LLC. Ovvi, LLC operated as a SaaS proprietary platform for the restaurant, hospitality and retail industries. The acquisition will allow the Company to offer point of sale software and hardware systems, comprehensive ancillary services and processing services.</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 September 17, 2021, The Company completed our acquisition of Finxera. Finxera is a provider of deposit account management and licensed money transmission services in the U.S. The acquisition of Finxera allows the Company to offer clients turn-key merchant services, payment facilitation, card issuing, automated payables, virtual banking, e-wallet tools, risk management, underwriting and compliance on a single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 Acquisitions</w:t>
      </w:r>
      <w:r>
        <w:rPr>
          <w:rFonts w:ascii="Times New Roman" w:cs="Times New Roman" w:eastAsia="Times New Roman" w:hAnsi="Times New Roman"/>
          <w:sz w:val="18"/>
          <w:szCs w:val="18"/>
          <w:color w:val="auto"/>
        </w:rPr>
        <w:t xml:space="preserve"> for additional information related to the Company's acquisitions. For information regarding our business disposal, see </w:t>
      </w:r>
      <w:r>
        <w:rPr>
          <w:rFonts w:ascii="Times New Roman" w:cs="Times New Roman" w:eastAsia="Times New Roman" w:hAnsi="Times New Roman"/>
          <w:sz w:val="18"/>
          <w:szCs w:val="18"/>
          <w:u w:val="single" w:color="auto"/>
          <w:color w:val="0000FF"/>
        </w:rPr>
        <w:t>Note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Disposal of Business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U.S. acquiring industry is highly competitive, with several large processors accounting for the majority of processing volume. When excluding banks, we ranked 5th among U.S. non-bank merchant acquirers, according to the Nilson Report issued in March 2022.</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concentration at the top of the industry is partly a result of consolidation. We believe that consolidation has also resulted in many large processors maintaining multiple, inflexible legacy IT systems that are not well-equipped to adjust to changing market requirements. We believe that the large merchant acquirers whose innovation has been hindered by these redundant, legacy systems risk losing market share to acquirers with more agile and dynamic IT systems, such as Priority.</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Pricing has historically been the key factor influencing the selection of a merchant acquirer. Providers with more advanced tech-enabled services (primarily online and integrated offerings), have an advantage over providers who are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1) price; 2) breadth of product offerings; 3) partnerships with FIs; 4) servicing capability; 5) data security; and 6) functionality. Leading acquirers are expected to continue to add additional services to expand cross-selling opportunities, primarily in omni-channel payment solutions, POS software, payments security, customer loyalty and other payments-related offerings.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largest opportunity for acquirers to expand is within the SMB merchant market. According to the SMB Group, a markets insight firm for SMBs, the majority of SMBs recognize the upside that tech-enabled solutions provide to daily operations and long-term growth potential. As small businesses increasingly demand integrated solutions tailored to specific business functions or industries, merchant processors are adopting payment-enabled software offerings that combine embedded finance products with core business operating software. By subsisting within SMB's critical business software, processors are able to improve economic results through better merchant retention and higher processing margins. Through our MX Merchant platform, we are well-positioned to capitalize on the trend towards integrated solutions, new technology adoption and value added-service utilization in the SMB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Payment Network Rules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operate in an increasingly complex legal and regulatory environment. We are subject to a variety of federal, state and local laws and regulations and the rules and standards of the payment networks that are utilized to provide our electronic payment services, as more fully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Wall Street Reform and Consumer Protection Act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Dodd-Frank Act resulted in significant structural and other changes to the regulation of the financial services industry. The Dodd-Frank Act directed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$10.0 billion or more are capped at $0.21 per transaction and an ad valorem component of five basis points to reflect a portion of the issuer's fraud losses plus, for qualifying issuers, an additional $0.01 per transaction in debit interchange for fraud prevention costs. The cap on interchange fees has not had a material direct effect on our results of operations.</w:t>
      </w:r>
    </w:p>
    <w:p>
      <w:pPr>
        <w:spacing w:after="0" w:line="18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addition, the Dodd-Frank Act limits the ability of payment card networks to impose certain restrictions because it allows merchants to: 1) set minimum dollar amounts (not to exceed $10.00) for the acceptance of a credit card (and allows federal governmental entities and institutions of higher education to set maximum amounts for the acceptance of credit cards); and 2) provide discounts or incentives to encourage consumers to pay with cash, checks, debit cards or credit cards.</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rules also contain prohibitions on network exclusivity and merchant routing restrictions. These rules require a card issuer to: 1) enable at least two unaffiliated networks on each debit card; 2) prohibit card networks from entering into exclusivity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arrangements; and 3) restrict the ability of issuers or networks to mandate transaction routing requirements. The prohibition on network exclusivity has not significantly affected our ability to pass on network fees and other costs to our customers, nor do we expect it to in the future.</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Dodd-Frank Act created the CFPB, which has assumed responsibility for enforcing federal consumer protection laws, and the FSOC, which was established to, among other things, identify risks to the stability of the U.S. financial system. The FSOC has the authority to require supervision and regulation of nonbank financial companies that the FSOC determines pose a systemic risk to the U.S. financial system. Accordingly, we may be subject to additional systemic risk-related oversight.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Network Rules and Standards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merchant acquirer, we are subject to the rules of Visa, Mastercard, American Express, Discover and other payment networks. In order to provide services, several of our subsidiaries are either registered as service providers for member institutions with Mastercard, Visa and other networks or are direct members of Mastercard, Visa and other networks. Accordingly, we are subject to card association and network rules that could subject us to a variety of fines or penalties that may be levied by the card networks for certain acts or omissions.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Banking Laws and Regulations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FFIEC is an interagency body comprised of federal bank and credit union regulators such as the Federal Reserve Board, the FDIC, the National Credit Union Administration, the Office of the Comptroller of the Currency and the Bureau of Consumer Financial Protection. The FFIEC examines large data processors to identify and mitigate risks associated with systemically significant service providers, including specifically the risks they may pose to the banking industry.</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considered by the FFIEC to be a TSP based on the services we provide to FIs. As a TSP, we are subject to audits by an interagency group consisting of the Federal Reserve System, the FDIC, and the Office of the Comptroller of the Currency.</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also hold money transmission licenses in 46 U.S. states and two U.S. territories. Accordingly, we are subject to the applicable laws and regulations and are subject to examinations by state banking regulators.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Information Security Laws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provide services that may be subject to various state, federal and foreign privacy laws and regulations. These laws and regulations include: 1) the federal Gramm-Leach-Bliley Act of 1999, which applies to a broad range of FIs and to companies that provide services to FIs in the U.S.; 2) certain health care technology laws, including HIPAA and the Health Information Technology for Economic and Clinical Act; and 3) the CCPA, which establishes a new privacy framework for covered businesses by: i) creating an expanded definition of personal information; ii) establishing new data privacy rights for consumers in the State of California; iii) imposing special rules on the collection of consumer data from minors; and iv) creating a new and potentially severe statutory damages framework for violations of the CCPA and for businesses that fail to implement reasonable security procedures and practices to prevent data breaches. We are also subject to a variety of foreign data protection and privacy laws, including, without limitation, Directive 95/46/EC, as implemented in each member state of the European Union and its successor, the General Data Protection Regulation. Among other things, these foreign and domestic laws, and their implementing regulations, in certain cases: 1) restrict the collection, processing, storage, use and disclosure of personal information; 2) require notice to individuals of privacy practices, and provide individuals with certain rights to prevent use; and 3) disclosure of protected information. These laws also impose requirements for safeguarding and removal or elimination of personal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AML and Counter-terrorism Regulation</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U.S. federal anti-money laundering laws and regulations, including the BSA, and the BSA implementing regulations administered by FinCEN, a bureau of the U.S.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our clients are FIs that are directly subject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federal anti-money laundering laws and regulations, we have developed an anti-money laundering compliance program to best assist our clients in meeting such legal and regulatory requirements.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certain economic and trade sanctions programs that are administered by OFAC of the U.S.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such legal and regulatory requirements and developments. We continue to enhance such programs and policies to ensure that our customers do not engage in prohibited transactions with designated countries, individuals or entities.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Telephone Consumer Protection Act</w:t>
      </w:r>
    </w:p>
    <w:p>
      <w:pPr>
        <w:spacing w:after="0" w:line="22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subject to the Federal TCPA and various state laws to the extent we place telephone calls and SMS messages to clients and consumers. The TCPA regulates certain telephone calls and SMS messages placed using automatic telephone dialing systems or artificial or prerecorded voices and can alter the way we do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Escheat Laws</w:t>
      </w:r>
    </w:p>
    <w:p>
      <w:pPr>
        <w:spacing w:after="0" w:line="2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are subject to U.S. federal and state unclaimed or abandoned property laws that require us to transfer to certain government authorities the unclaimed property of other that we hold when that property has been unclaimed for a certain period of time. Moreover, we are subject to audit by state and foreign regulatory authorities with regard to our escheatment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is not an exhaustive list of the laws, rules and regulations to which we are subject to and the regulatory framework governing our business is changing continuously.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developed a payments platform that includes many instances of proprietary software, code sets, workflows and algorithms. It is our practice to enter confidentiality, non-disclosure and invention assignment agreements with our employees and contractors, and to enter into confidentiality and non-disclosure agreements with other third parties to limit access to, and disclosure and use of, our confidential information and proprietary technology. In addition to these contractual measures, we also rely on a combination of trademarks, copyrights, registered domain names, and patent rights to help protect the Priority brand and our other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2022, we employed 870 employees, of which 863 were employed full-time. We have employees residing throughout the United States and India. None of our employees are represented by a labor union or covered by a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and Development</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strategy to develop and retain the best talent includes an emphasis on employee training and development. We promote our core values of ownership, innovation, camaraderie, service, authenticity and trust as an organization and offer awards to colleagues who exemplify these qualities. We require a mandatory online training curriculum for our employees that includes annual anti-harassment and anti-discrimination training.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Well-being and Safety during COVID-19 Pandemic</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success of our business is connected to the well-being of our employees. Accordingly, we are committed to the health, safety and wellness of our employees. In response to the COVID-19 pandemic, we implemented significant changes that we determined were in the best interest of our employees and the communities in which we operate. This included enabling all of our employees to seamlessly shift to work from home. Over the past few years, we have made investments in our operating environments and technology that support day-to-day execution by employees working from home which allowed for the smooth transition. Additional health and safety measures have been implemented for employees who have elected to work within office locations.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 and Diversity</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inclusion and diversity program focuses on our employees, workplace and community. We believe that our business is strengthened by a diverse workforce that reflects the communities in which we operate. We believe all of our employees should be treated with respect and equality, regardless of gender, ethnicity, sexual orientation, gender identity, religious beliefs or other characteristics. Inclusion and diversity remain a common thread in all of our human resource practices so that we can attract, develop and retain the best talent for our workforce.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Filings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Exchange Act, are made available free of charge on our internet website at www.prth.com, as soon as reasonably practicable after we have electronically filed the material with, or furnished it to the SEC. The SEC maintains an internet site that contains our reports, proxy and information statements and our other SEC filings. The address of that website is www.sec.gov.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Common Stock and our financial results are subject to a number of risks. You should carefully consider the risks described below and all other information contained in this Annual Report on Form 10-K and the documents incorporated by reference. Our business, prospects, financial condition or operating results could be harmed by any of these risks, as well as other risks not currently known to us or that we currently consider immaterial. Additional risks and uncertainties, including those generally affecting the industry in which we operate and risks that management currently deems immaterial, may arise or become material in the future and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and is likely to continue to be, negatively affected by the recent COVID-19 outbreak.</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COVID-19 pandemic and the mitigation efforts by governments and other parties to attempt to control the spread of the virus (including its variants) have adversely impacted the U.S. and global economy, leading to significant changes in consumer and business spending and economic activity and disruptions and volatility in the U.S. and global capital markets. :</w:t>
      </w:r>
    </w:p>
    <w:p>
      <w:pPr>
        <w:spacing w:after="0" w:line="176" w:lineRule="exact"/>
        <w:rPr>
          <w:sz w:val="20"/>
          <w:szCs w:val="20"/>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merchant temporary closures and failures;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disruptions, including potential outages at network providers and other suppliers; and</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 and payment fraud risk.</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have experienced increased demand for some of our service offerings as a result of an accelerated shift to electronic payments, we believe that the COVID-19 pandemic, the mitigation efforts and the resulting economic impact have had, and may continue to have, an overall adverse effect on our business, results of operations and financial condition. The full effects of the COVID-19 pandemic on our business, results of operations, financial condition and cash flows will depend on future developments, which are highly uncertain and difficult to predict at this time, including, but not limited to, the severity of the pandemic, the restrictive/mitigation actions taken to contain the virus or treat its effects, and its effects on our customers. Accordingly, while the COVID-19 pandemic could have an adverse effect on our revenues and financial results for reporting periods after 2022, the ultimate effects on our operations, financial condition and cash flows cannot be determined at this time.</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access to our systems or unauthorized disclosure of merchant or cardholder data, whether through breach of our computer systems, computer viruses, or otherwise, could expose us to liability, protracted and costly litigation and damage our reputation.</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services include the processing, transmission and storing of sensitive business and personal information about our merchants, merchants' customers, vendors, partners and other third parties. This information may include credit and debit card numbers, bank account numbers, personal identification numbers, names and addresses or other sensitive business information. This information may also be stored by third parties to whom we outsource certain functions or other agents ("associated third parties"). We may have responsibility to the card networks, FIs, and in some instances, our merchants, and/or ISOs, for our failure or the failure of our associated third parties to protect this information.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security risks for us and our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The techniques used to obtain unauthorized access, disable or degrade service, sabotage systems or utilize payment systems in an effort to perpetrate financial fraud change frequently and are often difficult to detect and all of which we are vulnerable to. We have been the target of brute force attempts to obtain unauthorized access to our systems. Threats may derive from human error, fraud or malice on the part of employees or third parties, or may result from accidental technological failure. Computer viruses can be distributed and spread rapidly over the internet and could infiltrate our systems or those of our associated third parties. Additionally, denial of service or other attacks could be launched against us for a variety of purposes, including interfering with our services or to create a diversion for other malicious activities. Our defensive measures may not prevent down-time, unauthorized access or use of sensitive data. While we maintain insurance coverage that will cover certain aspects of cyber risks, such insurance coverage may be insufficient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cover all losses. Furthermore, we do not control the actions of our third-party partners and customers in their systems. These third parties may experience security breaches and any future problems experienced by these third parties, including those resulting from cyber attacks or other breakdowns or disruptions in services, could adversely affect our ability to conduct our business or expose us to liability. Further, our agreements with our bank sponsors and our third-party payment processors (as well as payment network requirements) require us to take certain protective measures to ensure the confidentiality of merchant and consumer data. Any such actions, attacks or failure to adequately comply with these protective measures could hurt our reputation, force us to incur significant expenses in remediating the resulting impacts, expose us to uninsured liability, result in the loss of our bank sponsors or our ability to participate in the payment networks, or subject us to fees, penalties, sanctions, litigation or termination of our bank sponsor agreements or our third-party payment processor agreements.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information security risks, we must continuously develop and enhance our controls, processes and practices designed to protect our computer systems, software, data and networks from attack, damage or unauthorized access. This continuous development and enhancement will require us to expend additional resources, including to investigate and remediate significant information security vulnerabilities detected. Despite our investments in security measures, we are unable to assure that any security measures will not be subject to system or human error.</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or our third-party providers' systems may fail, which could interrupt our service, cause us to lose business, increase our costs and expose us to liability.</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depend on the efficient and uninterrupted operation of our computer systems, software, data centers and telecommunications networks, as well as the systems and services of third parties. A system outage or data loss could have a material adverse effect on our business, financial condition, results of operations and cash flows. Not only could we suffer damage to our reputation in the event of a system outage or data loss, but we may also be liable to third parties. Many of our contractual agreements with FIs and certain other customers require the payment of penalties if we do not meet certain operating standards. Our systems and operations or those of our third-party providers could be exposed to damage or interruption from, among other things, fire, natural disaster, power loss or telecommunications failure.</w:t>
      </w:r>
    </w:p>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payment processing industry is highly competitive and such competition is likely to increase, which may adversely influence the prices we can charge to merchants for our services and the compensation we must pay to our distribution partners, and as a result, our profit margins.</w:t>
      </w:r>
    </w:p>
    <w:p>
      <w:pPr>
        <w:spacing w:after="0" w:line="159"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7"/>
          <w:szCs w:val="17"/>
          <w:color w:val="auto"/>
        </w:rPr>
        <w:t>The payment processing industry is highly competitive. We primarily compete in the SMB merchant industry. We compete with FIs and their affiliates, independent payment processing companies and ISOs. We also compete with many of these same entities for production through distribution partners. Many of our distribution partners are not exclusive to us but also have relationships with our competitors, such that we have to continually expend resources to maintain those relationships. Our growth will depend on the continued growth of Electronic Payments, particularly Electronic Payments to SMB merchants, and our ability to increase our market share through successful competitive efforts to gain new merchants and distribution partners.</w:t>
      </w:r>
    </w:p>
    <w:p>
      <w:pPr>
        <w:spacing w:after="0" w:line="1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many FIs and their subsidiaries or well-established payment-enabled technology providers with which we compete, have substantially greater capital, technological, management and marketing resources than we have. These factors may allow our competitors to offer better pricing terms to merchants and more attractive compensation to distribution partners, which could result in a loss of our potential or current merchants and distribution partners. Our current and future competitors may also develop or offer services that have price or other advantages over the services we provide.</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also face new, well capitalized, competition from emerging technology and non-traditional payment processing companies as well as traditional companies offering alternative Electronic Payments services and payment-enabled software solutions. If these new entrants gain a greater share of total Electronic Payments transactions, they could impact our ability to retain and grow our relationships with merchants and distribution partners. Acquirers may be susceptible to the adoption by the broader merchant community of payment-enabled software versus terminal based 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Increased merchant, referral partner or ISO attrition could cause our financial results to decline.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experience attrition in merchant credit and debit card processing volume resulting from several factors, including business closures, transfers of merchant accounts to our competitors, unsuccessful contract renewal negotiations and account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that we initiate for various reasons such as heightened credit risks or contract breaches by merchants. Our referral partners are a significant source of new business. If a referral partner or an ISO switches to another processor, terminates our services, internalizes payment processing that we perform, merges with or is acquired by one of our competitors, or shuts down or becomes insolvent, we may no longer receive new merchant referrals from such referral partner, and we risk losing existing merchants that were originally enrolled by the referral partner or ISO. We cannot predict the level of attrition in the future and it could increase. Higher than expected attrition could negatively affect our results, which could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card association and debit network fees or products could increase costs or otherwise limit our operations.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card associations and debit networks increase the organization and/or processing fees (known as interchange fees) that they charge. It is possible that competitive pressures will result in us absorbing a portion of such increases in the future, which would increase our operating costs, reduce our profit margin, and adversely affect our business, operating results, and financial condition. In addition, the various card associations and networks prescribe certain capital requirements. Any increase in the capital level required would further limit our use of capital for other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payment network rules or standards could adversely affect our business, financial condition and results of operations.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Payment network rules are established and changed from time to time by each payment network as they may determine in their sole discretion and with or without advance notice to their participants. The timelines imposed by the payment networks or sponsor banks for expected compliance with new rules have historically been, and may continue to be, highly compressed, requiring us to quickly implement changes to our systems which increases the risk of non-compliance with new standards or the reduction of certain types of merchant activity. In addition, the payment networks could make changes to interchange or other elements of the pricing structure of the merchant acquiring industry that would have a negative impact on our results of operations.</w:t>
      </w:r>
    </w:p>
    <w:p>
      <w:pPr>
        <w:spacing w:after="0" w:line="17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remain competitive and to continue to increase our revenues and earnings, we must continually update our products and services, a process which could result in increased costs and the loss of revenues, earnings, merchants and distribution partners if the new products and services do not perform as intended or are not accepted in the marketplace.</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Electronic Payments industry in which we compete is subject to rapid technological changes and is characterized by new technology, product and service introductions, evolving industry standards, changing merchant needs and the entrance of non-traditional competitors. We are subject to the risk that our existing products and services become obsolete, and that we are unable to develop new products and services in response to industry demands. Our future success will depend in part on our ability to develop or adapt to technological changes and the evolving needs of our resellers, merchants and the industry at large. In addition, new products and offerings may not perform as intended or generate the business or revenue growth expected. Defects in our software and errors or delays in our processing of electronic transactions could result in additional development costs, diversion of technical and other resources from our other development efforts, loss of credibility with current or potential distribution partners and merchants, harm to our reputation, fines imposed by card networks, or exposure to liability claims. Any delay in the delivery of new products or services or the failure to differentiate our products and services could render them less desirable, or possibly even obsolete, to our merchants. Additionally, the market for alternative payment processing products and services is evolving, and we may develop too rapidly or not rapidly enough for us to recover the costs we have incurred in developing new products and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create certain risks and may adversely affect our business, financial condition, or results of operations.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actively acquired businesses and expect to continue to make acquisitions of businesses and assets in the future. The acquisition and integration of businesses and assets involve a number of risks. These risks include valuation (negotiating a fair price for the business and assets), integration (managing the process of integrating the acquired business' people, products, technology, and other assets to realize the projected value and synergies), regulatory (obtaining any applicable regulatory or other government approvals), and due diligence (identifying risks to the prospects of the business, including undisclosed or unknown liabilities or restrictions). There can be no assurances that we will be able to complete suitable acquisitions for a variety of reasons, including the identification of and competition for acquisition targets, the need for regulatory approvals,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inability of the parties to agree to the structure or purchase price of the transaction and our inability to finance the transaction on commercially acceptable terms. In addition, any potential acquisition can subject us to a variety of other risks:</w:t>
      </w:r>
    </w:p>
    <w:p>
      <w:pPr>
        <w:spacing w:after="0" w:line="162" w:lineRule="exact"/>
        <w:rPr>
          <w:sz w:val="20"/>
          <w:szCs w:val="20"/>
          <w:color w:val="auto"/>
        </w:rPr>
      </w:pPr>
    </w:p>
    <w:p>
      <w:pPr>
        <w:ind w:left="660" w:right="1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integrate the benefits plans, duties and responsibilities and other factors of interest to management of employees of the acquired business, we could lose employees to our competitors in the region, which could significantly affect our ability to operate the business and complete the integration;</w:t>
      </w:r>
    </w:p>
    <w:p>
      <w:pPr>
        <w:spacing w:after="0" w:line="17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integration process causes any delays with the delivery of our services, or the quality of those services, we could lose customers to our competitors;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may otherwise cause disruption to the acquired company's business and operations and relationships with financial institution sponsors, customers, merchants, employees and other partners;</w:t>
      </w:r>
    </w:p>
    <w:p>
      <w:pPr>
        <w:spacing w:after="0" w:line="161"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and the related integration could divert the attention of our management from other strategic matters including possible acquisitions and alliances and planning for new product development or expansion into new markets for payments technology and software solutions;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the integration of an acquired company's business and operations into ours may be greater than anticipated.</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economic and political risk, the business cycles of our merchants and distribution partners and the overall level of consumer and commercial spending, which could negatively impact our business, financial condition and results of operations.</w:t>
      </w:r>
    </w:p>
    <w:p>
      <w:pPr>
        <w:spacing w:after="0" w:line="15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Electronic Payments industry depends heavily on the overall level of consumer, commercial and government spending. We are exposed to general economic conditions that affect consumer confidence, consumer spending, consumer discretionary income and changes in consumer purchasing habits. A sustained deterioration in general economic conditions or increases in interest rates could adversely affect our financial performance by reducing the number or aggregate dollar volume of transactions made using Electronic Payments. If our merchants make fewer sales of their products and services using Electronic Payments, or consumers spend less money through Electronic Payments, we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we process. We also have material fixed and semi-fixed costs, including rent, debt service, contractual minimums and salaries, which could limit our ability to quickly adjust costs and respond to changes in our business and the economy.</w:t>
      </w:r>
    </w:p>
    <w:p>
      <w:pPr>
        <w:spacing w:after="0" w:line="16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affecting the U.S. markets may adversely affect our business, results of operations and financial condition, including our revenue growth and profitability.</w:t>
      </w:r>
    </w:p>
    <w:p>
      <w:pPr>
        <w:spacing w:after="0" w:line="15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Worldwide financial market conditions, as well as various social and political tensions in the U.S. and around the world, may contribute to increased market volatility, may have long-term effects and may cause economic uncertainties or deterioration in the U.S. The U.S. markets experienced extreme volatility and disruption during the economic downturn that began in mid-2007, and the U.S. economy was in a recession for several consecutive calendar quarters during the same period. In addition, the fiscal and monetary policies of foreign nations, such as Russia and China, may have a severe impact on</w:t>
      </w:r>
    </w:p>
    <w:p>
      <w:pPr>
        <w:spacing w:after="0" w:line="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U.S. financial markets. We are monitoring the conflict between Russia and Ukraine. While we do not expect that such conflict will itself be material to our business, geopolitical instability and adversity arising from such conflict (including additional conflicts that could arise from such conflict), the imposition of sanctions, taxes and/or tariffs against Russia and Russia's response to such sanctions (including retaliatory acts, such as cyber attacks and sanctions against other countries) could adversely affect the global economy or specific international, regional and domestic markets, which could have a material adverse effect on our business, results of operations or financial condition.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new legislation that may be adopted in the U.S. could significantly affect the regulation of U.S. financial markets. Areas subject to potential change, amendment or repeal include the Dodd-Frank Act and the authority of the Federal Reserve Board and the FSOC. The U.S. may also potentially withdraw from or renegotiate various trade agreements and take other actions that would change current trade policies of the U.S. We cannot predict which, if any, of these actions will be taken or, if taken,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effect on the financial stability of the U.S. Such actions could have a significant adverse effect on our business, financial condition and results of operations, particularly in view of the regulatory oversight we presently face. We cannot predict the effects of these or similar events in the future on the U.S. economy in general, or specifically on our business model or growth strategy, which typically involves the use of debt financing. To the extent a downturn in the U.S. economy impacts our merchant accounts, regulatory changes increase the burden we face in operating our business, or disruptions in the credit markets prevent us from using debt to finance future acquisitions, our financial condition and results of operations may be materially and adversely impacted.</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FIs and other service and technology providers. If they fail or discontinue providing their services or technology generally or to us specifically, our ability to provide services to merchants may be interrupted, and, as a result, our business, financial condition and results of operations could be adversely impacted.</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rely on various FIs to provide clearing services in connection with our settlement activities. If such FIs should stop providing clearing services, we must find other FIs to provide those services. If we are unable to find a replacement financial institution, we may no longer be able to provide processing services to certain customers, which could negatively affect our revenues, earnings and cash flows.</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also rely on third parties to provide or supplement bankcard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merchants and, if we cannot find alternate providers quickly, may cause those merchants to terminate their relationship with us.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rely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by merchants or others could cause us to incur losses.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potential liability for fraudulent electronic payment transactions or credits initiated by merchants or others. Examples of merchant fraud include when a merchant or other party knowingly uses a stolen or counterfeit credit or debit card, card number, or other credentials to record a false sales or credit transaction, processes an invalid card, or intentionally fails to deliver the merchandise or services sold in an otherwise valid transaction. Criminals are using increasingly sophisticated methods to engage in illegal activities such as counterfeiting and fraud. Failure to effectively manage risk and prevent fraud could increase in the future. Increases in chargebacks or other liabilities could have a material adverse effect on our financial condition,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liability when our merchants refuse or cannot reimburse us for chargebacks resolved in favor of their customers.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potential liability for chargebacks associated with the transactions we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we or our bank sponsors are unable to collect the chargeback from the merchant's account or reserve account (if applicable), or if the merchant refuses or is financially unable (due to bankruptcy or other reasons) to reimburse the merchant's bank for the chargeback, we may bear the loss for the amount of the refund paid to the cardholder. Any increase in chargebacks not paid by our merchants could increase our costs and decrease our revenues. We have policies to manage merchant-related credit risk and often mitigate such risk by requiring collateral and monitoring transaction activity. Notwithstanding our programs and policies for managing credit risk, it is possible that a default on such obligations by one or more of our merchants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applicable requirements of the card networks, they could seek to fine us, suspend us or terminate our registrations for membership. If we incur fines or penalties for which our merchants or ISOs are responsible that we cannot collect, we may have to bear the cost of such fines or penalties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card association and network rules that could subject us to a variety of fines or penalties that may be levied by the card networks for certain acts or omissions. The rules of the card networks are set by the card networks themselves and may be influenced by card issuers, some of which are our competitors with respect to processing services. Many banks directly or indirectly sell processing services to merchants in direct competition with us. These banks could attempt, by virtue of their influence on the networks, to alter the networks' rules or policies to the detriment of non-members, including us. The termination of our registrations or our membership status as a service provider or merchant processor, or any changes in a card association or other network rules or standards, including interpretation and implementation of the rules or standards, that increase the cost of doing business or limit our ability to provide transaction processing services to our customers, could have a material adverse effect on our business, financial condition, results of operations and cash flows. If a merchant or an ISO fails to comply with the applicable requirements of the card associations and networks, we or the merchant or ISO could be subject to a variety of fines or penalties that may be levied by the card associations or networks. If we cannot collect or pursue collection of such amounts from the applicable merchant or ISO, we may have to bear the cost of such fines or penalties, resulting in lower earnings for us. The termination of our registration, or any changes in the Visa or Mastercard rules that would impair our registration, could require us to stop providing Visa and Mastercard payment processing services, which would make it impossible for us to conduct our business on its current scale.</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for example, key personnel or of our ability to attract, recruit, retain and develop qualified employees could adversely affect our business, financial condition and results of operations.</w:t>
      </w:r>
    </w:p>
    <w:p>
      <w:pPr>
        <w:spacing w:after="0" w:line="15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success depends upon the continued services of our senior management and other key personnel who have substantial experience in the Electronic Payments industry and the markets in which we offer our services. In addition, our success depends in large part upon the reputation within the industry of our senior managers who have developed relationships with our distribution partners, payment networks and other payment processing and service providers. Further, in order for us to continue to successfully compete and grow, we must attract, recruit, develop and retain personnel who will provide us with expertise across the entire spectrum of our intellectual capital needs. Our success is also dependent on the skill and experience of our sales force, which we must continuously work to maintain. While we have many key personnel who have substantial experience with our operations, we must also develop our personnel to provide succession plans capable of maintaining the continuity of our operations. The market for qualified personnel is competitive, and we may not succeed in recruiting additional personnel or may fail to effectively replace current personnel who depart with qualified or effective successors.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Compliance and Tax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could have a material adverse effect on our business, financial condition or results of operations.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become involved in various litigation matters, including but not limited to commercial disputes and employee claims, and from time to time may be involved in governmental or regulatory investigations or similar matters arising out of our current or future business. Any claims asserted against us, regardless of merit or eventual outcome, could harm our reputation and have an adverse impact on our relationship with our merchants, distribution partners and other third parties and could lead to additional related claims. Certain claims may seek injunctive relief, which could disrupt the ordinary conduct of our business and operations or increase our cost of doing business. Our insurance or indemnities may not cover all claims that may be asserted against us, and any claims asserted against it, regardless of merit or eventual outcome, may harm our reputation and cause us to expend resources in our defense. Furthermore, there is no guarantee that we will be successful in defending ourselves in future litigation. Should the ultimate judgments or settlements in any pending litigation or future litigation or investigation significantly exceed our insurance coverage, they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 and any new laws and regulations, industry standards or revisions made to existing laws, regulations or industry standards affecting the Electronic Payments industry may have an unfavorable impact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affected by laws and regulations and examinations that affect us and our industries. Regulation and proposed regulation of the payments</w:t>
      </w:r>
    </w:p>
    <w:p>
      <w:pPr>
        <w:spacing w:after="0" w:line="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industry has increased significantly in recent years. Failure to comply with regulations or guidelines may result in the suspension or revocation of a license or registration, the limitation, suspension or termination of service, including money transmission services, and the imposition of civil and criminal penalties, including fines, or may cause customers or potential customers to be reluctant to do business with us, any of which could have an adverse effect on our financial condition.</w:t>
      </w:r>
    </w:p>
    <w:p>
      <w:pPr>
        <w:spacing w:after="0" w:line="1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Interchange fees are subject to intense legal, regulatory and legislative scrutiny. In particular, the Dodd-Frank Act limits the amount of debit card fees charged by certain issuers, allowing merchants to set minimum dollar amounts for the acceptance of credit cards and allowing merchants to offer discounts or other incentives for different payment methods. These types of restrictions could negatively affect the number of debit transactions, which would</w:t>
      </w:r>
    </w:p>
    <w:p>
      <w:pPr>
        <w:spacing w:after="0" w:line="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adversely affect our business. The Dodd-Frank Act also created the CFPB, which has assumed responsibility for enforcing federal consumer protection laws, and the FSOC, which has the authority to determine whether any non-bank financial company, which may include us within the definitional scope, should be supervised by the Federal Reserve because it is systemically important to the U.S. financial system. Any such designation would result in increased regulatory burdens on our business, which increases our risk profile and may have an adverse impact on our business, financial condition and results of operations.</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and many of our merchants may be subject to Section 5 of the Federal Trade Commission Act prohibiting unfair or deceptive acts or practices. That statement and other laws, rules and or regulations, including the Telemarketing Sales Act, may directly impact the activities of certain of our merchants and, in some cases, may subject us, as the merchant's electronic processor or provider of certain services, to investigations, fees, fines and disgorgement of funds if we were deemed to have improperly aided and abetted or otherwise provided the means and instrumentalities to facilitate the illegal or improper activities of the merchant through our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business may also be subject to the FCRA, which regulates the use and reporting of consumer credit information and also imposes disclosure requirements on entities that take adverse action based on information obtained from credit reporting agencies. We could be liable if our practices under the FCRA are not in compliance with the FCRA or regulations under it.</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Separately, the Housing Assistance Tax Act of 2008 included an amendment to the Internal Revenue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Transactions that are reportable pursuant to these rules are subject to backup withholding requirements. We could be liable for penalties if our information returns do not comply with these regulations.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and other laws and regulations, even if not directed at us, may require us to make significant efforts to change our products and services and may require that we incur additional compliance costs and change how we price our services to merchants. Implementing new compliance efforts may be difficult because of the complexity of new regulatory requirements and may cause us to devote significant resources to ensure compliance. Furthermore, regulatory actions may cause changes in business practices by us and other industry participants which could affect how we market, price and distribute our products and services, which could limit our ability to grow, reduce our revenues or increase our costs. In addition, even an inadvertent failure to comply with laws and regulations, as well as rapidly evolving social expectations of corporate fairness, could damage our business or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intellectual property and may be subject to infringement claims.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rely on a combination of contractual rights and copyright, trademark, patent and trade secret laws to establish and protect our proprietary technology.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 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or the inability to license or otherwise use third-party intellectual property could harm our business and ability to compete.</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also be subject to costly litigation if our services and technology are alleged to infringe upon or otherwise violate a third party's proprietary rights. Third parties may have, or may eventually be issued, patents that could be infringed by our products, services or technology. Any of these third parties could make a claim of infringement against us with respect to our products, services or technology. We may also be subject to claims by third parties for patent, copyright or trademark infringement, breach of license or violation of other third-party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Claims of intellectual property infringement or violation also might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circumstances, may be unable to uphold our contractual obligations. If we cannot or do not license the infringed technology on reasonable terms or substitute similar technology from another source, our revenue and earnings could be adversely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could adversely affect our results of operations and cash flows from operations.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Changes in tax laws in our significant tax jurisdictions could materially increase the amount of taxes we owe, thereby negatively impacting our results of operations as well as our cash flows from operations. For example, restrictions on the deductibility of interest expense in a U.S. jurisdiction without a corresponding reduction in statutory tax rates could negatively impact our effective tax rate, financial position, results of operations and cash flows in the period that such a change occurs and future periods.</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costs and subject us to reputational damage that could limit our ability to grow and cause us to lose existing merchant clients.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Related to Our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substantial indebtedness.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 substantial amount of indebtedness and may incur other debt in the future. Our level of debt and the covenant to which we agreed could have negative consequences on us, including, among other things, (i) requiring us to dedicate a large portion of our cash flow from operations to servicing and repayment of the debt; (ii) limiting funds available for strategic initiatives and opportunities, working capital and other general corporate needs and (iii) limiting our ability to incur certain kinds or amounts of additional indebtedness, which could restrict our ability to react to changes in our business, our industry and economic conditions.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42424"/>
        </w:rPr>
        <w:t>Substantially all of our indebtedness is variable rate debt, primarily based on LIBOR. LIBOR has been the subject of recent national, international, and other regulatory guidance and proposals for reform, which will cause LIBOR to disappear entirely in 2023 and largely be replaced by SOFR. As a result of this variable rate debt, an increase in interest rates generally, such as those we have recently experienced, would adversely affect our profitability. We may enter into pay-fixed interest rate swaps or other derivative transactions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18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agreements governing our existing credit facilities and any other debt instruments we may issue in the future will contain restrictive covenants that may impair our ability to conduct business.</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credit agreements governing our existing credit facilities contain operating covenants and financial covenants that may limit management's discretion with respect to certain business matters. In addition, any debt instruments we may issue in the future will likely contain similar operating and financial covenants restricting our business. Among other things, these covenants will restrict our ability to:</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redeem or purchase equity interests;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or other investments;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the credit agreements governing our senior credit facilities contain a total net leverage ratio financial covenant. A breach of any of these covenants (or any other covenant in the documents governing our Credit and Guaranty Agreement) could result in a default or event of default under our Credit and Guaranty Agreement. If an event of default occurred,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connection with our Credit and Guaranty Agreement. Any acceleration of amounts due under the Credit and Guaranty Agreement would likely have a material adverse effect on us.</w:t>
      </w:r>
    </w:p>
    <w:p>
      <w:pPr>
        <w:spacing w:after="0" w:line="15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Mr. Thomas Priore, our President, Chief Executive Officer and Chairman, controls the Company, and his interests may conflict with ours or yours in the future.</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Thomas Priore and his affiliates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Amended and Restated Certificate of Incorporation and our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19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neither he nor any of his affiliates, or any director who is not employed by us (including any non-employee director who serves as one of our officers in both his director and officer capacities)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Thomas Priore and his respective affiliates collectively own at least 50% of all outstanding shares of our Common Stock entitled to vote generally in the election of directors, they will be able to appoint individuals to our Board of Directors. In addition, given his level of control, Thomas Priore will be able to determine the outcome of all matters requiring stockholder approval and will be able to cause or prevent a change of control of the Company or a change in the composition of our Board of Directors and could preclude any unsolicited acquisition of the Company. The concentration of ownership could deprive you of an opportunity to receive a premium for your shares of Common Stock as part of a sale of the Company and ultimately might affect the market price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the ability to redeem outstanding warrants (the "Warrants") at any time after they become exercisable and prior to their expiration, at $0.01 per warrant, if the last reported sales price (or the closing bid price of our Common Stock in the event the Common Stock is not traded on any specific trading day) of the Common Stock equals or exceeds $16.00 per share for any 20 trading days within a 30-trading day period ending on the third business day prior to the date we send proper notice of such redemption, provided that on the date we give notice of redemption and during the entire period thereafter until the time we redeem the Warrants, we have an effective registration statement under the Securities Act covering the Common Stock issuable upon exercise of the Warrants and a current prospectus relating to them is available or cashless exercise is exempt from the registration requirements under the Securities Act. If and when the Warrants become redeemable by us, we may exercise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redemption right even if we are unable to register or qualify the underlying securities for sale under all applicable state securities laws. Redemption of the outstanding Warrants could force a warrant holder: (i) to exercise Warrants and pay the exercise price therefore at a time when it may be disadvantageous for you to do so; (ii) to sell Warrants at the then-current market price when you might otherwise wish to hold your Warrants; or (iii) to accept the nominal redemption price which, at the time the outstanding Warrants are called for redemption, may be substantially less than the market value of your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liquidity of the Warrants may be limited.</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is a limited trading market for our Warrants, which might adversely affect the liquidity, market price and price volatility of the Warrants. In addition, our publicly traded Warrants have been removed from quotation on The Nasdaq Capital Market. As a result, investors in our Warrants may find it more difficult to dispose of or obtain accurate quotations as to the market value of our Warrants, and the ability of our stockholders to sell our Warrants in the secondary market has been materially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Changes in the method for determining the LIBOR and the potential replacement of the LIBOR benchmark interest rate could adversely affect our business, financial condition, results of operations and cash flows.</w:t>
      </w:r>
    </w:p>
    <w:p>
      <w:pPr>
        <w:spacing w:after="0" w:line="1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majority of our current indebtedness bears interest at a variable rate based on LIBOR, and we may incur additional indebtedness based on LIBOR. In July 2017, the FCA, a regulator of financial services firms and financial markets in the United Kingdom, stated that they will plan for a phase out of regulatory oversight of LIBOR interest rates indices. The FCA has indicated they will support the LIBOR indices through 2021, to allow for an orderly transition to an alternative reference rate. The ICE Benchmark Administration Limited recently announced that LIBOR settings will cease at the end of June 2023. The Alternative Reference Rates Committee has proposed the SOFR as its recommended alternative to LIBOR, and the Federal Reserve Bank of New York began publishing SOFR rates in April 2018. SOFR is intended to be a broad measure of the cost of borrowing cash overnight collateralized by</w:t>
      </w:r>
    </w:p>
    <w:p>
      <w:pPr>
        <w:spacing w:after="0" w:line="2"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color w:val="auto"/>
        </w:rPr>
        <w:t>U.S. Treasury securities. At this time, it is not possible to predict when LIBOR will be replaced as the reference rate in the agreements governing the Company's indebtedness or the effect any discontinuance, modification or other reforms to LIBOR, or the establishment of alternative reference rates such</w:t>
      </w:r>
    </w:p>
    <w:p>
      <w:pPr>
        <w:ind w:right="200"/>
        <w:spacing w:after="0" w:line="282" w:lineRule="auto"/>
        <w:rPr>
          <w:sz w:val="20"/>
          <w:szCs w:val="20"/>
          <w:color w:val="auto"/>
        </w:rPr>
      </w:pPr>
      <w:r>
        <w:rPr>
          <w:rFonts w:ascii="Times New Roman" w:cs="Times New Roman" w:eastAsia="Times New Roman" w:hAnsi="Times New Roman"/>
          <w:sz w:val="18"/>
          <w:szCs w:val="18"/>
          <w:color w:val="auto"/>
        </w:rPr>
        <w:t>as SOFR, or any other reference rate, will have on the Company. When LIBOR ceases to exist or if the methods of calculating LIBOR change from their current form prior to LIBOR’s cessation, however, the Company's borrowing costs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from several offices throughout the U.S. and one office in India, all of which we 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office locations include:</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headquarters in Alpharetta, GA;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Hicksville, 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New York, 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Raleigh, NC;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Chandigarh, India.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several small facilities for sales and operations. Our current facilities meet the needs of our employee base and can accommodate our currently contemplated growth.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19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25, 2018, our Common Stock began trading on The Nasdaq Capital Market under the symbol "PRTH". As of March 17, 2023, we had 85 holders of record of our Common Stock. This figure does not include the number of persons whose securities are held in nominee or "street" name accounts through brokers. We have never declared or paid, and do not anticipate declaring or paying in the foreseeable future, any cash dividends on our Common Stock.</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0" w:lineRule="exact"/>
        <w:rPr>
          <w:sz w:val="20"/>
          <w:szCs w:val="20"/>
          <w:color w:val="auto"/>
        </w:rPr>
      </w:pPr>
    </w:p>
    <w:p>
      <w:pPr>
        <w:ind w:left="20" w:right="340"/>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4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remaining</w:t>
            </w:r>
          </w:p>
        </w:tc>
      </w:tr>
      <w:tr>
        <w:trPr>
          <w:trHeight w:val="180"/>
        </w:trPr>
        <w:tc>
          <w:tcPr>
            <w:tcW w:w="236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140" w:type="dxa"/>
            <w:vAlign w:val="bottom"/>
          </w:tcPr>
          <w:p>
            <w:pPr>
              <w:spacing w:after="0"/>
              <w:rPr>
                <w:sz w:val="15"/>
                <w:szCs w:val="15"/>
                <w:color w:val="auto"/>
              </w:rPr>
            </w:pPr>
          </w:p>
        </w:tc>
        <w:tc>
          <w:tcPr>
            <w:tcW w:w="18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31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r>
      <w:tr>
        <w:trPr>
          <w:trHeight w:val="184"/>
        </w:trPr>
        <w:tc>
          <w:tcPr>
            <w:tcW w:w="23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40" w:type="dxa"/>
            <w:vAlign w:val="bottom"/>
          </w:tcPr>
          <w:p>
            <w:pPr>
              <w:spacing w:after="0"/>
              <w:rPr>
                <w:sz w:val="16"/>
                <w:szCs w:val="16"/>
                <w:color w:val="auto"/>
              </w:rPr>
            </w:pPr>
          </w:p>
        </w:tc>
        <w:tc>
          <w:tcPr>
            <w:tcW w:w="18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equity compensation plans (excluding</w:t>
            </w:r>
          </w:p>
        </w:tc>
      </w:tr>
      <w:tr>
        <w:trPr>
          <w:trHeight w:val="229"/>
        </w:trPr>
        <w:tc>
          <w:tcPr>
            <w:tcW w:w="2360" w:type="dxa"/>
            <w:vAlign w:val="bottom"/>
            <w:gridSpan w:val="2"/>
          </w:tcPr>
          <w:p>
            <w:pPr>
              <w:jc w:val="center"/>
              <w:ind w:right="140"/>
              <w:spacing w:after="0" w:line="230" w:lineRule="exact"/>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Times New Roman" w:cs="Times New Roman" w:eastAsia="Times New Roman" w:hAnsi="Times New Roman"/>
                <w:sz w:val="23"/>
                <w:szCs w:val="23"/>
                <w:b w:val="1"/>
                <w:bCs w:val="1"/>
                <w:color w:val="auto"/>
                <w:w w:val="97"/>
                <w:vertAlign w:val="superscript"/>
              </w:rPr>
              <w:t>(1)</w:t>
            </w:r>
          </w:p>
        </w:tc>
        <w:tc>
          <w:tcPr>
            <w:tcW w:w="2020" w:type="dxa"/>
            <w:vAlign w:val="bottom"/>
            <w:gridSpan w:val="3"/>
          </w:tcPr>
          <w:p>
            <w:pPr>
              <w:jc w:val="center"/>
              <w:ind w:right="140"/>
              <w:spacing w:after="0" w:line="230" w:lineRule="exact"/>
              <w:rPr>
                <w:sz w:val="20"/>
                <w:szCs w:val="20"/>
                <w:color w:val="auto"/>
              </w:rPr>
            </w:pPr>
            <w:r>
              <w:rPr>
                <w:rFonts w:ascii="Times New Roman" w:cs="Times New Roman" w:eastAsia="Times New Roman" w:hAnsi="Times New Roman"/>
                <w:sz w:val="18"/>
                <w:szCs w:val="18"/>
                <w:b w:val="1"/>
                <w:bCs w:val="1"/>
                <w:color w:val="auto"/>
                <w:w w:val="98"/>
              </w:rPr>
              <w:t>warrants and rights</w:t>
            </w:r>
            <w:r>
              <w:rPr>
                <w:rFonts w:ascii="Times New Roman" w:cs="Times New Roman" w:eastAsia="Times New Roman" w:hAnsi="Times New Roman"/>
                <w:sz w:val="23"/>
                <w:szCs w:val="23"/>
                <w:b w:val="1"/>
                <w:bCs w:val="1"/>
                <w:color w:val="auto"/>
                <w:w w:val="98"/>
                <w:vertAlign w:val="superscript"/>
              </w:rPr>
              <w:t>(2)</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 the first column)</w:t>
            </w:r>
          </w:p>
        </w:tc>
      </w:tr>
      <w:tr>
        <w:trPr>
          <w:trHeight w:val="412"/>
        </w:trPr>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2,689,353</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tcPr>
          <w:p>
            <w:pPr>
              <w:spacing w:after="0"/>
              <w:rPr>
                <w:sz w:val="24"/>
                <w:szCs w:val="24"/>
                <w:color w:val="auto"/>
              </w:rPr>
            </w:pPr>
          </w:p>
        </w:tc>
        <w:tc>
          <w:tcPr>
            <w:tcW w:w="3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3,505,286</w:t>
            </w:r>
          </w:p>
        </w:tc>
      </w:tr>
      <w:tr>
        <w:trPr>
          <w:trHeight w:val="418"/>
        </w:trPr>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-539750</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3580" w:space="180"/>
            <w:col w:w="7480"/>
          </w:cols>
          <w:pgMar w:left="320" w:top="121" w:right="339" w:bottom="1440" w:gutter="0" w:footer="0" w:header="0"/>
          <w:type w:val="continuous"/>
        </w:sectPr>
      </w:pPr>
    </w:p>
    <w:p>
      <w:pPr>
        <w:ind w:left="640" w:hanging="308"/>
        <w:spacing w:after="0"/>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stock options and RSU outstanding under the Company's 2018 Plan.</w:t>
      </w:r>
    </w:p>
    <w:p>
      <w:pPr>
        <w:spacing w:after="0" w:line="1"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weighted-average exercise price set forth in this column is calculated for stock options outstanding and excludes outstanding RSU awards, since recipients are not required to pay an exercise price to receive the shares related to these awards.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made by the Company of its Common Stock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(shares are in whole units):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40" w:type="dxa"/>
            <w:vAlign w:val="bottom"/>
          </w:tcPr>
          <w:p>
            <w:pPr>
              <w:spacing w:after="0"/>
              <w:rPr>
                <w:sz w:val="18"/>
                <w:szCs w:val="18"/>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40" w:type="dxa"/>
            <w:vAlign w:val="bottom"/>
          </w:tcPr>
          <w:p>
            <w:pPr>
              <w:spacing w:after="0"/>
              <w:rPr>
                <w:sz w:val="15"/>
                <w:szCs w:val="15"/>
                <w:color w:val="auto"/>
              </w:rPr>
            </w:pPr>
          </w:p>
        </w:tc>
        <w:tc>
          <w:tcPr>
            <w:tcW w:w="1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14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40" w:type="dxa"/>
            <w:vAlign w:val="bottom"/>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that May Yet Be Purchased</w:t>
            </w:r>
          </w:p>
        </w:tc>
        <w:tc>
          <w:tcPr>
            <w:tcW w:w="0" w:type="dxa"/>
            <w:vAlign w:val="bottom"/>
          </w:tcPr>
          <w:p>
            <w:pPr>
              <w:spacing w:after="0"/>
              <w:rPr>
                <w:sz w:val="1"/>
                <w:szCs w:val="1"/>
                <w:color w:val="auto"/>
              </w:rPr>
            </w:pPr>
          </w:p>
        </w:tc>
      </w:tr>
      <w:tr>
        <w:trPr>
          <w:trHeight w:val="243"/>
        </w:trPr>
        <w:tc>
          <w:tcPr>
            <w:tcW w:w="2820" w:type="dxa"/>
            <w:vAlign w:val="bottom"/>
            <w:gridSpan w:val="2"/>
            <w:vMerge w:val="continue"/>
          </w:tcPr>
          <w:p>
            <w:pPr>
              <w:spacing w:after="0"/>
              <w:rPr>
                <w:sz w:val="21"/>
                <w:szCs w:val="21"/>
                <w:color w:val="auto"/>
              </w:rPr>
            </w:pP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18"/>
                <w:szCs w:val="18"/>
                <w:b w:val="1"/>
                <w:bCs w:val="1"/>
                <w:color w:val="auto"/>
                <w:w w:val="99"/>
              </w:rPr>
              <w:t>Shares Purchased</w:t>
            </w:r>
            <w:r>
              <w:rPr>
                <w:rFonts w:ascii="Times New Roman" w:cs="Times New Roman" w:eastAsia="Times New Roman" w:hAnsi="Times New Roman"/>
                <w:sz w:val="23"/>
                <w:szCs w:val="23"/>
                <w:b w:val="1"/>
                <w:bCs w:val="1"/>
                <w:color w:val="auto"/>
                <w:w w:val="99"/>
                <w:vertAlign w:val="superscript"/>
              </w:rPr>
              <w:t>(1)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4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Plans or Programs</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1-31, 2022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154,356</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121,593</w:t>
            </w:r>
          </w:p>
        </w:tc>
        <w:tc>
          <w:tcPr>
            <w:tcW w:w="14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872,489</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1-30,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177,508</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165,586</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706,903</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1-31, 2022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201,087</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690,626</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532,951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303,456</w:t>
            </w: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180" w:hanging="328"/>
        <w:spacing w:after="0" w:line="229"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shares withheld to satisfy employees' tax withholding obligations in connection with the vesting of restricted stock awards. The number of shares withheld was determined based on the fair market value on the vesting date.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ind w:right="80"/>
        <w:spacing w:after="0" w:line="24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following management's discussion and analysis of financial condition and results of operations should be read together with our audited financial statements and the related notes included elsewhere in this Annual Report on Form 10-K. This section of this Form 10-K generally discusses 2022 and 2021 items and year-over-year comparisons between 2022 and 2021. Discussions of 2020 items and year-over-year comparisons between 2021 and 2020 </w:t>
      </w:r>
      <w:hyperlink r:id="rId43">
        <w:r>
          <w:rPr>
            <w:rFonts w:ascii="Times New Roman" w:cs="Times New Roman" w:eastAsia="Times New Roman" w:hAnsi="Times New Roman"/>
            <w:sz w:val="18"/>
            <w:szCs w:val="18"/>
            <w:color w:val="auto"/>
          </w:rPr>
          <w:t xml:space="preserve">are not included in this Form 10-K, and can be found in </w:t>
        </w:r>
        <w:r>
          <w:rPr>
            <w:rFonts w:ascii="Times New Roman" w:cs="Times New Roman" w:eastAsia="Times New Roman" w:hAnsi="Times New Roman"/>
            <w:sz w:val="18"/>
            <w:szCs w:val="18"/>
            <w:u w:val="single" w:color="auto"/>
            <w:color w:val="0000FF"/>
          </w:rPr>
          <w:t>"Management's Discussion and Analysis of Financial Condition and Results of Operations" in Part</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FF"/>
          </w:rPr>
          <w:t>II, Item 7 of the Company's Annual Report on Form 10-K for the year ended December 31, 2021</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this section may not add mathematically due to rounding.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 description and additional information about our three reportable segments, see </w:t>
      </w:r>
      <w:r>
        <w:rPr>
          <w:rFonts w:ascii="Times New Roman" w:cs="Times New Roman" w:eastAsia="Times New Roman" w:hAnsi="Times New Roman"/>
          <w:sz w:val="18"/>
          <w:szCs w:val="18"/>
          <w:u w:val="single" w:color="auto"/>
          <w:color w:val="0000FF"/>
        </w:rPr>
        <w:t>Note 20. Segment Information</w:t>
      </w:r>
      <w:r>
        <w:rPr>
          <w:rFonts w:ascii="Times New Roman" w:cs="Times New Roman" w:eastAsia="Times New Roman" w:hAnsi="Times New Roman"/>
          <w:sz w:val="18"/>
          <w:szCs w:val="18"/>
          <w:color w:val="auto"/>
        </w:rPr>
        <w:t>, contained in "</w:t>
      </w:r>
      <w:r>
        <w:rPr>
          <w:rFonts w:ascii="Times New Roman" w:cs="Times New Roman" w:eastAsia="Times New Roman" w:hAnsi="Times New Roman"/>
          <w:sz w:val="18"/>
          <w:szCs w:val="18"/>
          <w:u w:val="single" w:color="auto"/>
          <w:color w:val="0000FF"/>
        </w:rPr>
        <w:t>Item 8 -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Statements and Supplementary Data</w:t>
      </w:r>
      <w:r>
        <w:rPr>
          <w:rFonts w:ascii="Times New Roman" w:cs="Times New Roman" w:eastAsia="Times New Roman" w:hAnsi="Times New Roman"/>
          <w:sz w:val="18"/>
          <w:szCs w:val="18"/>
          <w:color w:val="000000"/>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section includes certain components of our results of operations for the years ended December 31, 2022 (or "2022"), December 31, 2021 (or "2021") and December 31, 2020 (or "2020"). We have derived this data, except key indicators for merchant bankcard processing dollar values and transaction volumes, from our audited Consolidated Financial Statements included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our consolidated revenue of $663.6 million increased by $148.7 million, or 28.9%, from $514.9 million for the year ended December 31, 2021. This overall increase was driven by an increase in payment volumes fueled by: 1) increased consumer spending and 2) the full-year impact of businesses acquired during the prior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Revenues by type for 2022 and 2021 were as follows: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4"/>
                <w:szCs w:val="24"/>
                <w:color w:val="auto"/>
              </w:rPr>
            </w:pPr>
          </w:p>
        </w:tc>
        <w:tc>
          <w:tcPr>
            <w:tcW w:w="29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23"/>
        </w:trPr>
        <w:tc>
          <w:tcPr>
            <w:tcW w:w="62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553,037</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468,764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84,273</w:t>
            </w:r>
          </w:p>
        </w:tc>
      </w:tr>
      <w:tr>
        <w:trPr>
          <w:trHeight w:val="230"/>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transmission services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71,536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19,415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52,121</w:t>
            </w:r>
          </w:p>
        </w:tc>
      </w:tr>
      <w:tr>
        <w:trPr>
          <w:trHeight w:val="230"/>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3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29,627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8,594</w:t>
            </w:r>
          </w:p>
        </w:tc>
      </w:tr>
      <w:tr>
        <w:trPr>
          <w:trHeight w:val="230"/>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9,441</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3,752</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663,641</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514,901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148,740</w:t>
            </w:r>
          </w:p>
        </w:tc>
      </w:tr>
      <w:tr>
        <w:trPr>
          <w:trHeight w:val="20"/>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Merchant Card Fees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our merchant card fees revenue of $553.0 million increased by $84.2 million, or 18.0%, from $468.8 million for the year ended December 31, 2021. This increase was driven by an increase in the merchant bankcard volume processed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Money Transmission Services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 transmission services revenue of $71.5 million for the year ended December 31, 2022 increased by $52.1 million or 268.6%, from $19.4 million for the year ended December 31, 2021 and is primarily related to the full-year impact of the Finxera acquisition in September 2021 and continued growth in the customers and markets it 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Outsourced Services and Other Services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Outsourced services and other services revenue of $29.6 million for the year ended December 31, 2022 increased by $8.6 million, or 41.0%, from $21.0 million for the year ended December 31, 2021. This increase was primarily driven by growth in revenue from AP automation solutions and increased volumes in the card issuing business. The increase was offset by a decrease of $1.7 million driven by the wind down of certain customer programs in the managed services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Equipment revenue of $9.4 million for the year ended December 31, 2022, increased by $3.7 million, or 64.9%, from $5.7 million for the year ended December 31, 2021. The increase was primarily due to increased sales of mobile card reader equipment and other equipment from our MX product line.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for 2022 and 2021 were as follows: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23"/>
        </w:trPr>
        <w:tc>
          <w:tcPr>
            <w:tcW w:w="65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 (excludes depreciation and amortization)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436,753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359,885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76,868</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43,818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21,259</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70,681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20,984</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34,965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28,408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6,557</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607,476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481,808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125,668</w:t>
            </w: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Costs of Services (excludes depreciation and amortization)</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Costs of services (excludes depreciation and amortization) of $436.8 million for the year ended December 31, 2022 increased by $76.9 million, or 21.4%, from $359.9 million for the year ended December 31, 2021, primarily due to the corresponding increase in revenues. For the year ended December 31, 2022, costs of services (excluding depreciation and amortization) as a percentage of total revenues decreased to 65.8% as compared to 69.9% for the year ended December 31, 2021. This decrease was primarily due the full-year impact of the Finxera acquisition in September 2021, partially offset by a mix of bankcard volume growth from larger reseller partners with higher commissions.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Salary and employee benefits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Salary and employee benefits expense of $65.1 million for the year ended December 31, 2022 increased by $21.3 million, or 48.6%, from $43.8 million for the year ended December 31, 2021, primarily due to pay raises, full-year impact of the Finxera business acquired in September 2021, an increase in stock-based compensation and overall growth of the Company. The Company's employee headcount increased to 870 in 2022 from 790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 expense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$70.7 million for the year ended December 31, 2022 increased by $21.0 million, or 42.3%, from $49.7 million for the year ended December 31, 2021, primarily due to the full-year amortization of finite-lived intangible assets from acquired businesses.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of $35.0 million for the year ended December 31, 2022 increased by $6.6 million, or 23.2%, from $28.4 million for the year ended December 31, 2021, primarily due to full-year impact of acquired businesses and certain non-recurring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 net</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9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4"/>
                <w:szCs w:val="24"/>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23"/>
        </w:trPr>
        <w:tc>
          <w:tcPr>
            <w:tcW w:w="69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(17,069)</w:t>
            </w: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8,322</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 and investment</w:t>
            </w:r>
          </w:p>
        </w:tc>
        <w:tc>
          <w:tcPr>
            <w:tcW w:w="2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(7,643)</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(52,965)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(36,962)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(16,003)</w:t>
            </w:r>
          </w:p>
        </w:tc>
      </w:tr>
      <w:tr>
        <w:trPr>
          <w:trHeight w:val="21"/>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Interest expense of $53.6 million for the year ended December 31, 2022 increased by $17.1 million, or 46.8%, from $36.5 million for the year ended December 31, 2021, primarily due to full-year impact of additional borrowings to fund acquisitions in 2021 and an increase in variable interest rates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extinguishment and modification Costs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refinanced its credit facilities in April 2021 and expensed unamortized deferred costs and discounts of $3.0 million associated with the retirement of its subordinated debt facility and expensed $5.3 million of third-party costs incurred in connection with the refinancing.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 of business and investment</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Gain on sale of business and investment for the year ended December 31, 2021 was $7.6 million, which resulted from consideration received by the Company in connection with the termination of certain warrants held in the Common Stock of an entity that was sold during the prior year.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Income tax expense</w:t>
            </w:r>
          </w:p>
        </w:tc>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93"/>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24"/>
                <w:szCs w:val="24"/>
                <w:color w:val="auto"/>
              </w:rPr>
            </w:pPr>
          </w:p>
        </w:tc>
        <w:tc>
          <w:tcPr>
            <w:tcW w:w="30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6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23"/>
        </w:trPr>
        <w:tc>
          <w:tcPr>
            <w:tcW w:w="144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w:t>
            </w:r>
          </w:p>
        </w:tc>
      </w:tr>
      <w:tr>
        <w:trPr>
          <w:trHeight w:val="22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r>
      <w:tr>
        <w:trPr>
          <w:trHeight w:val="23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167.2 %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bl>
    <w:p>
      <w:pPr>
        <w:spacing w:after="0" w:line="2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effective tax rate for 2022 increased primarily due to an increase in the valuation allowance against certain business interest carryover deferred tax assets.</w:t>
      </w:r>
    </w:p>
    <w:p>
      <w:pPr>
        <w:spacing w:after="0" w:line="162"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Our consolidated effective income tax rates differ from the statutory rate due to timing and permanent differences between amounts calculated under GAAP and the U.S. tax code. The consolidated effective income tax rate for 2022 may not be indicative of our effective tax rate for future periods.</w:t>
      </w:r>
    </w:p>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August 16, 2022, the U.S. government enacted the Inflation Reduction Act into law. The IRA, among other provisions, implements a 15% corporate alternative minimum tax based on global adjusted financial statement income and a 1% excise tax on share repurchases, which shall take effect in tax years beginning after December 31, 2022. We are in the process of evaluating the provisions of the IRA, but we do not currently believe the IRA will have a material effect on our reported results, cash flows, or financial position when it becomes effective. If applicable, we expect to reflect the excise tax within equity as part of the repurchase price of Common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Attributable to Common Shareholders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7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4"/>
                <w:szCs w:val="24"/>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6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23"/>
        </w:trPr>
        <w:tc>
          <w:tcPr>
            <w:tcW w:w="67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242424"/>
              </w:rPr>
              <w:t>$ Change</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(3,539)</w:t>
            </w: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Dividends and accretion attributable to redeemable senior preferred stockholders</w:t>
            </w: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(18,871)</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NCI preferred unit redemptions, net of deferred tax benefit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8,021</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(39,030)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(24,641)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(14,389)</w:t>
            </w:r>
          </w:p>
        </w:tc>
      </w:tr>
      <w:tr>
        <w:trPr>
          <w:trHeight w:val="20"/>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Dividends and accretion attributable to redeemable senior preferred stockholders was $36.9 million for the year ended December 31, 2022, and was comprised of $22.1 million of accumulated dividends accrued as part of the carrying value of the redeemable senior preferred stock and the cash dividend payable at year end, $11.5 million of dividends that were paid in cash, and $3.3 million related to accretion of discounts and issuance costs for the redeemable senior preferred stock. The increase in dividends and accretion attributable to redeemable senior preferred stockholders from 2021 to 2022 is due to a full-year impact of dividends and accretion, as well as an increase in the dividend rate for 2022 resulting from an increase in variable interest rates during the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SMB Payments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24"/>
                <w:szCs w:val="24"/>
                <w:color w:val="auto"/>
              </w:rPr>
            </w:pPr>
          </w:p>
        </w:tc>
        <w:tc>
          <w:tcPr>
            <w:tcW w:w="30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562,237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475,630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86,607</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507,371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422,746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84,625</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11.1 %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43,925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59,440,491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53,411,622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6,028,869</w:t>
            </w:r>
          </w:p>
        </w:tc>
        <w:tc>
          <w:tcPr>
            <w:tcW w:w="0" w:type="dxa"/>
            <w:vAlign w:val="bottom"/>
          </w:tcPr>
          <w:p>
            <w:pPr>
              <w:spacing w:after="0"/>
              <w:rPr>
                <w:sz w:val="1"/>
                <w:szCs w:val="1"/>
                <w:color w:val="auto"/>
              </w:rPr>
            </w:pPr>
          </w:p>
        </w:tc>
      </w:tr>
      <w:tr>
        <w:trPr>
          <w:trHeight w:val="234"/>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8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636,576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58,474</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Revenue from our SMB Payments segment was $562.2 million for the year ended December 31, 2022, compared to $475.6 million for the year ended December 31, 2021. The increase of $86.6 million, or 18.2%, was primarily driven by increased merchant bankcard volume and certain fee revenues. The Company's revenue from the SMB Payments segment as a percentage of merchant bankcard processing dollar value during 2022 increased to 0.95% from 0.89% during 2021. The increase was primarily driven by increased volume (transaction count) related fee revenues and changes in the merchant mix.</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Operating income from our SMB Payments segment was $54.9 million for the year ended December 31, 2022, compared to $52.9 million for the year ended December 31, 2021. The increase of $2.0 million, or 3.8%, is due to increased revenue and was offset by a mix of volume growth from larger reseller partners with higher commissions and an increase in other operating expenses. Increase in other operating expenses include a $6.3 million increase in salary and employee benefits due to higher headcount, a $2.2 million increase in selling, general and administrative expenses driven by higher travel and other operating costs, a $2.8 million increase in depreciation and amortization, and higher stock-based compensation and pay raises. The increase in headcount and selling, general and administrative expenses are mainly attributable to growth initiatives. Increase in other operating expenses were offset by an increase in operating income from higher revenue.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B2B Payments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4"/>
                <w:szCs w:val="24"/>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6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18,682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17,003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526,812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323,502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203,310</w:t>
            </w:r>
          </w:p>
        </w:tc>
        <w:tc>
          <w:tcPr>
            <w:tcW w:w="0" w:type="dxa"/>
            <w:vAlign w:val="bottom"/>
          </w:tcPr>
          <w:p>
            <w:pPr>
              <w:spacing w:after="0"/>
              <w:rPr>
                <w:sz w:val="1"/>
                <w:szCs w:val="1"/>
                <w:color w:val="auto"/>
              </w:rPr>
            </w:pPr>
          </w:p>
        </w:tc>
      </w:tr>
      <w:tr>
        <w:trPr>
          <w:trHeight w:val="234"/>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Revenue from our B2B Payments segment was $18.9 million for the year ended December 31, 2022, compared to $17.1 million for the year ended December 31, 2021. The increase of $1.8 million, or 10.5%, was primarily driven by an increase of $3.5 million in the CPX business, of which $2.5 million is related to volume growth, and the remaining increase of $1.0 million is from the recognition of certain revenues for which recovery became probable during the current year. This increase was offset by a decrease of $1.7 million driven by the wind down of certain customer programs in the managed services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Operating income from our B2B Payments segment was $0.2 million for the year ended December 31, 2022, compared to $0.1 million for the year ended December 31, 2021. This is due to the increase in revenue from the CPX business was offset by a decrease in revenue from the managed services business due to the wind down of certain customer programs.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Payments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24"/>
                <w:szCs w:val="24"/>
                <w:color w:val="auto"/>
              </w:rPr>
            </w:pPr>
          </w:p>
        </w:tc>
        <w:tc>
          <w:tcPr>
            <w:tcW w:w="31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60" w:type="dxa"/>
            <w:vAlign w:val="bottom"/>
          </w:tcPr>
          <w:p>
            <w:pPr>
              <w:spacing w:after="0"/>
              <w:rPr>
                <w:sz w:val="24"/>
                <w:szCs w:val="24"/>
                <w:color w:val="auto"/>
              </w:rPr>
            </w:pP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82,514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60,381</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51,577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36,207</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24,174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37.5 %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17,734</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1,760,518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52,376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1,708,142</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4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number of billed clients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380,233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345,828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34,405</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Revenue from our Enterprise Payments segment was $82.5 million for the year ended December 31, 2022, compared to $22.1 million for the year ended December 31, 2021. The increase of $60.4 million, or 273.3%, was primarily driven by full-year impact of Finxera business acquired in September 2021 and continued growth in the customers and markets it 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Operating income from our Enterprise Payments segment was $30.9 million for the year ended December 31, 2022, compared to $6.8 million for the year ended December 31, 2021. The increase of $24.1 million, or 354.4%, was primarily driven by full-year impact of Finxera business acquired in September 2021 and continued growth in the customers and markets it serves.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from our Enterprise Payments segment was $24.9 million for the year ended December 31, 2022, compared to $7.2 million for the year ended December 31, 2021. The increase of $17.7 million, or 245.8%, was primarily driven by the amortization of intangibles resulting from the Finxera acquisition in September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 This is based upon management's estimates and assumptions, including utilizing the most currently available information regarding the effects of the COVID-19 pandemic on our financial results. Actual future results could differ materially, as the magnitude, duration and effects of changes in economic, political and market conditions are difficult to predict, and ultimately could negatively impact our liquidity and capital resources.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principal uses of cash are to fund business operations (including capital expenditures and strategic investments) and administrative costs, and to service our debt.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working capital, defined as current assets less current liabilities, was $22.5 million at December 31, 2022 and $19.6 million at December 31, 2021. As of December 31, 2022, we had cash and cash equivalents with a balance of $18.5 million compared to $20.3 million at December 31, 2021. These cash and cash equivalent balances do not include restricted cash of $10.6 million and $28.9 million at December 31, 2022 and December 31, 2021, respectively, which reflects cash accounts holding customer settlement funds and cash reserves for potential losses. The current portion of long-term debt included in current liabilities was $6.2 million at December 31, 2022 and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we had availability of approximately $27.5 million under our revolving credit arrangement.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and narrative reflect our changes in cash flows for the comparative annual periods.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3"/>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(451,033)</w:t>
            </w:r>
          </w:p>
        </w:tc>
      </w:tr>
      <w:tr>
        <w:trPr>
          <w:trHeight w:val="22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871,629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429,973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$70.5 million and $9.4 million for the years ended December 31, 2022 and December 31, 2021, respectively. The $61.1 million, or 650.0% increase in 2022 was driven by cash generated from the operations of the Company. Additionally, 2021 included the non-recurring payment of PIK interest of $23.7 million upon the refinancing of our credit facilities in April 2021 which decreased operating cash flows for the year ended December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$36.5 million compared to cash used investing activities of $451.0 million for the years ended December 31, 2022 and 2021, respectively. Net cash used to acquire businesses in 2022 was $5.0 million compared to net cash used of $407.1 million in 2021. Additions to property, equipment and software was $18.9 million for 2022 compared to $9.7 million in 2021 and acquisitions of intangible assets was $8.0 million compared to $49.5 million in 2021. Additionally, grants of certain loans to our partners was $4.7 million for the year ended December 31, 2022. For the year ended December 31, 2021, the Company received proceeds from the sale of an investment of $15.3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Provided by Financing Activities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$8.5 million for the year ended December 31, 2022, compared to $871.6 million of cash used in financing activities in the year ended December 31, 2021. The net cash provided by financing activities for 2022 included changes in the net obligations for funds held on the behalf of customers of $43.1 million and $29.5 million related to additional borrowings under the revolving credit facility. This was offset by $38.2 million of cash used for the repayment of debt including borrowings under the revolving credit facility, $11.5 million of cash dividends paid to redeemable senior preferred stockholders, $7.5 million of cash used for stock repurchases, including a portion related to shares withheld for taxes, and $7.0 million of payments of contingent consideration for business combinations. The net cash provided by financing activities for 2021 included proceeds from the issuance of new debt of $598.2 million, net borrowings from the revolving credit facility of $15.0 million, proceeds from the issuance of the redeemable senior preferred stock of $211.0 million, proceeds from the exercise of stock options of $1.2 million and changes in the net obligations for funds held on the behalf of customers of $417.6 million. These cash inflows were offset by cash used for the repayment of debt of $361.4 million, cash used for the repurchase of Common Stock of $1.7 million, dividends paid to redeemable senior preferred stockholders of $7.5 million and distribution to NCIs in subsidiaries of $0.8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2021, the Company entered into a Credit Agreement with Truist which provides for: 1) a $300.0 million Initial Term Loan; 2) a</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$290.0 million Delayed Draw Term Loan; and 3) a $40.0 million senior secured revolving credit facility. The Credit Agreement was amended on September 17, 2021 to increase the amount of the Delayed Draw Term Loan facility by $30.0 million to $320.0 million. The additional Delayed Draw Term Loan is part of the same class of term loans made pursuant to the original commitments under the Credit Agreement.</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Credit Agreement accrue interest using either a base rate or a LIBOR rate plus an applicable margin per year, subject to a LIBOR rate floor of 1.00% per year. Accrued interest is payable on each interest payment date (as defined in the Credit Agreement).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LIBOR and the rate used for base-rate borrowings.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had outstanding debt obligations, including the current portion and net of unamortized debt discount of</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$605.1 million, compared to $610.3 million at December 31, 2021, resulting in a decrease of $5.2 million. The debt balance at December 31, 2022 consisted of $610.7 million outstanding under the term facility and $12.5 million outstanding under the revolving credit facility, offset by $18.1 million of unamortized debt discounts and issuance costs. Minimum amortization of the Initial Term Loan are equal quarterly installments in aggregate annual amounts equal to 1.0% of original principal, with the balance paid upon maturity. The term facility matures in April 2027 and the revolving credit facility expires in April 2026.</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less unrestricted cash to consolidated adjusted EBITDA (as defined in the Credit Agreement). If applicable, the maximum permitted Total Net Leverage Ratio is: 1) 6.50:1.00 at each fiscal quarter ended September 30, 2021 through June 30, 2022; 2) 6.00:1.00 at each fiscal quarter ended September 30, 2022 through June 30, 2023; and 3) 5.50:1.00 at each fiscal quarter ended September 30, 2023 and thereafter. As of December 31, 2022, the Company was in compliance with the covenants in the Credit Agreement and the Total Net Leverage Ratio was 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recognize an uncertain tax position in our financial statements when we conclude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Long-lived Assets</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test goodwill for impairment for each of our reporting units on an annual basis on October 1 or when events occur, or circumstances indicate the fair value of a reporting unit may be below its carrying value. We perform the annual assessment using the qualitative method. Where deemed appropriate, we may perform a quantitative assessment that uses market data and discounted cash flow analysis, which involve estimates of future revenues and operating cash flows. Changes in these estimates and assumptions or a significant decrease in earnings, could materially affect the fair value of goodwill and could result in a goodwill impairment charge.</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annual impairment assessment for goodwill does not change our requirements to assess goodwill on an interim date between scheduled annual testing dates if triggering events are present.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review our long-lived assets for impairment whenever events or changes in circumstances indicate the carrying value of an asset may not be recoverable. For long-lived assets, except goodwill, an impairment loss is indicated when the undiscounted future cash flows estimated to be generated by the asset group are not sufficient to recover the unamortized balance of the asset group.</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amortize the cost of our acquired intangible assets over their estimated useful lives using either a straight-line or an accelerated method that most accurately reflects the estimated pattern in which the economic benefit of the respective asset is consumed.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allocate the purchase price of an acquired business to the assets acquired and liabilities assumed based on their estimated fair values. The excess of the purchase price over the fair value of the net assets acquired is recorded as goodwill. For acquisitions that include contingent consideration, we estimate the fair value of contingent consideration at the acquisition date. The estimated fair value of contingent consideration is updated in future periods based on information available at that time. Management uses all available information when estimating the fair values of the assets acquired, liabilities assumed and contingent consideration, and must apply judgement and make certain assumptions when making these estimates. The assumptions management uses when determining fair values include estimated future cash flows or income, market rate assumptions, actuarial assumptions and discount rate assumptions. We typically engage third-party valuation advisors to assist in estimating the fair values of acquired assets and assumed liabilities. Our estimates of fair value are based upon assumptions the Company believes to be reasonable, but that are inherently uncertain, and therefore, may not be realized. Accordingly, there can be no assurance that the estimates, assumptions and values reflected in the valuations will be realized, and actual results could differ materially.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Our debt facilities under our Credit Agreement bear interest at either a base rate or a LIBOR rate plus an applicable margin per year, subject to a LIBOR rate floor of 1.00% per year. As of December 31, 2022, we had $623.2 million in outstanding borrowings under our Credit Agreement. Ignoring the 1.00% LIBOR floor, a hypothetical 1.00% increase or decrease in the applicable LIBOR rate on our outstanding indebtedness under the Credit Agreement would increase or decrease cash interest expense on our indebtedness by approximately $6.3 million per year. We do not currently hedge against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80" w:type="dxa"/>
            <w:vAlign w:val="bottom"/>
            <w:gridSpan w:val="4"/>
          </w:tcPr>
          <w:p>
            <w:pPr>
              <w:jc w:val="center"/>
              <w:ind w:left="1499"/>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96"/>
        </w:trPr>
        <w:tc>
          <w:tcPr>
            <w:tcW w:w="91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1580" w:type="dxa"/>
            <w:vAlign w:val="bottom"/>
          </w:tcPr>
          <w:p>
            <w:pPr>
              <w:spacing w:after="0"/>
              <w:rPr>
                <w:sz w:val="17"/>
                <w:szCs w:val="17"/>
                <w:color w:val="auto"/>
              </w:rPr>
            </w:pPr>
          </w:p>
        </w:tc>
        <w:tc>
          <w:tcPr>
            <w:tcW w:w="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39</w:t>
            </w:r>
          </w:p>
        </w:tc>
        <w:tc>
          <w:tcPr>
            <w:tcW w:w="60" w:type="dxa"/>
            <w:vAlign w:val="bottom"/>
            <w:tcBorders>
              <w:top w:val="single" w:sz="8" w:color="auto"/>
            </w:tcBorders>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1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Consolidated Balance Sheets as of December 31, 2022 and December 31, 2021</w:t>
            </w:r>
          </w:p>
        </w:tc>
        <w:tc>
          <w:tcPr>
            <w:tcW w:w="4020" w:type="dxa"/>
            <w:vAlign w:val="bottom"/>
            <w:gridSpan w:val="5"/>
          </w:tcPr>
          <w:p>
            <w:pPr>
              <w:spacing w:after="0"/>
              <w:rPr>
                <w:sz w:val="17"/>
                <w:szCs w:val="17"/>
                <w:color w:val="auto"/>
              </w:rPr>
            </w:pPr>
          </w:p>
        </w:tc>
        <w:tc>
          <w:tcPr>
            <w:tcW w:w="16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41</w:t>
            </w:r>
          </w:p>
        </w:tc>
        <w:tc>
          <w:tcPr>
            <w:tcW w:w="60" w:type="dxa"/>
            <w:vAlign w:val="bottom"/>
          </w:tcPr>
          <w:p>
            <w:pPr>
              <w:spacing w:after="0"/>
              <w:rPr>
                <w:sz w:val="17"/>
                <w:szCs w:val="17"/>
                <w:color w:val="auto"/>
              </w:rPr>
            </w:pPr>
          </w:p>
        </w:tc>
      </w:tr>
      <w:tr>
        <w:trPr>
          <w:trHeight w:val="196"/>
        </w:trPr>
        <w:tc>
          <w:tcPr>
            <w:tcW w:w="61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Consolidated Statements of Operations for the years ended December 31, 2022, 2021 and 2020</w:t>
            </w:r>
          </w:p>
        </w:tc>
        <w:tc>
          <w:tcPr>
            <w:tcW w:w="2980" w:type="dxa"/>
            <w:vAlign w:val="bottom"/>
            <w:gridSpan w:val="3"/>
          </w:tcPr>
          <w:p>
            <w:pPr>
              <w:spacing w:after="0"/>
              <w:rPr>
                <w:sz w:val="17"/>
                <w:szCs w:val="17"/>
                <w:color w:val="auto"/>
              </w:rPr>
            </w:pPr>
          </w:p>
        </w:tc>
        <w:tc>
          <w:tcPr>
            <w:tcW w:w="16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42</w:t>
            </w:r>
          </w:p>
        </w:tc>
        <w:tc>
          <w:tcPr>
            <w:tcW w:w="60" w:type="dxa"/>
            <w:vAlign w:val="bottom"/>
          </w:tcPr>
          <w:p>
            <w:pPr>
              <w:spacing w:after="0"/>
              <w:rPr>
                <w:sz w:val="17"/>
                <w:szCs w:val="17"/>
                <w:color w:val="auto"/>
              </w:rPr>
            </w:pPr>
          </w:p>
        </w:tc>
      </w:tr>
      <w:tr>
        <w:trPr>
          <w:trHeight w:val="196"/>
        </w:trPr>
        <w:tc>
          <w:tcPr>
            <w:tcW w:w="76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Deficit for the years ended December 31, 2022, 2021 and 2020</w:t>
            </w:r>
          </w:p>
        </w:tc>
        <w:tc>
          <w:tcPr>
            <w:tcW w:w="1560" w:type="dxa"/>
            <w:vAlign w:val="bottom"/>
          </w:tcPr>
          <w:p>
            <w:pPr>
              <w:spacing w:after="0"/>
              <w:rPr>
                <w:sz w:val="17"/>
                <w:szCs w:val="17"/>
                <w:color w:val="auto"/>
              </w:rPr>
            </w:pPr>
          </w:p>
        </w:tc>
        <w:tc>
          <w:tcPr>
            <w:tcW w:w="16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42</w:t>
            </w:r>
          </w:p>
        </w:tc>
        <w:tc>
          <w:tcPr>
            <w:tcW w:w="60" w:type="dxa"/>
            <w:vAlign w:val="bottom"/>
          </w:tcPr>
          <w:p>
            <w:pPr>
              <w:spacing w:after="0"/>
              <w:rPr>
                <w:sz w:val="17"/>
                <w:szCs w:val="17"/>
                <w:color w:val="auto"/>
              </w:rPr>
            </w:pPr>
          </w:p>
        </w:tc>
      </w:tr>
      <w:tr>
        <w:trPr>
          <w:trHeight w:val="196"/>
        </w:trPr>
        <w:tc>
          <w:tcPr>
            <w:tcW w:w="91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2022, 2021 and 2020</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44</w:t>
            </w:r>
          </w:p>
        </w:tc>
        <w:tc>
          <w:tcPr>
            <w:tcW w:w="60" w:type="dxa"/>
            <w:vAlign w:val="bottom"/>
          </w:tcPr>
          <w:p>
            <w:pPr>
              <w:spacing w:after="0"/>
              <w:rPr>
                <w:sz w:val="17"/>
                <w:szCs w:val="17"/>
                <w:color w:val="auto"/>
              </w:rPr>
            </w:pPr>
          </w:p>
        </w:tc>
      </w:tr>
      <w:tr>
        <w:trPr>
          <w:trHeight w:val="196"/>
        </w:trPr>
        <w:tc>
          <w:tcPr>
            <w:tcW w:w="622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r>
              <w:rPr>
                <w:rFonts w:ascii="Times New Roman" w:cs="Times New Roman" w:eastAsia="Times New Roman" w:hAnsi="Times New Roman"/>
                <w:sz w:val="16"/>
                <w:szCs w:val="16"/>
                <w:color w:val="000000"/>
              </w:rPr>
              <w:t>:</w:t>
            </w:r>
          </w:p>
        </w:tc>
        <w:tc>
          <w:tcPr>
            <w:tcW w:w="2940" w:type="dxa"/>
            <w:vAlign w:val="bottom"/>
            <w:gridSpan w:val="2"/>
          </w:tcPr>
          <w:p>
            <w:pPr>
              <w:spacing w:after="0"/>
              <w:rPr>
                <w:sz w:val="17"/>
                <w:szCs w:val="17"/>
                <w:color w:val="auto"/>
              </w:rPr>
            </w:pPr>
          </w:p>
        </w:tc>
        <w:tc>
          <w:tcPr>
            <w:tcW w:w="164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47</w:t>
            </w:r>
          </w:p>
        </w:tc>
        <w:tc>
          <w:tcPr>
            <w:tcW w:w="6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1.</w:t>
            </w:r>
          </w:p>
        </w:tc>
        <w:tc>
          <w:tcPr>
            <w:tcW w:w="890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Nature of Business and Significant Accounting Policies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47</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2.</w:t>
            </w:r>
          </w:p>
        </w:tc>
        <w:tc>
          <w:tcPr>
            <w:tcW w:w="890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Acquisitions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59</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3.</w:t>
            </w:r>
          </w:p>
        </w:tc>
        <w:tc>
          <w:tcPr>
            <w:tcW w:w="890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Disposal of Business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62</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4.</w:t>
            </w:r>
          </w:p>
        </w:tc>
        <w:tc>
          <w:tcPr>
            <w:tcW w:w="890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Revenues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63</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5.</w:t>
            </w:r>
          </w:p>
        </w:tc>
        <w:tc>
          <w:tcPr>
            <w:tcW w:w="890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Settlement Assets and Customer/Subscriber Account Balances and Related Obligations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65</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6.</w:t>
            </w:r>
          </w:p>
        </w:tc>
        <w:tc>
          <w:tcPr>
            <w:tcW w:w="890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Notes Receivable</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66</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7.</w:t>
            </w:r>
          </w:p>
        </w:tc>
        <w:tc>
          <w:tcPr>
            <w:tcW w:w="890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Property, Equipment and Software</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67</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8.</w:t>
            </w:r>
          </w:p>
        </w:tc>
        <w:tc>
          <w:tcPr>
            <w:tcW w:w="890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Goodwill and Other Intangible Assets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68</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9.</w:t>
            </w:r>
          </w:p>
        </w:tc>
        <w:tc>
          <w:tcPr>
            <w:tcW w:w="890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Leases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70</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10.</w:t>
            </w:r>
          </w:p>
        </w:tc>
        <w:tc>
          <w:tcPr>
            <w:tcW w:w="882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Accounts Payable and Accrued Expenses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72</w:t>
            </w:r>
          </w:p>
        </w:tc>
        <w:tc>
          <w:tcPr>
            <w:tcW w:w="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11. Debt Obligations</w:t>
            </w:r>
          </w:p>
        </w:tc>
        <w:tc>
          <w:tcPr>
            <w:tcW w:w="6120" w:type="dxa"/>
            <w:vAlign w:val="bottom"/>
            <w:gridSpan w:val="9"/>
          </w:tcPr>
          <w:p>
            <w:pPr>
              <w:spacing w:after="0"/>
              <w:rPr>
                <w:sz w:val="17"/>
                <w:szCs w:val="17"/>
                <w:color w:val="auto"/>
              </w:rPr>
            </w:pPr>
          </w:p>
        </w:tc>
        <w:tc>
          <w:tcPr>
            <w:tcW w:w="164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72</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12.</w:t>
            </w:r>
          </w:p>
        </w:tc>
        <w:tc>
          <w:tcPr>
            <w:tcW w:w="882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Redeemable Senior Preferred Stock and Warrants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74</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13.</w:t>
            </w:r>
          </w:p>
        </w:tc>
        <w:tc>
          <w:tcPr>
            <w:tcW w:w="882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Income Taxes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77</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14.</w:t>
            </w:r>
          </w:p>
        </w:tc>
        <w:tc>
          <w:tcPr>
            <w:tcW w:w="882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Stockholders' Deficit</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79</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15.</w:t>
            </w:r>
          </w:p>
        </w:tc>
        <w:tc>
          <w:tcPr>
            <w:tcW w:w="882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Stock-based Compensation</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80</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16.</w:t>
            </w:r>
          </w:p>
        </w:tc>
        <w:tc>
          <w:tcPr>
            <w:tcW w:w="882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Employee Benefit Plans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84</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17.</w:t>
            </w:r>
          </w:p>
        </w:tc>
        <w:tc>
          <w:tcPr>
            <w:tcW w:w="882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Related Party Transactions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84</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7"/>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18.</w:t>
            </w:r>
          </w:p>
        </w:tc>
        <w:tc>
          <w:tcPr>
            <w:tcW w:w="882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Commitments and Contingencies</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85</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19.</w:t>
            </w:r>
          </w:p>
        </w:tc>
        <w:tc>
          <w:tcPr>
            <w:tcW w:w="882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Fair Value</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86</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20.</w:t>
            </w:r>
          </w:p>
        </w:tc>
        <w:tc>
          <w:tcPr>
            <w:tcW w:w="882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Segment Information</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87</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0" w:type="dxa"/>
            <w:vAlign w:val="bottom"/>
            <w:gridSpan w:val="10"/>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21.</w:t>
            </w:r>
          </w:p>
        </w:tc>
        <w:tc>
          <w:tcPr>
            <w:tcW w:w="882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(Loss) Earnings per Common Share</w:t>
            </w:r>
          </w:p>
        </w:tc>
        <w:tc>
          <w:tcPr>
            <w:tcW w:w="1820" w:type="dxa"/>
            <w:vAlign w:val="bottom"/>
            <w:gridSpan w:val="3"/>
          </w:tcPr>
          <w:p>
            <w:pPr>
              <w:jc w:val="center"/>
              <w:ind w:left="1559"/>
              <w:spacing w:after="0"/>
              <w:rPr>
                <w:sz w:val="20"/>
                <w:szCs w:val="20"/>
                <w:color w:val="auto"/>
              </w:rPr>
            </w:pPr>
            <w:r>
              <w:rPr>
                <w:rFonts w:ascii="Times New Roman" w:cs="Times New Roman" w:eastAsia="Times New Roman" w:hAnsi="Times New Roman"/>
                <w:sz w:val="16"/>
                <w:szCs w:val="16"/>
                <w:color w:val="0000FF"/>
              </w:rPr>
              <w:t>89</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6"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Priority Technology Holdings, Inc. (the Company) as of December 31, 2022 and 2021, the related consolidated statements of operations, changes in stockholders' deficit and cash flows for each of the three years in the period ended December 31, 2022, and the related notes</w:t>
      </w:r>
      <w:r>
        <w:rPr>
          <w:sz w:val="1"/>
          <w:szCs w:val="1"/>
          <w:color w:val="auto"/>
        </w:rPr>
        <w:drawing>
          <wp:inline distT="0" distB="0" distL="0" distR="0">
            <wp:extent cx="25400" cy="9398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400" cy="93980"/>
                    </a:xfrm>
                    <a:prstGeom prst="rect">
                      <a:avLst/>
                    </a:prstGeom>
                    <a:noFill/>
                    <a:ln>
                      <a:noFill/>
                    </a:ln>
                  </pic:spPr>
                </pic:pic>
              </a:graphicData>
            </a:graphic>
          </wp:inline>
        </w:drawing>
      </w:r>
      <w:r>
        <w:rPr>
          <w:rFonts w:ascii="Times New Roman" w:cs="Times New Roman" w:eastAsia="Times New Roman" w:hAnsi="Times New Roman"/>
          <w:sz w:val="18"/>
          <w:szCs w:val="18"/>
          <w:color w:val="auto"/>
        </w:rPr>
        <w:t>(collectively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16"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Residual Commissions and Residual Commission Expense</w:t>
      </w:r>
      <w:r>
        <w:rPr>
          <w:rFonts w:ascii="Times New Roman" w:cs="Times New Roman" w:eastAsia="Times New Roman" w:hAnsi="Times New Roman"/>
          <w:sz w:val="18"/>
          <w:szCs w:val="18"/>
          <w:color w:val="auto"/>
        </w:rPr>
        <w:t>s</w:t>
      </w:r>
    </w:p>
    <w:p>
      <w:pPr>
        <w:sectPr>
          <w:pgSz w:w="11900" w:h="16838" w:orient="portrait"/>
          <w:cols w:equalWidth="0" w:num="1">
            <w:col w:w="11220"/>
          </w:cols>
          <w:pgMar w:left="320" w:top="121" w:right="359" w:bottom="1440" w:gutter="0" w:footer="0" w:header="0"/>
        </w:sect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7"/>
          <w:szCs w:val="17"/>
          <w:color w:val="auto"/>
        </w:rPr>
        <w:t>Accrued residual commissions recorded by the Company and included on the Consolidated Balance Sheet were $35.9 million at December 31, 2022, and residual commission expenses included within costs of services on the</w:t>
      </w:r>
    </w:p>
    <w:p>
      <w:pPr>
        <w:spacing w:after="0" w:line="1" w:lineRule="exact"/>
        <w:rPr>
          <w:sz w:val="20"/>
          <w:szCs w:val="20"/>
          <w:color w:val="auto"/>
        </w:rPr>
      </w:pPr>
    </w:p>
    <w:p>
      <w:pPr>
        <w:sectPr>
          <w:pgSz w:w="11900" w:h="16838" w:orient="portrait"/>
          <w:cols w:equalWidth="0" w:num="2">
            <w:col w:w="2240" w:space="720"/>
            <w:col w:w="8260"/>
          </w:cols>
          <w:pgMar w:left="320" w:top="121" w:right="359" w:bottom="1440" w:gutter="0" w:footer="0" w:header="0"/>
          <w:type w:val="continuous"/>
        </w:sectPr>
      </w:pPr>
    </w:p>
    <w:p>
      <w:pPr>
        <w:ind w:left="2960"/>
        <w:spacing w:after="0" w:line="198" w:lineRule="auto"/>
        <w:rPr>
          <w:sz w:val="20"/>
          <w:szCs w:val="20"/>
          <w:color w:val="auto"/>
        </w:rPr>
      </w:pPr>
      <w:r>
        <w:rPr>
          <w:rFonts w:ascii="Times New Roman" w:cs="Times New Roman" w:eastAsia="Times New Roman" w:hAnsi="Times New Roman"/>
          <w:sz w:val="18"/>
          <w:szCs w:val="18"/>
          <w:color w:val="auto"/>
        </w:rPr>
        <w:t>Consolidated Statement of Operations were $383.5 million for the year ended December 31, 2022. As discussed in Note 1 of the consolidated financial statements, the Company accrues and pays commission expense for certain customer services and other services provided by its independent sales organizations (ISOs). Commissions are</w:t>
      </w:r>
    </w:p>
    <w:p>
      <w:pPr>
        <w:spacing w:after="0" w:line="2" w:lineRule="exact"/>
        <w:rPr>
          <w:sz w:val="20"/>
          <w:szCs w:val="20"/>
          <w:color w:val="auto"/>
        </w:rPr>
      </w:pPr>
    </w:p>
    <w:p>
      <w:pPr>
        <w:ind w:left="2960" w:right="760"/>
        <w:spacing w:after="0" w:line="226" w:lineRule="auto"/>
        <w:rPr>
          <w:sz w:val="20"/>
          <w:szCs w:val="20"/>
          <w:color w:val="auto"/>
        </w:rPr>
      </w:pPr>
      <w:r>
        <w:rPr>
          <w:rFonts w:ascii="Times New Roman" w:cs="Times New Roman" w:eastAsia="Times New Roman" w:hAnsi="Times New Roman"/>
          <w:sz w:val="18"/>
          <w:szCs w:val="18"/>
          <w:color w:val="auto"/>
        </w:rPr>
        <w:t>based on a percentage of the net revenues generated from the Company’s merchant customers, and these percentages vary based on the program type and transaction volume of each merchant.</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Auditing residual commissions was complex due to the non-standard nature of the pricing terms within the ISO</w:t>
      </w:r>
    </w:p>
    <w:p>
      <w:pPr>
        <w:spacing w:after="0" w:line="2" w:lineRule="exact"/>
        <w:rPr>
          <w:sz w:val="20"/>
          <w:szCs w:val="20"/>
          <w:color w:val="auto"/>
        </w:rPr>
      </w:pPr>
    </w:p>
    <w:p>
      <w:pPr>
        <w:ind w:left="2960" w:right="320"/>
        <w:spacing w:after="0" w:line="239" w:lineRule="auto"/>
        <w:rPr>
          <w:sz w:val="20"/>
          <w:szCs w:val="20"/>
          <w:color w:val="auto"/>
        </w:rPr>
      </w:pPr>
      <w:r>
        <w:rPr>
          <w:rFonts w:ascii="Times New Roman" w:cs="Times New Roman" w:eastAsia="Times New Roman" w:hAnsi="Times New Roman"/>
          <w:sz w:val="17"/>
          <w:szCs w:val="17"/>
          <w:color w:val="auto"/>
        </w:rPr>
        <w:t>contracts, the volume of contracts, the volume of transactions processed each month, and the degree of auditor judgment needed to design the nature and extent of audit procedures to obtain sufficient audit evidence.</w:t>
      </w:r>
    </w:p>
    <w:p>
      <w:pPr>
        <w:sectPr>
          <w:pgSz w:w="11900" w:h="16838" w:orient="portrait"/>
          <w:cols w:equalWidth="0" w:num="1">
            <w:col w:w="11220"/>
          </w:cols>
          <w:pgMar w:left="320" w:top="121" w:right="359" w:bottom="1440" w:gutter="0" w:footer="0" w:header="0"/>
          <w:type w:val="continuous"/>
        </w:sectPr>
      </w:pPr>
    </w:p>
    <w:p>
      <w:pPr>
        <w:spacing w:after="0" w:line="156" w:lineRule="exact"/>
        <w:rPr>
          <w:sz w:val="20"/>
          <w:szCs w:val="20"/>
          <w:color w:val="auto"/>
        </w:rPr>
      </w:pPr>
    </w:p>
    <w:p>
      <w:pPr>
        <w:ind w:left="20"/>
        <w:spacing w:after="0"/>
        <w:tabs>
          <w:tab w:leader="none" w:pos="2940" w:val="left"/>
        </w:tabs>
        <w:rPr>
          <w:sz w:val="20"/>
          <w:szCs w:val="20"/>
          <w:color w:val="auto"/>
        </w:rPr>
      </w:pPr>
      <w:r>
        <w:rPr>
          <w:rFonts w:ascii="Times New Roman" w:cs="Times New Roman" w:eastAsia="Times New Roman" w:hAnsi="Times New Roman"/>
          <w:sz w:val="18"/>
          <w:szCs w:val="18"/>
          <w:i w:val="1"/>
          <w:iCs w:val="1"/>
          <w:color w:val="auto"/>
        </w:rPr>
        <w:t>How We Addressed the Matter in Our</w:t>
      </w:r>
      <w:r>
        <w:rPr>
          <w:sz w:val="20"/>
          <w:szCs w:val="20"/>
          <w:color w:val="auto"/>
        </w:rPr>
        <w:tab/>
      </w:r>
      <w:r>
        <w:rPr>
          <w:rFonts w:ascii="Times New Roman" w:cs="Times New Roman" w:eastAsia="Times New Roman" w:hAnsi="Times New Roman"/>
          <w:sz w:val="17"/>
          <w:szCs w:val="17"/>
          <w:color w:val="auto"/>
        </w:rPr>
        <w:t>To test accrued residual commissions and residual commission expenses, our audit procedures included, among</w:t>
      </w:r>
    </w:p>
    <w:p>
      <w:pPr>
        <w:sectPr>
          <w:pgSz w:w="11900" w:h="16838" w:orient="portrait"/>
          <w:cols w:equalWidth="0" w:num="1">
            <w:col w:w="11220"/>
          </w:cols>
          <w:pgMar w:left="320" w:top="121" w:right="359" w:bottom="1440" w:gutter="0" w:footer="0" w:header="0"/>
          <w:type w:val="continuous"/>
        </w:sectPr>
      </w:pPr>
    </w:p>
    <w:p>
      <w:pPr>
        <w:ind w:left="20"/>
        <w:spacing w:after="0" w:line="237" w:lineRule="auto"/>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others, testing the completeness and accuracy of the underlying data supporting the commission calculations and</w:t>
      </w:r>
    </w:p>
    <w:p>
      <w:pPr>
        <w:spacing w:after="0" w:line="1" w:lineRule="exact"/>
        <w:rPr>
          <w:sz w:val="20"/>
          <w:szCs w:val="20"/>
          <w:color w:val="auto"/>
        </w:rPr>
      </w:pPr>
    </w:p>
    <w:p>
      <w:pPr>
        <w:sectPr>
          <w:pgSz w:w="11900" w:h="16838" w:orient="portrait"/>
          <w:cols w:equalWidth="0" w:num="2">
            <w:col w:w="2240" w:space="720"/>
            <w:col w:w="8260"/>
          </w:cols>
          <w:pgMar w:left="320" w:top="121" w:right="359" w:bottom="1440" w:gutter="0" w:footer="0" w:header="0"/>
          <w:type w:val="continuous"/>
        </w:sectPr>
      </w:pPr>
    </w:p>
    <w:p>
      <w:pPr>
        <w:ind w:left="2960" w:right="160"/>
        <w:spacing w:after="0" w:line="210" w:lineRule="auto"/>
        <w:rPr>
          <w:sz w:val="20"/>
          <w:szCs w:val="20"/>
          <w:color w:val="auto"/>
        </w:rPr>
      </w:pPr>
      <w:r>
        <w:rPr>
          <w:rFonts w:ascii="Times New Roman" w:cs="Times New Roman" w:eastAsia="Times New Roman" w:hAnsi="Times New Roman"/>
          <w:sz w:val="17"/>
          <w:szCs w:val="17"/>
          <w:color w:val="auto"/>
        </w:rPr>
        <w:t>the accuracy of the calculations. We selected a sample of monthly ISO payments and, for each sample item, we compared the pricing terms included in the calculation to the respective ISO contract or other source documents, recalculated the related expense and accrual, and agreed the commission payment to evidence of cash</w:t>
      </w:r>
    </w:p>
    <w:p>
      <w:pPr>
        <w:spacing w:after="0" w:line="2" w:lineRule="exact"/>
        <w:rPr>
          <w:sz w:val="20"/>
          <w:szCs w:val="20"/>
          <w:color w:val="auto"/>
        </w:rPr>
      </w:pPr>
    </w:p>
    <w:p>
      <w:pPr>
        <w:ind w:left="2960" w:right="20"/>
        <w:spacing w:after="0" w:line="218" w:lineRule="auto"/>
        <w:rPr>
          <w:sz w:val="20"/>
          <w:szCs w:val="20"/>
          <w:color w:val="auto"/>
        </w:rPr>
      </w:pPr>
      <w:r>
        <w:rPr>
          <w:rFonts w:ascii="Times New Roman" w:cs="Times New Roman" w:eastAsia="Times New Roman" w:hAnsi="Times New Roman"/>
          <w:sz w:val="18"/>
          <w:szCs w:val="18"/>
          <w:color w:val="auto"/>
        </w:rPr>
        <w:t>disbursement. Additionally, for these monthly ISO payments, we selected a sample of merchant customers, obtained their monthly processing statements, which were generated by the Company’s third-party processors, and agreed the monthly payment volumes to the commission calculations.</w:t>
      </w:r>
    </w:p>
    <w:p>
      <w:pPr>
        <w:sectPr>
          <w:pgSz w:w="11900" w:h="16838" w:orient="portrait"/>
          <w:cols w:equalWidth="0" w:num="1">
            <w:col w:w="11220"/>
          </w:cols>
          <w:pgMar w:left="320" w:top="121" w:right="359" w:bottom="144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79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w:t>
            </w:r>
          </w:p>
        </w:tc>
      </w:tr>
      <w:tr>
        <w:trPr>
          <w:trHeight w:val="230"/>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w:t>
            </w: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$1,143 and $555, respectively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58,423</w:t>
            </w:r>
          </w:p>
        </w:tc>
      </w:tr>
      <w:tr>
        <w:trPr>
          <w:trHeight w:val="229"/>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15,807</w:t>
            </w:r>
          </w:p>
        </w:tc>
      </w:tr>
      <w:tr>
        <w:trPr>
          <w:trHeight w:val="230"/>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notes receivable, net of allowances of $0 and $0, respectively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79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Settlement assets and customer/subscriber account balances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532,018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479,471</w:t>
            </w:r>
          </w:p>
        </w:tc>
      </w:tr>
      <w:tr>
        <w:trPr>
          <w:trHeight w:val="223"/>
        </w:trPr>
        <w:tc>
          <w:tcPr>
            <w:tcW w:w="79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603,132</w:t>
            </w:r>
          </w:p>
        </w:tc>
      </w:tr>
      <w:tr>
        <w:trPr>
          <w:trHeight w:val="229"/>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r>
      <w:tr>
        <w:trPr>
          <w:trHeight w:val="230"/>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365,740</w:t>
            </w:r>
          </w:p>
        </w:tc>
      </w:tr>
      <w:tr>
        <w:trPr>
          <w:trHeight w:val="229"/>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340,211</w:t>
            </w:r>
          </w:p>
        </w:tc>
      </w:tr>
      <w:tr>
        <w:trPr>
          <w:trHeight w:val="230"/>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w:t>
            </w:r>
          </w:p>
        </w:tc>
      </w:tr>
      <w:tr>
        <w:trPr>
          <w:trHeight w:val="229"/>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r>
      <w:tr>
        <w:trPr>
          <w:trHeight w:val="223"/>
        </w:trPr>
        <w:tc>
          <w:tcPr>
            <w:tcW w:w="79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1,373,363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1,351,942</w:t>
            </w: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796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Senior Preferred Stock and Stockholders' Deficit</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42,523</w:t>
            </w:r>
          </w:p>
        </w:tc>
      </w:tr>
      <w:tr>
        <w:trPr>
          <w:trHeight w:val="230"/>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29,532</w:t>
            </w: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30"/>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and customer/subscriber account obligations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533,340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500,291</w:t>
            </w:r>
          </w:p>
        </w:tc>
      </w:tr>
      <w:tr>
        <w:trPr>
          <w:trHeight w:val="223"/>
        </w:trPr>
        <w:tc>
          <w:tcPr>
            <w:tcW w:w="7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583,567</w:t>
            </w:r>
          </w:p>
        </w:tc>
      </w:tr>
      <w:tr>
        <w:trPr>
          <w:trHeight w:val="230"/>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 discounts and debt issuance costs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598,926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604,105</w:t>
            </w:r>
          </w:p>
        </w:tc>
      </w:tr>
      <w:tr>
        <w:trPr>
          <w:trHeight w:val="230"/>
        </w:trPr>
        <w:tc>
          <w:tcPr>
            <w:tcW w:w="7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18,349</w:t>
            </w:r>
          </w:p>
        </w:tc>
      </w:tr>
      <w:tr>
        <w:trPr>
          <w:trHeight w:val="223"/>
        </w:trPr>
        <w:tc>
          <w:tcPr>
            <w:tcW w:w="79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1,240,570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1,206,021</w:t>
            </w:r>
          </w:p>
        </w:tc>
      </w:tr>
      <w:tr>
        <w:trPr>
          <w:trHeight w:val="169"/>
        </w:trPr>
        <w:tc>
          <w:tcPr>
            <w:tcW w:w="79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Commitments and contingencies (</w:t>
            </w:r>
            <w:r>
              <w:rPr>
                <w:rFonts w:ascii="Times New Roman" w:cs="Times New Roman" w:eastAsia="Times New Roman" w:hAnsi="Times New Roman"/>
                <w:sz w:val="18"/>
                <w:szCs w:val="18"/>
                <w:color w:val="0000FF"/>
              </w:rPr>
              <w:t>Note 18</w:t>
            </w:r>
            <w:r>
              <w:rPr>
                <w:rFonts w:ascii="Times New Roman" w:cs="Times New Roman" w:eastAsia="Times New Roman" w:hAnsi="Times New Roman"/>
                <w:sz w:val="18"/>
                <w:szCs w:val="18"/>
                <w:color w:val="auto"/>
              </w:rPr>
              <w:t>)</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senior preferred stock, net of discounts and issuance costs: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75"/>
        </w:trPr>
        <w:tc>
          <w:tcPr>
            <w:tcW w:w="796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Redeemable senior preferred stock, $0.001 par value per share; 250,000 shares authorized; 225,000 issued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and outstanding at December 31, 2022 and December 31, 2021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210,158</w:t>
            </w:r>
          </w:p>
        </w:tc>
      </w:tr>
      <w:tr>
        <w:trPr>
          <w:trHeight w:val="230"/>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75"/>
        </w:trPr>
        <w:tc>
          <w:tcPr>
            <w:tcW w:w="796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per share; 100,000,000 shares authorized; none issued or outstanding at</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December 31, 2022 and December 31, 2021</w:t>
            </w:r>
          </w:p>
        </w:tc>
        <w:tc>
          <w:tcPr>
            <w:tcW w:w="4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96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per share; 1,000,000,000 shares authorized; 78,385,685 and 77,460,312</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4"/>
        </w:trPr>
        <w:tc>
          <w:tcPr>
            <w:tcW w:w="7960" w:type="dxa"/>
            <w:vAlign w:val="bottom"/>
            <w:gridSpan w:val="3"/>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shares issued at December 31, 2022 and December 31, 2021, respectively; and 76,044,629 and 76,739,896</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4"/>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outstanding at December 31, 2022 and December 31, 2021, respectively.</w:t>
            </w: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175"/>
        </w:trPr>
        <w:tc>
          <w:tcPr>
            <w:tcW w:w="796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2,341,056 and 720,416 shares at December 31, 2022 and December 31, 2021,</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r>
      <w:tr>
        <w:trPr>
          <w:trHeight w:val="230"/>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39,835</w:t>
            </w:r>
          </w:p>
        </w:tc>
      </w:tr>
      <w:tr>
        <w:trPr>
          <w:trHeight w:val="229"/>
        </w:trPr>
        <w:tc>
          <w:tcPr>
            <w:tcW w:w="79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(100,058)</w:t>
            </w:r>
          </w:p>
        </w:tc>
      </w:tr>
      <w:tr>
        <w:trPr>
          <w:trHeight w:val="223"/>
        </w:trPr>
        <w:tc>
          <w:tcPr>
            <w:tcW w:w="79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deficit attributable to stockholders of PRTH</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(64,237)</w:t>
            </w:r>
          </w:p>
        </w:tc>
      </w:tr>
      <w:tr>
        <w:trPr>
          <w:trHeight w:val="229"/>
        </w:trPr>
        <w:tc>
          <w:tcPr>
            <w:tcW w:w="796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(64,237)</w:t>
            </w:r>
          </w:p>
        </w:tc>
      </w:tr>
      <w:tr>
        <w:trPr>
          <w:trHeight w:val="223"/>
        </w:trPr>
        <w:tc>
          <w:tcPr>
            <w:tcW w:w="79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redeemable senior preferred stock and stockholders' deficit</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1,373,363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1,351,942</w:t>
            </w:r>
          </w:p>
        </w:tc>
      </w:tr>
      <w:tr>
        <w:trPr>
          <w:trHeight w:val="21"/>
        </w:trPr>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663,641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404,342</w:t>
            </w: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services (excludes 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436,753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277,374</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3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39,507</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40,775</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34,965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25,825</w:t>
            </w: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607,476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481,808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383,481</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56,165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w:t>
            </w: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(44,839)</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 and investment</w:t>
            </w:r>
          </w:p>
        </w:tc>
        <w:tc>
          <w:tcPr>
            <w:tcW w:w="3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107,239</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3"/>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(52,965)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61,097</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81,958</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71,059</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Dividends and accretion attributable to redeemable senior preferred stockholders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NCI preferred unit redemptions, net of deferred tax benefit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NCIs</w:t>
            </w:r>
          </w:p>
        </w:tc>
        <w:tc>
          <w:tcPr>
            <w:tcW w:w="32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(45,398)</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stockholders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25,661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common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67,158</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67,263</w:t>
            </w: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 and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20" w:type="dxa"/>
            <w:vAlign w:val="bottom"/>
          </w:tcPr>
          <w:p>
            <w:pPr>
              <w:spacing w:after="0"/>
              <w:rPr>
                <w:sz w:val="16"/>
                <w:szCs w:val="16"/>
                <w:color w:val="auto"/>
              </w:rPr>
            </w:pPr>
          </w:p>
        </w:tc>
        <w:tc>
          <w:tcPr>
            <w:tcW w:w="9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40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0" w:type="dxa"/>
            <w:vAlign w:val="bottom"/>
            <w:gridSpan w:val="2"/>
            <w:vMerge w:val="restart"/>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400" w:type="dxa"/>
            <w:vAlign w:val="bottom"/>
            <w:tcBorders>
              <w:bottom w:val="single" w:sz="8" w:color="auto"/>
            </w:tcBorders>
            <w:gridSpan w:val="3"/>
            <w:vMerge w:val="continue"/>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2"/>
                <w:szCs w:val="12"/>
                <w:color w:val="auto"/>
              </w:rPr>
            </w:pPr>
          </w:p>
        </w:tc>
        <w:tc>
          <w:tcPr>
            <w:tcW w:w="114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2"/>
                <w:szCs w:val="12"/>
                <w:color w:val="auto"/>
              </w:rPr>
            </w:pPr>
          </w:p>
        </w:tc>
        <w:tc>
          <w:tcPr>
            <w:tcW w:w="114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6"/>
                <w:szCs w:val="16"/>
                <w:b w:val="1"/>
                <w:bCs w:val="1"/>
                <w:color w:val="auto"/>
              </w:rPr>
              <w:t>Attributable to</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5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NCIs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(120,689)</w:t>
            </w:r>
          </w:p>
        </w:tc>
        <w:tc>
          <w:tcPr>
            <w:tcW w:w="0" w:type="dxa"/>
            <w:vAlign w:val="bottom"/>
          </w:tcPr>
          <w:p>
            <w:pPr>
              <w:spacing w:after="0"/>
              <w:rPr>
                <w:sz w:val="1"/>
                <w:szCs w:val="1"/>
                <w:color w:val="auto"/>
              </w:rPr>
            </w:pPr>
          </w:p>
        </w:tc>
      </w:tr>
      <w:tr>
        <w:trPr>
          <w:trHeight w:val="175"/>
        </w:trPr>
        <w:tc>
          <w:tcPr>
            <w:tcW w:w="25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Equity-classified stock-based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4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0" w:type="dxa"/>
            <w:vAlign w:val="bottom"/>
          </w:tcPr>
          <w:p>
            <w:pPr>
              <w:spacing w:after="0"/>
              <w:rPr>
                <w:sz w:val="1"/>
                <w:szCs w:val="1"/>
                <w:color w:val="auto"/>
              </w:rPr>
            </w:pPr>
          </w:p>
        </w:tc>
      </w:tr>
      <w:tr>
        <w:trPr>
          <w:trHeight w:val="149"/>
        </w:trPr>
        <w:tc>
          <w:tcPr>
            <w:tcW w:w="2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Vesting of stock-based</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5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76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50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Redemption of NCI in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4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149"/>
        </w:trPr>
        <w:tc>
          <w:tcPr>
            <w:tcW w:w="2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subsidiary</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Earnings attributable to</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45,398</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45,398</w:t>
            </w:r>
          </w:p>
        </w:tc>
        <w:tc>
          <w:tcPr>
            <w:tcW w:w="0" w:type="dxa"/>
            <w:vAlign w:val="bottom"/>
          </w:tcPr>
          <w:p>
            <w:pPr>
              <w:spacing w:after="0"/>
              <w:rPr>
                <w:sz w:val="1"/>
                <w:szCs w:val="1"/>
                <w:color w:val="auto"/>
              </w:rPr>
            </w:pPr>
          </w:p>
        </w:tc>
      </w:tr>
      <w:tr>
        <w:trPr>
          <w:trHeight w:val="148"/>
        </w:trPr>
        <w:tc>
          <w:tcPr>
            <w:tcW w:w="25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redeemable and redeemed NCIs</w:t>
            </w:r>
          </w:p>
        </w:tc>
        <w:tc>
          <w:tcPr>
            <w:tcW w:w="76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50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Earnings distributed to</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4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(45,398)</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(45,398)</w:t>
            </w:r>
          </w:p>
        </w:tc>
        <w:tc>
          <w:tcPr>
            <w:tcW w:w="0" w:type="dxa"/>
            <w:vAlign w:val="bottom"/>
          </w:tcPr>
          <w:p>
            <w:pPr>
              <w:spacing w:after="0"/>
              <w:rPr>
                <w:sz w:val="1"/>
                <w:szCs w:val="1"/>
                <w:color w:val="auto"/>
              </w:rPr>
            </w:pPr>
          </w:p>
        </w:tc>
      </w:tr>
      <w:tr>
        <w:trPr>
          <w:trHeight w:val="148"/>
        </w:trPr>
        <w:tc>
          <w:tcPr>
            <w:tcW w:w="2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redeemable and redeemed NCIs</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25,661</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25,661</w:t>
            </w: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25,661</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(98,564)</w:t>
            </w: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Equity-classified stock-based</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148"/>
        </w:trPr>
        <w:tc>
          <w:tcPr>
            <w:tcW w:w="25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76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50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stock-based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tcPr>
          <w:p>
            <w:pPr>
              <w:spacing w:after="0"/>
              <w:rPr>
                <w:sz w:val="15"/>
                <w:szCs w:val="15"/>
                <w:color w:val="auto"/>
              </w:rPr>
            </w:pPr>
          </w:p>
        </w:tc>
        <w:tc>
          <w:tcPr>
            <w:tcW w:w="4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5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Liability-classified stock-based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4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4"/>
        </w:trPr>
        <w:tc>
          <w:tcPr>
            <w:tcW w:w="2500" w:type="dxa"/>
            <w:vAlign w:val="bottom"/>
          </w:tcPr>
          <w:p>
            <w:pPr>
              <w:ind w:left="140"/>
              <w:spacing w:after="0" w:line="204" w:lineRule="exact"/>
              <w:rPr>
                <w:sz w:val="20"/>
                <w:szCs w:val="20"/>
                <w:color w:val="auto"/>
              </w:rPr>
            </w:pPr>
            <w:r>
              <w:rPr>
                <w:rFonts w:ascii="Times New Roman" w:cs="Times New Roman" w:eastAsia="Times New Roman" w:hAnsi="Times New Roman"/>
                <w:sz w:val="18"/>
                <w:szCs w:val="18"/>
                <w:color w:val="auto"/>
              </w:rPr>
              <w:t>compensation converted to</w:t>
            </w: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377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equity-classified</w:t>
      </w:r>
    </w:p>
    <w:p>
      <w:pPr>
        <w:sectPr>
          <w:pgSz w:w="11900" w:h="16838" w:orient="portrait"/>
          <w:cols w:equalWidth="0" w:num="1">
            <w:col w:w="11240"/>
          </w:cols>
          <w:pgMar w:left="320" w:top="121" w:right="339" w:bottom="1440" w:gutter="0" w:footer="0" w:header="0"/>
        </w:sectPr>
      </w:pPr>
    </w:p>
    <w:p>
      <w:pPr>
        <w:spacing w:after="0" w:line="7" w:lineRule="exact"/>
        <w:rPr>
          <w:sz w:val="20"/>
          <w:szCs w:val="20"/>
          <w:color w:val="auto"/>
        </w:rPr>
      </w:pPr>
    </w:p>
    <w:p>
      <w:pPr>
        <w:ind w:left="140" w:right="340"/>
        <w:spacing w:after="0" w:line="281" w:lineRule="auto"/>
        <w:rPr>
          <w:sz w:val="20"/>
          <w:szCs w:val="20"/>
          <w:color w:val="auto"/>
        </w:rPr>
      </w:pPr>
      <w:r>
        <w:rPr>
          <w:rFonts w:ascii="Times New Roman" w:cs="Times New Roman" w:eastAsia="Times New Roman" w:hAnsi="Times New Roman"/>
          <w:sz w:val="17"/>
          <w:szCs w:val="17"/>
          <w:color w:val="auto"/>
        </w:rPr>
        <w:t>Issuance of Common Stock Exercise of stock options</w:t>
      </w:r>
    </w:p>
    <w:p>
      <w:pPr>
        <w:spacing w:after="0" w:line="1" w:lineRule="exact"/>
        <w:rPr>
          <w:sz w:val="20"/>
          <w:szCs w:val="20"/>
          <w:color w:val="auto"/>
        </w:rPr>
      </w:pPr>
    </w:p>
    <w:p>
      <w:pPr>
        <w:ind w:left="140" w:right="340"/>
        <w:spacing w:after="0" w:line="220" w:lineRule="auto"/>
        <w:rPr>
          <w:sz w:val="20"/>
          <w:szCs w:val="20"/>
          <w:color w:val="auto"/>
        </w:rPr>
      </w:pPr>
      <w:r>
        <w:rPr>
          <w:rFonts w:ascii="Times New Roman" w:cs="Times New Roman" w:eastAsia="Times New Roman" w:hAnsi="Times New Roman"/>
          <w:sz w:val="18"/>
          <w:szCs w:val="18"/>
          <w:color w:val="auto"/>
        </w:rPr>
        <w:t>Fair value of NCI preferred units redemption, net of</w:t>
      </w:r>
    </w:p>
    <w:p>
      <w:pPr>
        <w:ind w:left="140"/>
        <w:spacing w:after="0"/>
        <w:rPr>
          <w:sz w:val="20"/>
          <w:szCs w:val="20"/>
          <w:color w:val="auto"/>
        </w:rPr>
      </w:pPr>
      <w:r>
        <w:rPr>
          <w:rFonts w:ascii="Times New Roman" w:cs="Times New Roman" w:eastAsia="Times New Roman" w:hAnsi="Times New Roman"/>
          <w:sz w:val="18"/>
          <w:szCs w:val="18"/>
          <w:color w:val="auto"/>
        </w:rPr>
        <w:t>deferred tax benefit</w:t>
      </w:r>
    </w:p>
    <w:p>
      <w:pPr>
        <w:spacing w:after="0" w:line="7" w:lineRule="exact"/>
        <w:rPr>
          <w:sz w:val="20"/>
          <w:szCs w:val="20"/>
          <w:color w:val="auto"/>
        </w:rPr>
      </w:pPr>
    </w:p>
    <w:p>
      <w:pPr>
        <w:ind w:left="140" w:right="240"/>
        <w:spacing w:after="0" w:line="253" w:lineRule="auto"/>
        <w:rPr>
          <w:sz w:val="20"/>
          <w:szCs w:val="20"/>
          <w:color w:val="auto"/>
        </w:rPr>
      </w:pPr>
      <w:r>
        <w:rPr>
          <w:rFonts w:ascii="Times New Roman" w:cs="Times New Roman" w:eastAsia="Times New Roman" w:hAnsi="Times New Roman"/>
          <w:sz w:val="17"/>
          <w:szCs w:val="17"/>
          <w:color w:val="auto"/>
        </w:rPr>
        <w:t>Fair value of common shares issued for NCI redemption</w:t>
      </w:r>
    </w:p>
    <w:p>
      <w:pPr>
        <w:spacing w:after="0" w:line="2" w:lineRule="exact"/>
        <w:rPr>
          <w:sz w:val="20"/>
          <w:szCs w:val="20"/>
          <w:color w:val="auto"/>
        </w:rPr>
      </w:pPr>
    </w:p>
    <w:p>
      <w:pPr>
        <w:ind w:left="140" w:right="220"/>
        <w:spacing w:after="0" w:line="237" w:lineRule="auto"/>
        <w:rPr>
          <w:sz w:val="20"/>
          <w:szCs w:val="20"/>
          <w:color w:val="auto"/>
        </w:rPr>
      </w:pPr>
      <w:r>
        <w:rPr>
          <w:rFonts w:ascii="Times New Roman" w:cs="Times New Roman" w:eastAsia="Times New Roman" w:hAnsi="Times New Roman"/>
          <w:sz w:val="18"/>
          <w:szCs w:val="18"/>
          <w:color w:val="auto"/>
        </w:rPr>
        <w:t>Share repurchases and shares withheld of taxes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Warrants issued</w:t>
      </w:r>
    </w:p>
    <w:p>
      <w:pPr>
        <w:spacing w:after="0" w:line="27" w:lineRule="exact"/>
        <w:rPr>
          <w:sz w:val="20"/>
          <w:szCs w:val="20"/>
          <w:color w:val="auto"/>
        </w:rPr>
      </w:pPr>
    </w:p>
    <w:p>
      <w:pPr>
        <w:ind w:left="140"/>
        <w:spacing w:after="0" w:line="234" w:lineRule="auto"/>
        <w:rPr>
          <w:sz w:val="20"/>
          <w:szCs w:val="20"/>
          <w:color w:val="auto"/>
        </w:rPr>
      </w:pPr>
      <w:r>
        <w:rPr>
          <w:rFonts w:ascii="Times New Roman" w:cs="Times New Roman" w:eastAsia="Times New Roman" w:hAnsi="Times New Roman"/>
          <w:sz w:val="18"/>
          <w:szCs w:val="18"/>
          <w:color w:val="auto"/>
        </w:rPr>
        <w:t>Dividends on redeemable senior preferred stock</w:t>
      </w:r>
    </w:p>
    <w:p>
      <w:pPr>
        <w:spacing w:after="0" w:line="10" w:lineRule="exact"/>
        <w:rPr>
          <w:sz w:val="20"/>
          <w:szCs w:val="20"/>
          <w:color w:val="auto"/>
        </w:rPr>
      </w:pPr>
    </w:p>
    <w:p>
      <w:pPr>
        <w:ind w:left="140" w:right="180"/>
        <w:spacing w:after="0" w:line="236" w:lineRule="auto"/>
        <w:rPr>
          <w:sz w:val="20"/>
          <w:szCs w:val="20"/>
          <w:color w:val="auto"/>
        </w:rPr>
      </w:pPr>
      <w:r>
        <w:rPr>
          <w:rFonts w:ascii="Times New Roman" w:cs="Times New Roman" w:eastAsia="Times New Roman" w:hAnsi="Times New Roman"/>
          <w:sz w:val="17"/>
          <w:szCs w:val="17"/>
          <w:color w:val="auto"/>
        </w:rPr>
        <w:t>Accretion of unamortized issuance costs for redeemable</w:t>
      </w:r>
    </w:p>
    <w:p>
      <w:pPr>
        <w:ind w:left="140"/>
        <w:spacing w:after="0"/>
        <w:rPr>
          <w:sz w:val="20"/>
          <w:szCs w:val="20"/>
          <w:color w:val="auto"/>
        </w:rPr>
      </w:pPr>
      <w:r>
        <w:rPr>
          <w:rFonts w:ascii="Times New Roman" w:cs="Times New Roman" w:eastAsia="Times New Roman" w:hAnsi="Times New Roman"/>
          <w:sz w:val="18"/>
          <w:szCs w:val="18"/>
          <w:color w:val="auto"/>
        </w:rPr>
        <w:t>senior preferred stock</w:t>
      </w:r>
    </w:p>
    <w:p>
      <w:pPr>
        <w:spacing w:after="0" w:line="7" w:lineRule="exact"/>
        <w:rPr>
          <w:sz w:val="20"/>
          <w:szCs w:val="20"/>
          <w:color w:val="auto"/>
        </w:rPr>
      </w:pPr>
    </w:p>
    <w:p>
      <w:pPr>
        <w:ind w:left="140" w:right="80"/>
        <w:spacing w:after="0" w:line="234" w:lineRule="auto"/>
        <w:rPr>
          <w:sz w:val="20"/>
          <w:szCs w:val="20"/>
          <w:color w:val="auto"/>
        </w:rPr>
      </w:pPr>
      <w:r>
        <w:rPr>
          <w:rFonts w:ascii="Times New Roman" w:cs="Times New Roman" w:eastAsia="Times New Roman" w:hAnsi="Times New Roman"/>
          <w:sz w:val="18"/>
          <w:szCs w:val="18"/>
          <w:color w:val="auto"/>
        </w:rPr>
        <w:t>Change in estimate of tax basis differences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220" w:type="dxa"/>
            <w:vAlign w:val="bottom"/>
          </w:tcPr>
          <w:p>
            <w:pPr>
              <w:spacing w:after="0"/>
              <w:rPr>
                <w:sz w:val="19"/>
                <w:szCs w:val="19"/>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34,381</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42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34,388</w:t>
            </w:r>
          </w:p>
        </w:tc>
      </w:tr>
      <w:tr>
        <w:trPr>
          <w:trHeight w:val="23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20"/>
                <w:szCs w:val="20"/>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420" w:type="dxa"/>
            <w:vAlign w:val="bottom"/>
          </w:tcPr>
          <w:p>
            <w:pPr>
              <w:spacing w:after="0"/>
              <w:rPr>
                <w:sz w:val="20"/>
                <w:szCs w:val="20"/>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405"/>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4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r>
      <w:tr>
        <w:trPr>
          <w:trHeight w:val="513"/>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4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r>
      <w:tr>
        <w:trPr>
          <w:trHeight w:val="418"/>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(1,703)</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4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32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4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r>
      <w:tr>
        <w:trPr>
          <w:trHeight w:val="32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4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r>
      <w:tr>
        <w:trPr>
          <w:trHeight w:val="500"/>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4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513"/>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324"/>
        </w:trPr>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28"/>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(4,091)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(100,058)</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(64,237)</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-2411095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-1888490</wp:posOffset>
            </wp:positionV>
            <wp:extent cx="7132320"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-1356995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-945515</wp:posOffset>
            </wp:positionV>
            <wp:extent cx="7132320" cy="3771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-302260</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40"/>
            <w:col w:w="87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 and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5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50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4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12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5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60" w:type="dxa"/>
            <w:vAlign w:val="bottom"/>
            <w:tcBorders>
              <w:bottom w:val="single" w:sz="8" w:color="auto"/>
            </w:tcBorders>
            <w:gridSpan w:val="2"/>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Attributable to</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9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NCIs</w:t>
            </w:r>
          </w:p>
        </w:tc>
        <w:tc>
          <w:tcPr>
            <w:tcW w:w="7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40" w:right="220"/>
        <w:spacing w:after="0" w:line="236" w:lineRule="auto"/>
        <w:rPr>
          <w:sz w:val="20"/>
          <w:szCs w:val="20"/>
          <w:color w:val="auto"/>
        </w:rPr>
      </w:pPr>
      <w:r>
        <w:rPr>
          <w:rFonts w:ascii="Times New Roman" w:cs="Times New Roman" w:eastAsia="Times New Roman" w:hAnsi="Times New Roman"/>
          <w:sz w:val="18"/>
          <w:szCs w:val="18"/>
          <w:color w:val="auto"/>
        </w:rPr>
        <w:t>Equity-classified stock-based compensation</w:t>
      </w:r>
    </w:p>
    <w:p>
      <w:pPr>
        <w:spacing w:after="0" w:line="10" w:lineRule="exact"/>
        <w:rPr>
          <w:sz w:val="20"/>
          <w:szCs w:val="20"/>
          <w:color w:val="auto"/>
        </w:rPr>
      </w:pPr>
    </w:p>
    <w:p>
      <w:pPr>
        <w:ind w:left="140" w:right="700"/>
        <w:spacing w:after="0" w:line="237" w:lineRule="auto"/>
        <w:rPr>
          <w:sz w:val="20"/>
          <w:szCs w:val="20"/>
          <w:color w:val="auto"/>
        </w:rPr>
      </w:pPr>
      <w:r>
        <w:rPr>
          <w:rFonts w:ascii="Times New Roman" w:cs="Times New Roman" w:eastAsia="Times New Roman" w:hAnsi="Times New Roman"/>
          <w:sz w:val="18"/>
          <w:szCs w:val="18"/>
          <w:color w:val="auto"/>
        </w:rPr>
        <w:t>Vesting of stock-based compensation</w:t>
      </w:r>
    </w:p>
    <w:p>
      <w:pPr>
        <w:spacing w:after="0" w:line="10" w:lineRule="exact"/>
        <w:rPr>
          <w:sz w:val="20"/>
          <w:szCs w:val="20"/>
          <w:color w:val="auto"/>
        </w:rPr>
      </w:pPr>
    </w:p>
    <w:p>
      <w:pPr>
        <w:ind w:left="140" w:right="240"/>
        <w:spacing w:after="0" w:line="256" w:lineRule="auto"/>
        <w:rPr>
          <w:sz w:val="20"/>
          <w:szCs w:val="20"/>
          <w:color w:val="auto"/>
        </w:rPr>
      </w:pPr>
      <w:r>
        <w:rPr>
          <w:rFonts w:ascii="Times New Roman" w:cs="Times New Roman" w:eastAsia="Times New Roman" w:hAnsi="Times New Roman"/>
          <w:sz w:val="17"/>
          <w:szCs w:val="17"/>
          <w:color w:val="auto"/>
        </w:rPr>
        <w:t>Issuance of profit interests in wholly-owned subsidiaries</w:t>
      </w:r>
    </w:p>
    <w:p>
      <w:pPr>
        <w:spacing w:after="0" w:line="1" w:lineRule="exact"/>
        <w:rPr>
          <w:sz w:val="20"/>
          <w:szCs w:val="20"/>
          <w:color w:val="auto"/>
        </w:rPr>
      </w:pPr>
    </w:p>
    <w:p>
      <w:pPr>
        <w:ind w:left="140" w:right="520"/>
        <w:spacing w:after="0" w:line="284" w:lineRule="auto"/>
        <w:rPr>
          <w:sz w:val="20"/>
          <w:szCs w:val="20"/>
          <w:color w:val="auto"/>
        </w:rPr>
      </w:pPr>
      <w:r>
        <w:rPr>
          <w:rFonts w:ascii="Times New Roman" w:cs="Times New Roman" w:eastAsia="Times New Roman" w:hAnsi="Times New Roman"/>
          <w:sz w:val="17"/>
          <w:szCs w:val="17"/>
          <w:color w:val="auto"/>
        </w:rPr>
        <w:t>Exercise of stock options Share repurchases</w:t>
      </w:r>
    </w:p>
    <w:p>
      <w:pPr>
        <w:spacing w:after="0" w:line="1" w:lineRule="exact"/>
        <w:rPr>
          <w:sz w:val="20"/>
          <w:szCs w:val="20"/>
          <w:color w:val="auto"/>
        </w:rPr>
      </w:pPr>
    </w:p>
    <w:p>
      <w:pPr>
        <w:ind w:left="140"/>
        <w:spacing w:after="0" w:line="234" w:lineRule="auto"/>
        <w:rPr>
          <w:sz w:val="20"/>
          <w:szCs w:val="20"/>
          <w:color w:val="auto"/>
        </w:rPr>
      </w:pPr>
      <w:r>
        <w:rPr>
          <w:rFonts w:ascii="Times New Roman" w:cs="Times New Roman" w:eastAsia="Times New Roman" w:hAnsi="Times New Roman"/>
          <w:sz w:val="18"/>
          <w:szCs w:val="18"/>
          <w:color w:val="auto"/>
        </w:rPr>
        <w:t>Dividends on redeemable senior preferred stock</w:t>
      </w:r>
    </w:p>
    <w:p>
      <w:pPr>
        <w:spacing w:after="0" w:line="10" w:lineRule="exact"/>
        <w:rPr>
          <w:sz w:val="20"/>
          <w:szCs w:val="20"/>
          <w:color w:val="auto"/>
        </w:rPr>
      </w:pPr>
    </w:p>
    <w:p>
      <w:pPr>
        <w:ind w:left="140" w:right="180"/>
        <w:spacing w:after="0" w:line="236" w:lineRule="auto"/>
        <w:rPr>
          <w:sz w:val="20"/>
          <w:szCs w:val="20"/>
          <w:color w:val="auto"/>
        </w:rPr>
      </w:pPr>
      <w:r>
        <w:rPr>
          <w:rFonts w:ascii="Times New Roman" w:cs="Times New Roman" w:eastAsia="Times New Roman" w:hAnsi="Times New Roman"/>
          <w:sz w:val="17"/>
          <w:szCs w:val="17"/>
          <w:color w:val="auto"/>
        </w:rPr>
        <w:t>Accretion of unamortized issuance costs for redeemable</w:t>
      </w:r>
    </w:p>
    <w:p>
      <w:pPr>
        <w:ind w:left="140"/>
        <w:spacing w:after="0"/>
        <w:rPr>
          <w:sz w:val="20"/>
          <w:szCs w:val="20"/>
          <w:color w:val="auto"/>
        </w:rPr>
      </w:pPr>
      <w:r>
        <w:rPr>
          <w:rFonts w:ascii="Times New Roman" w:cs="Times New Roman" w:eastAsia="Times New Roman" w:hAnsi="Times New Roman"/>
          <w:sz w:val="18"/>
          <w:szCs w:val="18"/>
          <w:color w:val="auto"/>
        </w:rPr>
        <w:t>senior preferred stock</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6,695</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6,695</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r>
      <w:tr>
        <w:trPr>
          <w:trHeight w:val="418"/>
        </w:trPr>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925</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9"/>
        </w:trPr>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1,255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319"/>
        </w:trPr>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(1,621)</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1,621</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(7,468)</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(7,470)</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r>
      <w:tr>
        <w:trPr>
          <w:trHeight w:val="324"/>
        </w:trPr>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(33,594)</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(33,594)</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(33,594)</w:t>
            </w:r>
          </w:p>
        </w:tc>
      </w:tr>
      <w:tr>
        <w:trPr>
          <w:trHeight w:val="499"/>
        </w:trPr>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(3,286)</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(3,286)</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-1610995</wp:posOffset>
            </wp:positionV>
            <wp:extent cx="7132320" cy="266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-1079500</wp:posOffset>
            </wp:positionV>
            <wp:extent cx="713232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-668020</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-256540</wp:posOffset>
            </wp:positionV>
            <wp:extent cx="7132320" cy="377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2460" w:space="280"/>
            <w:col w:w="85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2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(102,208)</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71,059</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and transaction costs recognized on sale of business and investment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(112,622)</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40,775</w:t>
            </w: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Write-off of deferred loan costs and discount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3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PIK interest (paid)</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charges for intangible asset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non-cash items,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(receivable) payable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receivable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23"/>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12,202</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 and investment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179,416</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property, equipment and software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receivable loan funding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Acquisitions of assets and other investing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2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(451,033)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166,396</w:t>
            </w: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long-term debt, net of issue discount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and modification costs paid</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(110,507)</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borrowings under revolving credit facility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(18,505)</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redeemable senior preferred stock, net of discount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Redeemable senior preferred stock issuance fees and costs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redeemable NCI in subsidiary</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and shares withheld for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redeemable senior preferred stockholders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distributions to redeemable NCIs of subsidiaries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(45,398)</w:t>
            </w:r>
          </w:p>
        </w:tc>
      </w:tr>
      <w:tr>
        <w:trPr>
          <w:trHeight w:val="234"/>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10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and customer/subscriber accounts obligations,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34,870</w:t>
            </w:r>
          </w:p>
        </w:tc>
      </w:tr>
      <w:tr>
        <w:trPr>
          <w:trHeight w:val="230"/>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871,629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(140,943)</w:t>
            </w:r>
          </w:p>
        </w:tc>
      </w:tr>
      <w:tr>
        <w:trPr>
          <w:trHeight w:val="210"/>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37,655</w:t>
            </w:r>
          </w:p>
        </w:tc>
      </w:tr>
      <w:tr>
        <w:trPr>
          <w:trHeight w:val="229"/>
        </w:trPr>
        <w:tc>
          <w:tcPr>
            <w:tcW w:w="70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50,465</w:t>
            </w:r>
          </w:p>
        </w:tc>
      </w:tr>
      <w:tr>
        <w:trPr>
          <w:trHeight w:val="248"/>
        </w:trPr>
        <w:tc>
          <w:tcPr>
            <w:tcW w:w="7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88,120</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w:t>
            </w: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78,879</w:t>
            </w:r>
          </w:p>
        </w:tc>
      </w:tr>
      <w:tr>
        <w:trPr>
          <w:trHeight w:val="176"/>
        </w:trPr>
        <w:tc>
          <w:tcPr>
            <w:tcW w:w="70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and cash equivalents included in settlement assets and customer/subscriber account</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9"/>
        </w:trPr>
        <w:tc>
          <w:tcPr>
            <w:tcW w:w="70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balances (see </w:t>
            </w:r>
            <w:r>
              <w:rPr>
                <w:rFonts w:ascii="Times New Roman" w:cs="Times New Roman" w:eastAsia="Times New Roman" w:hAnsi="Times New Roman"/>
                <w:sz w:val="18"/>
                <w:szCs w:val="18"/>
                <w:color w:val="0000FF"/>
              </w:rPr>
              <w:t>Note 5</w:t>
            </w: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531,574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468,934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r>
      <w:tr>
        <w:trPr>
          <w:trHeight w:val="34"/>
        </w:trPr>
        <w:tc>
          <w:tcPr>
            <w:tcW w:w="1020" w:type="dxa"/>
            <w:vAlign w:val="bottom"/>
            <w:tcBorders>
              <w:bottom w:val="single" w:sz="8" w:color="CCEEFF"/>
            </w:tcBorders>
          </w:tcPr>
          <w:p>
            <w:pPr>
              <w:spacing w:after="0"/>
              <w:rPr>
                <w:sz w:val="2"/>
                <w:szCs w:val="2"/>
                <w:color w:val="auto"/>
              </w:rPr>
            </w:pPr>
          </w:p>
        </w:tc>
        <w:tc>
          <w:tcPr>
            <w:tcW w:w="480" w:type="dxa"/>
            <w:vAlign w:val="bottom"/>
            <w:tcBorders>
              <w:top w:val="single" w:sz="8" w:color="0000FF"/>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8"/>
        </w:trPr>
        <w:tc>
          <w:tcPr>
            <w:tcW w:w="70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88,120</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33,433</w:t>
            </w: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30"/>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PIK added to principal of debt obligation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r>
      <w:tr>
        <w:trPr>
          <w:trHeight w:val="175"/>
        </w:trPr>
        <w:tc>
          <w:tcPr>
            <w:tcW w:w="702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Payment of accrued contingent consideration for asset acquisition from offset of account</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receivable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30"/>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portion of dividend payable and ticking fee for redeemable senior preferred stock</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Accruals for future contingent payments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r>
      <w:tr>
        <w:trPr>
          <w:trHeight w:val="230"/>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NCI</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Notes receivable from sellers used as partial consideration for acquisitions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 of liability-classified award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Change in ESPP liability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additions to other noncurrent assets for right-of-use operating leases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right="6700" w:firstLine="8"/>
        <w:spacing w:after="0" w:line="495" w:lineRule="auto"/>
        <w:tabs>
          <w:tab w:leader="none" w:pos="31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Significant Accounting Policies The Business</w:t>
      </w:r>
    </w:p>
    <w:p>
      <w:pPr>
        <w:spacing w:after="0" w:line="1"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8"/>
          <w:szCs w:val="18"/>
          <w:color w:val="auto"/>
        </w:rPr>
        <w:t>Headquartered in Alpharetta, GA, the Company began operations in 2005 with a mission to build a merchant-inspired payments platform that would advance the goals of its customers and partners. Our approach leverages a single platform to collect, store and send money that operates at scale. Our technology supports high-value payments products complimented by our personalized support. We are a leading provider to businesses, enterprises and distribution partners such as retail ISOs, FIs, wholesale ISOs and ISVs.</w:t>
      </w:r>
    </w:p>
    <w:p>
      <w:pPr>
        <w:spacing w:after="0" w:line="1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operates from a purpose-built business platform that includes tailored customer service offerings and bespoke technology development, allowing the Company to provide end-to-end solutions for payment and payment-adjacent needs.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provides:</w:t>
      </w:r>
    </w:p>
    <w:p>
      <w:pPr>
        <w:spacing w:after="0" w:line="225" w:lineRule="exact"/>
        <w:rPr>
          <w:sz w:val="20"/>
          <w:szCs w:val="20"/>
          <w:color w:val="auto"/>
        </w:rPr>
      </w:pPr>
    </w:p>
    <w:p>
      <w:pPr>
        <w:ind w:left="660" w:right="2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SMB payments processing solutions for B2C transactions through ISOs, FIs, ISVs and other referral partners. Our proprietary MX platform for B2C payments provides merchants a fully customizable suite of business management solutions.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payments solutions such as automated vendor payments and professionally curated managed services to industry leading FIs and networks. Our proprietary B2B CPX platform was developed to be a best-in-class solution for buyer/supplier payment enablement.</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services (also known as Managed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payments solutions for ISVs and other third parties that allow them to leverage the Company's core payments engine via robust API resources and high-utility embeddable code and consulting and development solutions focused on the increasing demand for integrated payments solutions for transitioning to the digital economy.</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The Company provides its services through three reportable segments: 1) SMB Payments; 2) B2B Payments; and 3) Enterprise Payments. For additional information about our reportable segments, see </w:t>
      </w:r>
      <w:r>
        <w:rPr>
          <w:rFonts w:ascii="Times New Roman" w:cs="Times New Roman" w:eastAsia="Times New Roman" w:hAnsi="Times New Roman"/>
          <w:sz w:val="18"/>
          <w:szCs w:val="18"/>
          <w:u w:val="single" w:color="auto"/>
          <w:color w:val="0000FF"/>
        </w:rPr>
        <w:t>Note 20. Segment Information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provide many of its services, the Company enters into agreements with payment processors which in turn have agreements with multiple card associations. These card associations comprise an alliance aligned with insured FIs ("member banks") that work in conjunction with various local, state, territory and federal government agencies to make the rules and guidelines regarding the use and acceptance of credit and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offers money transmission services in 46 U.S. states and two U.S. territories.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All material intercompany balances and transactions have been eliminated in consolidation. Investments in unconsolidated affiliated companies are accounted for under the equity method and are included in other noncurrent assets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NCI represents the equity interest not owned by the Company and are recorded for consolidated entities in which the Company owns less than 100% of the interests. Changes in the Company's ownership interest while the Company retains its controlling interest are accounted for as equity transactions, and upon loss of control, retained ownership interests are remeasured at fair value, with any gain or loss recognized in earnings. For 2022, there was no income or loss attributable to NCI in accordance with the applicable operating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reported period. Actual results could materially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applies the five-step model to assess its contracts with customers. At contract inception, the Company assesses the services and goods promised in its contracts with customers and identifies the performance obligation for each promise to transfer a distinct good or service to the customer. The Company recognizes revenue when it satisfies a performance obligation by transferring a service or good to the customer in an amount to which the Company expects to be entitled (i.e., transaction price) allocated to the distinct services or goods. The Company has elected the permitted practical expedient that allows it to use the portfolio approach for many of its contracts since this approach's impact on the financial statements, when applied to a group of contracts (or performance obligations) with similar characteristics, is not materially different from the impact of applying the revenue standard on an individual contract basis. Under the portfolio practical expedient, collectability is still assessed at the individual contract level when determining if a contract exists. The Company has elected to exclude any contracts with an original duration of one year or less and any variable consideration that meets specified criteria from its disclosure of the aggregate amount of the transaction price allocated to unsatisfied performance.</w:t>
      </w:r>
    </w:p>
    <w:p>
      <w:pPr>
        <w:spacing w:after="0" w:line="18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In delivering payment services to the customer, the Company may also provide a limited license agreement to the customer for the use of one or more of the Company's proprietary cloud-based software applications. The Company grants a right to use its software applications only when the customer has contracted with the Company to receive related payment services. When combined with the underlying payment services, the license and the payment services provided to the customer are a single stand-ready obligation and the Company's performance obligation is defined by each time increment, rather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by the underlying activities, (quantity and timing of which is not determinable), satisfied over time based on days elapsed.</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order to provide our payment services, we obtain authorization for the transaction and request funds settlement from the card issuing financial institution through the payment network. When third parties are involved in the transfer of services or goods to the customer, the Company considers the nature of each specific promised service or good and applies judgment to determine whether the Company controls the service or good before it is transferred to the customer or whether the Company is acting as an agent of the third party. To determine whether the Company controls the service or good, it assesses indicators including: 1) which party is primarily responsible for fulfillment; 2) which party has discretion in determining pricing for the service or good; and 3) other considerations deemed to be applicable to the specific situation. Based on our assessment of these indicators, we have concluded that the promise to our customers to provide payment services is distinct from the services provided by the card issuing FIs and payment networks in connection with payment transactions. We do not have the ability to direct the use of and obtain substantially all of the benefits of the services provided by the card issuing FIs and payment networks before those services are transferred to our customer, and on that basis, we do not control those services prior to being transferred to our customer. As a result, we present our revenues net of the interchange fees retained by the card issuing FIs and the fees charged by the payment networks.</w:t>
      </w:r>
    </w:p>
    <w:p>
      <w:pPr>
        <w:spacing w:after="0" w:line="19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u w:val="single" w:color="auto"/>
          <w:color w:val="auto"/>
        </w:rPr>
        <w:t>SMB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SMB Payments segment enables the Company's customers to accept card, electronic and digital-based payments at the point of sale by providing a suite of services including authorization, settlement and funding, customer support and help-desk functions, chargeback resolution, payment security, consolidated billing and statements, and online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Typically, revenues generated from these transactions are based on a variable percentage of the dollar amount of each transaction, and in some instances, additional fees (e.g., statement fees, annual fees and monthly minimum fees, fees for handling chargebacks, gateway fees and fees for other miscellaneous services) are charged for each transaction. The Company's sponsoring banks collect the gross merchant discount from the card holder's issuing bank, pay the interchange fees and assessments to the payment networks and credit card associations, retain their fees, and pay to the Company the net amount which represents the Company's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earns revenue and commissions from resale of electronic POS equipment.</w:t>
      </w:r>
    </w:p>
    <w:p>
      <w:pPr>
        <w:spacing w:after="0" w:line="223"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u w:val="single" w:color="auto"/>
          <w:color w:val="auto"/>
        </w:rPr>
        <w:t>B2B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B2B Payments segment enables the Company's customers to automate their accounts payable and other commercial payments functions with the Company's payment services that utilize physical and virtual payment cards as well as ACH transactions. In addition, the Company provides cost-plus-fee turn-key business process outsourcing and assists commercial customers with programs that are designed to increase acceptance of Electronic Payments.</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Revenues are generally earned on a per-transaction basis and are recognized by the Company net of certain third-party costs for interchange fees, assessments to the payment networks, credit card associations fees, sponsor bank fees and rebates to customers. For outsourced services, revenue is recognized to the extent of billable rates multiplied times hours worked and other reimbursable costs incurred. For performance obligations associated with outsourced services that are satisfied over time, the Company applies the permitted practical expedient known as the "right to invoice practical expedient" that allows the Company to recognize revenue in the amount of consideration to which the Company has the right to invoice when that amount corresponds directly to the value transferred to the customer.</w:t>
      </w:r>
    </w:p>
    <w:p>
      <w:pPr>
        <w:spacing w:after="0" w:line="185"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u w:val="single" w:color="auto"/>
          <w:color w:val="auto"/>
        </w:rPr>
        <w:t>Enterprise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Enterprise Payments segment uses payment-adjacent technologies to facilitate the acceptance of Electronic Payments from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the Enterprise Payments segment consists of the following:</w:t>
      </w:r>
    </w:p>
    <w:p>
      <w:pPr>
        <w:spacing w:after="0" w:line="223" w:lineRule="exact"/>
        <w:rPr>
          <w:sz w:val="20"/>
          <w:szCs w:val="20"/>
          <w:color w:val="auto"/>
        </w:rPr>
      </w:pPr>
    </w:p>
    <w:p>
      <w:pPr>
        <w:ind w:left="660" w:right="840" w:hanging="328"/>
        <w:spacing w:after="0" w:line="315"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Enrollment fees</w:t>
      </w:r>
      <w:r>
        <w:rPr>
          <w:rFonts w:ascii="Times New Roman" w:cs="Times New Roman" w:eastAsia="Times New Roman" w:hAnsi="Times New Roman"/>
          <w:sz w:val="17"/>
          <w:szCs w:val="17"/>
          <w:color w:val="auto"/>
        </w:rPr>
        <w:t>: The revenue associated with enrollment fees is recognized upon the receipt of a fully executed enrollment application,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completion of the customer account setup, data verification and the constructive receipt of the applicable non-refundable fee.</w:t>
      </w:r>
    </w:p>
    <w:p>
      <w:pPr>
        <w:spacing w:after="0" w:line="134" w:lineRule="exact"/>
        <w:rPr>
          <w:rFonts w:ascii="Times New Roman" w:cs="Times New Roman" w:eastAsia="Times New Roman" w:hAnsi="Times New Roman"/>
          <w:sz w:val="17"/>
          <w:szCs w:val="17"/>
          <w:color w:val="auto"/>
        </w:rPr>
      </w:pPr>
    </w:p>
    <w:p>
      <w:pPr>
        <w:ind w:left="660" w:right="20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fees</w:t>
      </w:r>
      <w:r>
        <w:rPr>
          <w:rFonts w:ascii="Times New Roman" w:cs="Times New Roman" w:eastAsia="Times New Roman" w:hAnsi="Times New Roman"/>
          <w:sz w:val="18"/>
          <w:szCs w:val="18"/>
          <w:color w:val="auto"/>
        </w:rPr>
        <w:t>: The Company recognizes monthly subscription fees as recurring maintenance fees each month during the term of the client's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enrollment. Revenue from transaction-based fees is recognized upon constructive receipt of transaction fees for payments to creditors issued via ACH payments, paper checks or wire transfers. These fees are transferred to the Company from the customer account balances, which may be maintained by the Company in money transmission license trust accounts or by partner banks.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revenue</w:t>
      </w:r>
      <w:r>
        <w:rPr>
          <w:rFonts w:ascii="Times New Roman" w:cs="Times New Roman" w:eastAsia="Times New Roman" w:hAnsi="Times New Roman"/>
          <w:sz w:val="18"/>
          <w:szCs w:val="18"/>
          <w:color w:val="auto"/>
        </w:rPr>
        <w:t>: Interest revenue is derived from certain customer balances maintained in interest bearing accounts with select partner banks.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CRM and consulting fees</w:t>
      </w:r>
      <w:r>
        <w:rPr>
          <w:rFonts w:ascii="Times New Roman" w:cs="Times New Roman" w:eastAsia="Times New Roman" w:hAnsi="Times New Roman"/>
          <w:sz w:val="18"/>
          <w:szCs w:val="18"/>
          <w:color w:val="auto"/>
        </w:rPr>
        <w:t>: CRM license fees are recognized on a monthly basis and consulting fees are recognized when services are performed.</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substantial portion of this segment's revenues are earned as an agent of a third party, and therefore this earned revenue is reported as a net amount within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4. Revenues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ASC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Costs of merchant card fees primarily consist of residual payments to agents and ISOs and other third-party costs directly attributable to payment processing. The residual payments represent commissions paid to agents and ISOs based upon a percentage of the net revenues generated from merchant transactions. Costs of outsourced services and other revenue consist of salaries directly related to outsourced services revenue, the cost of equipment (point of sale terminals) sold, and third-party fees and commissions related to the Company's ACH processing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Customers and Contract Costs</w:t>
      </w:r>
    </w:p>
    <w:p>
      <w:pPr>
        <w:spacing w:after="0" w:line="22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accrues and pays commission expense based on variable merchant payment volumes and for certain customer service and other services provided by its ISOs. Since commission expenses are accrued and paid to ISOs on a monthly basis after the merchant enters into a new or renewed contract, these are not deemed to be a cost to acquire a new contract but they are reported within costs of services on our Consolidated Statements of Operations. The ISO is typically an independent contractor or agent of the Company.</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may occasionally elect to buy out all or a portion of an ISO's rights to receive future commission payments related to certain merchants. Amounts paid to the ISO for these residual buyouts are capitalized by the Company under the accounting guidance for intangible assets and included in intangible assets, net on our Consolidated Balance Sheets.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 contract with a customer creates a legal right and obligation.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Sheets and are classified as current or noncurrent based on the nature of the underlying contractual rights and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Restricted Cash</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highly liquid instruments with an original maturity of three months or less, and cash owned by the Company that is held in financial institutions. Restricted cash is held by the Company in financial institutions for the purpose of in-process customer settlements or reserves held per contact terms.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Accounts receivable is stated net of allowance for doubtful accounts and are amounts primarily due from the Company's sponsor banks for revenues earned, net of related interchange and processing fees, and do not bear interest. Other types of accounts receivable are from agents, merchants and other customers. Amounts due from sponsor banks are typically paid within 30 days following the end of each month.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Notes receivable are primarily comprised of notes receivable from ISOs and related parties, and under the terms of the agreements the Company preserves the right to hold back residual payments due to the ISOs and to apply such residuals against future payments due to the Company. See </w:t>
      </w:r>
      <w:r>
        <w:rPr>
          <w:rFonts w:ascii="Times New Roman" w:cs="Times New Roman" w:eastAsia="Times New Roman" w:hAnsi="Times New Roman"/>
          <w:sz w:val="18"/>
          <w:szCs w:val="18"/>
          <w:u w:val="single" w:color="auto"/>
          <w:color w:val="0000FF"/>
        </w:rPr>
        <w:t>Note 6.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Receivable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17.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 Receivable and Notes Receivable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an allowance for doubtful accounts and/or notes receivable when it is probable that the account receivable balance or the note receivable balance will not be collected, based upon loss trends and an analysis of individual accounts. Accounts receivable and notes receivable are written off when deemed uncollectible. Recoveries of accounts receivable and notes receivable previously written off, if any, are recognized when received. The allowance for doubtful accounts was $1.1 million and $0.6 million at December 31, 2022 and 2021, respectively. As of December 31, 2022 and 2021, there was no allowance for doubtful notes receivable. See </w:t>
      </w:r>
      <w:r>
        <w:rPr>
          <w:rFonts w:ascii="Times New Roman" w:cs="Times New Roman" w:eastAsia="Times New Roman" w:hAnsi="Times New Roman"/>
          <w:sz w:val="18"/>
          <w:szCs w:val="18"/>
          <w:u w:val="single" w:color="auto"/>
          <w:color w:val="0000FF"/>
        </w:rPr>
        <w:t>Note 6. Notes Receivable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 and Advance Payments</w:t>
      </w:r>
    </w:p>
    <w:p>
      <w:pPr>
        <w:spacing w:after="0" w:line="227"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7"/>
          <w:szCs w:val="17"/>
          <w:color w:val="auto"/>
        </w:rPr>
        <w:t>The Company may receive cash payments from certain customers and vendors that require future performance obligations by the Company. Amounts associated with obligations expected to be satisfied within one year are reported in customer deposits and advance payments on the Company's Consolidated Balance Sheets and amounts associated with obligations expected to be satisfied after one year are reported as a component of other noncurrent liabilities on the Company's Consolidated Balance Sheets. These payments are subsequently recognized in the Company's Consolidated Statements of Operations when the Company satisfies the performance obligations required to retain and earn these deposits and advance payments.</w:t>
      </w:r>
    </w:p>
    <w:p>
      <w:pPr>
        <w:spacing w:after="0" w:line="1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vendor may make an upfront payment to the Company to offset costs that the Company incurs to integrate the vendor into the Company's operations. These upfront payments are deferred by the Company and are subsequently amortized against expense in its Consolidated Statements of Operations as the related costs are incurred by the Company in accordance with the agreement with the vendor.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except for property and equipment acquired in a business combination, which is recorded at fair value at the time of the transaction. Depreciation is calculated using the straight-line method over the estimated useful lives of the assets.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equipment and software</w:t>
            </w:r>
          </w:p>
        </w:tc>
        <w:tc>
          <w:tcPr>
            <w:tcW w:w="6720" w:type="dxa"/>
            <w:vAlign w:val="bottom"/>
            <w:tcBorders>
              <w:bottom w:val="single" w:sz="8" w:color="auto"/>
            </w:tcBorders>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88"/>
              </w:rPr>
              <w:t>5</w:t>
            </w: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00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88"/>
              </w:rPr>
              <w:t>3</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 years</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0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88"/>
              </w:rPr>
              <w:t>2</w:t>
            </w: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88"/>
              </w:rPr>
              <w:t>3</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7. Property, Equipment and Software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Incurred to Develop Software for Internal Use</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Costs incurred to develop or obtain internal-use software and implementation costs are accounted for in accordance with ASC 350-40, </w:t>
      </w:r>
      <w:r>
        <w:rPr>
          <w:rFonts w:ascii="Times New Roman" w:cs="Times New Roman" w:eastAsia="Times New Roman" w:hAnsi="Times New Roman"/>
          <w:sz w:val="18"/>
          <w:szCs w:val="18"/>
          <w:i w:val="1"/>
          <w:iCs w:val="1"/>
          <w:color w:val="auto"/>
        </w:rPr>
        <w:t>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The Company uses an agile development methodology in which feature-by-feature updates are made to its software. The costs incurred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stages of development are expensed as incurred. Once an application has reached the development stage, internal and external costs incurred to develop internal-use software are capitalized and amortized using the straight-line method over the estimated useful life of the software, which generally range from two to five years. Maintenance costs including those in the post-implementation stages, are typically expensed as incurred, unless such costs relate to substantial upgrades and enhancements to the software that result in added functionality, in which case such costs are capitalized and amortized using the straight-line method over the estimated useful life of the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Software development costs may become impaired in situations where development efforts are abandoned due to the viability of the planned project becoming doubtful or due to technological obsolescence of the planned software product. For the years ended December 31, 2022, 2021 and 2020, there was no impairment associated with internal-use software.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2021 and 2020, the Company capitalized software development costs of $16.8 million, $7.8 million and</w:t>
      </w:r>
    </w:p>
    <w:p>
      <w:pPr>
        <w:spacing w:after="0" w:line="27"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$7.1 million, respectively. As of December 31, 2022 and 2021, capitalized software development costs, net of cumulated amortization, totaled $28.1 million and $18.3 million, respectively, and are included in property, equipment and software, net on the Consolidated Balance Sheets.</w:t>
      </w:r>
    </w:p>
    <w:p>
      <w:pPr>
        <w:spacing w:after="0" w:line="1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Amortization expense for capitalized software development costs for the years ended December 31, 2022, 2021 and 2020 was $6.9 million, $5.9 million and $5.3 million, respectively, and are included in depreciation and amortization on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 intangible assets are initially recorded at cost or fair value when acquired in connection with a business combination. The carrying value of an intangible asset acquired in an asset acquisition may subsequently be increased for contingent consideration when due to the seller and such amounts can be estimated. The portion of any unpaid purchase price that is contingent on future activities is not initially recorded by the Company on the date of acquisition. Rather, the Company recognizes contingent consideration when it becomes probable and estimable. All of the Company's intangible assets, except goodwill and money transmission licenses, have finite lives and are subject to amortization. Intangible assets consist of acquired merchant portfolios, customer relationships, ISO and referral partner relationships, residual buyouts, trade names, technology, non-compete agreements and money transmission licenses.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56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auto"/>
            </w:tcBorders>
            <w:vMerge w:val="continue"/>
          </w:tcPr>
          <w:p>
            <w:pPr>
              <w:spacing w:after="0"/>
              <w:rPr>
                <w:sz w:val="21"/>
                <w:szCs w:val="21"/>
                <w:color w:val="auto"/>
              </w:rPr>
            </w:pPr>
          </w:p>
        </w:tc>
        <w:tc>
          <w:tcPr>
            <w:tcW w:w="5620" w:type="dxa"/>
            <w:vAlign w:val="bottom"/>
            <w:tcBorders>
              <w:bottom w:val="single" w:sz="8" w:color="auto"/>
            </w:tcBorders>
            <w:vMerge w:val="continue"/>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5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Acquired relationships with ISOs and referral partners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 – 25 years</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Buyouts</w:t>
            </w:r>
          </w:p>
        </w:tc>
        <w:tc>
          <w:tcPr>
            <w:tcW w:w="5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Surrender of rights to receive commissions by ISOs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9 years</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Acquired customer relationships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 15 years</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Merchant Portfolios</w:t>
            </w:r>
          </w:p>
        </w:tc>
        <w:tc>
          <w:tcPr>
            <w:tcW w:w="5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Acquired rights to a portfolio of merchants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 10 years</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Acquired proprietary software and website domains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10 years</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Non-compete Agreements</w:t>
            </w:r>
          </w:p>
        </w:tc>
        <w:tc>
          <w:tcPr>
            <w:tcW w:w="5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Acquired trade names and non-compete agreements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 12 years</w:t>
            </w:r>
          </w:p>
        </w:tc>
        <w:tc>
          <w:tcPr>
            <w:tcW w:w="0" w:type="dxa"/>
            <w:vAlign w:val="bottom"/>
          </w:tcPr>
          <w:p>
            <w:pPr>
              <w:spacing w:after="0"/>
              <w:rPr>
                <w:sz w:val="1"/>
                <w:szCs w:val="1"/>
                <w:color w:val="auto"/>
              </w:rPr>
            </w:pPr>
          </w:p>
        </w:tc>
      </w:tr>
      <w:tr>
        <w:trPr>
          <w:trHeight w:val="175"/>
        </w:trPr>
        <w:tc>
          <w:tcPr>
            <w:tcW w:w="3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Transmission Licenses</w:t>
            </w:r>
          </w:p>
        </w:tc>
        <w:tc>
          <w:tcPr>
            <w:tcW w:w="562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Acquired licenses to collect, store and send money in 46 U.S. states</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indefinite</w:t>
            </w:r>
          </w:p>
        </w:tc>
        <w:tc>
          <w:tcPr>
            <w:tcW w:w="0" w:type="dxa"/>
            <w:vAlign w:val="bottom"/>
          </w:tcPr>
          <w:p>
            <w:pPr>
              <w:spacing w:after="0"/>
              <w:rPr>
                <w:sz w:val="1"/>
                <w:szCs w:val="1"/>
                <w:color w:val="auto"/>
              </w:rPr>
            </w:pPr>
          </w:p>
        </w:tc>
      </w:tr>
      <w:tr>
        <w:trPr>
          <w:trHeight w:val="149"/>
        </w:trPr>
        <w:tc>
          <w:tcPr>
            <w:tcW w:w="3780" w:type="dxa"/>
            <w:vAlign w:val="bottom"/>
            <w:vMerge w:val="continue"/>
            <w:shd w:val="clear" w:color="auto" w:fill="CCEEFF"/>
          </w:tcPr>
          <w:p>
            <w:pPr>
              <w:spacing w:after="0"/>
              <w:rPr>
                <w:sz w:val="12"/>
                <w:szCs w:val="12"/>
                <w:color w:val="auto"/>
              </w:rPr>
            </w:pPr>
          </w:p>
        </w:tc>
        <w:tc>
          <w:tcPr>
            <w:tcW w:w="562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and two U.S. territories.</w:t>
            </w:r>
          </w:p>
        </w:tc>
        <w:tc>
          <w:tcPr>
            <w:tcW w:w="1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80" w:type="dxa"/>
            <w:vAlign w:val="bottom"/>
            <w:shd w:val="clear" w:color="auto" w:fill="CCEEFF"/>
          </w:tcPr>
          <w:p>
            <w:pPr>
              <w:spacing w:after="0"/>
              <w:rPr>
                <w:sz w:val="8"/>
                <w:szCs w:val="8"/>
                <w:color w:val="auto"/>
              </w:rPr>
            </w:pPr>
          </w:p>
        </w:tc>
        <w:tc>
          <w:tcPr>
            <w:tcW w:w="5620" w:type="dxa"/>
            <w:vAlign w:val="bottom"/>
            <w:vMerge w:val="continue"/>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The Company reviews its long-lived assets for impairment whenever events or changes in circumstances indicate the carrying value of an asset may not be recoverable. For long-lived assets, except goodwill, an impairment loss is indicated when the undiscounted future cash flows estimated to be generated by the asset group are not sufficient to recover the carrying value of the asset group. If indicated, the loss is measured as the excess of carrying value over the asset groups' fair value, as determined based on discounted future cash flows. The Company concluded there were no indications of impairment for the years ended December 31, 2022 and 2021. For the year ended December 31, 2020, the Company recognized an impairment charge of $1.8 million for a residual buyout intangible asset. See </w:t>
      </w:r>
      <w:r>
        <w:rPr>
          <w:rFonts w:ascii="Times New Roman" w:cs="Times New Roman" w:eastAsia="Times New Roman" w:hAnsi="Times New Roman"/>
          <w:sz w:val="18"/>
          <w:szCs w:val="18"/>
          <w:u w:val="single" w:color="auto"/>
          <w:color w:val="0000FF"/>
        </w:rPr>
        <w:t>Note 8. Goodwill and Other Intangible Assets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Company tests goodwill for impairment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See </w:t>
      </w:r>
      <w:r>
        <w:rPr>
          <w:rFonts w:ascii="Times New Roman" w:cs="Times New Roman" w:eastAsia="Times New Roman" w:hAnsi="Times New Roman"/>
          <w:sz w:val="18"/>
          <w:szCs w:val="18"/>
          <w:u w:val="single" w:color="auto"/>
          <w:color w:val="0000FF"/>
        </w:rPr>
        <w:t>Note 8. Goodwill and Other Intangible Assets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its related interpretations, codified as ASC 842, as of January 1, 2021, applying the optional transition approach available whereby the new lease standard is applied at the adoption date recognizing a cumulative-effect adjustment to the opening balance of retained earnings in the period of adoption, if applicable, and prior periods are not restated. Upon adoption the Company recorded ROU Assets of approximately $7.4 million and related operating lease obligations of approximately $8.4 million. There was no impact to the opening balance of retained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Under ASC 842</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evaluates lease and service arrangements at lease inception to determine if the arrangement is a lease or contains a lease. Lease arrangements are evaluated at their commencement date to determine classification as operating or finance. Operating leases are reported as part of other noncurrent assets, accounts payable and accrued expenses and other noncurrent liabilities on the Company's Consolidated Balance Sheets. Finance leases, if applicable, are reported as part of property, equipment and software, net, and debt on the Company's Consolidated Balance Sheets. Leases with a term of twelve months or less are not included on the Company's Balance Sheets. The Company does not separate lease and non-lease components. Certain estimates and assumptions are made when determining the value of ROU Assets and the related liabilities, including when establishing the lease term and discount rates and variable lease payments (e.g., rent escalations tied to changes in the Producer Price Index). The lease term for all of the Company's leases includes the non-cancelable period of the lease adjusted for any renewal or termination options the Company is reasonably certain to exercise. The lease payment stream includes any rent escalation that is required under certain lease agreements. The Company's leases generally do not provide an implicit rate of interest, nor is it readily determinable by the Company, and as such the Company uses its incremental borrowing rate in determining the discounted value of the lease payments. Lease expense and depreciation expense, if applicable, are recognized on a straight-line basis over the term of the 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to the Adoption of ASC 842</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multiple operating leases related to office space. Operating leases do not involve transfer of risks and rewards of ownership of the leased asset to the lessee, therefore the Company expenses the costs of its operating leases. The Company may make various alterations (leasehold improvements) to the office space and capitalize these costs as part of property and equipment. Leasehold improvements are generally amortized on a straight-line basis over the useful life of the improvement or the term of the lease, whichever is shorter. See </w:t>
      </w:r>
      <w:r>
        <w:rPr>
          <w:rFonts w:ascii="Times New Roman" w:cs="Times New Roman" w:eastAsia="Times New Roman" w:hAnsi="Times New Roman"/>
          <w:sz w:val="18"/>
          <w:szCs w:val="18"/>
          <w:u w:val="single" w:color="auto"/>
          <w:color w:val="0000FF"/>
        </w:rPr>
        <w:t>Note 9. Leases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Customer/Subscriber Account Balances and Related Obligations</w:t>
      </w:r>
    </w:p>
    <w:p>
      <w:pPr>
        <w:spacing w:after="0" w:line="227"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 xml:space="preserve">Settlement assets and customer/subscriber account balances and the related obligations recognized on the Company's Consolidated Balance Sheets represent intermediary balances arising in the Company's settlement process for merchants and other customers. See </w:t>
      </w:r>
      <w:r>
        <w:rPr>
          <w:rFonts w:ascii="Times New Roman" w:cs="Times New Roman" w:eastAsia="Times New Roman" w:hAnsi="Times New Roman"/>
          <w:sz w:val="18"/>
          <w:szCs w:val="18"/>
          <w:u w:val="single" w:color="auto"/>
          <w:color w:val="0000FF"/>
        </w:rPr>
        <w:t>Note 5. Settlement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Customer/Subscriber Account Balances and Related Obligations</w:t>
      </w:r>
      <w:r>
        <w:rPr>
          <w:rFonts w:ascii="Times New Roman" w:cs="Times New Roman" w:eastAsia="Times New Roman" w:hAnsi="Times New Roman"/>
          <w:sz w:val="18"/>
          <w:szCs w:val="18"/>
          <w:color w:val="000000"/>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and Modification Costs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Eligible debt issuance costs associated with the Company's credit facilities are deferred and amortized to interest expense over the term of the related debt using the effective interest method. Debt issuance costs associated with Company's term debt are presented on the Company's Consolidated Balance Sheets as a direct reduction in the carrying value of the associated debt liability. Debt modification costs represents amounts paid to third parties to modify existing debt agreements when those amounts are not eligible for capitalization.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Contingent Consideration</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Contingent consideration related to the Company's business combinations are estimated based on the present value of a weighted payout probability at the measurement date using a Monte Carlo simulation model. This valuation falls within Level 3 on the fair value hierarchy. The current portion of contingent consideration is included in accounts payable and accrued expenses on the Company's Consolidated Balance Sheets and the noncurrent portion of contingent consideration is included in other noncurrent liabilities on the Company's Consolidated Balance Sheets.</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asset acquisitions that do not meet the definition of a business, the portion of the unpaid purchase price that is contingent on future activities is not recorded by the Company on the date of acquisition, but when it becomes probable and can be estimated.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Non-controlling Interests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issued non-voting incentive units in three of its subsidiaries during 2022 to acquire the operating assets of certain businesses (see </w:t>
      </w:r>
      <w:r>
        <w:rPr>
          <w:rFonts w:ascii="Times New Roman" w:cs="Times New Roman" w:eastAsia="Times New Roman" w:hAnsi="Times New Roman"/>
          <w:sz w:val="18"/>
          <w:szCs w:val="18"/>
          <w:u w:val="single" w:color="auto"/>
          <w:color w:val="0000FF"/>
        </w:rPr>
        <w:t>Note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Acquisitions</w:t>
      </w:r>
      <w:r>
        <w:rPr>
          <w:rFonts w:ascii="Times New Roman" w:cs="Times New Roman" w:eastAsia="Times New Roman" w:hAnsi="Times New Roman"/>
          <w:sz w:val="18"/>
          <w:szCs w:val="18"/>
          <w:color w:val="000000"/>
        </w:rPr>
        <w:t>). The Company is the majority owner of these subsidiaries and therefore the incentive units are deemed to be NCI.</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estimate the initial fair value of the incentive units, the Company utilizes future cash flow scenarios with focus on those cash flow scenarios which could result in future distributions to the NCIs. In subsequent periods, income or loss will be attributed to an NCI based on the hypothetical liquidation at book value method utilizing the terms of the operating agreement between the Company and the NCI.</w:t>
      </w:r>
    </w:p>
    <w:p>
      <w:pPr>
        <w:spacing w:after="0" w:line="176"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As the majority owner, the Company has call rights on the incentive units issued to the NCIs. These call rights can only be executed under certain circumstances and execution is always optional at the Company's discretion. The call rights do not meet the definition of a free-standing financial instrument or derivative, thus no separate accounting is required for these call rights.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Residual Commissions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Accrued residual commissions consist of amounts due to ISOs and independent sales agents based on a percentage of the net revenues generated from the Company's merchant customers. Percentages vary based on the program type and transaction volume of each merchant. Residual commission expenses were $383.5 million, $318.9 million and $240.2 million, respectively, for the years ended December 31, 2022, 2021 and 2020, and are included in costs of services in the accompanying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ISO Deposit and Loss Reserve</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ISOs may partner with the Company in an exclusive partner program in which ISOs are given negotiated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recognizes the cost resulting from all stock-based payment transactions in the financial statements at grant date fair value. Stock-based compensation expense is recognized over the requisite service period and is reflected in salary and employee benefits expense on the Company's Consolidated Statements of Operations. Awards generally vest over three or four years and may not vest evenly over the vesting period. The effects of forfeitures are recognized as they occur. All shares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option exercises or vesting of RSU awards are original issuance shares and any shares withheld for taxes are repurchased by the Company.</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measures a liability award under a stock-based compensation payment arrangement based on the award's fair value remeasured at each reporting date until the date of settlement. Compensation cost for each period until settlement is based on the change (or a portion of the change, depending on the percentage of the requisite service that has been rendered at the reporting date) in the fair value of the instrument for each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the Company's 2018 Plan, the Company determines the fair value of stock options using the Black-Scholes option pricing model, which requires the use of the following subjective assumptions:</w:t>
      </w:r>
    </w:p>
    <w:p>
      <w:pPr>
        <w:spacing w:after="0" w:line="1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Measure of the amount by which a stock price has fluctuated or is expected to fluctuate. Due to the relatively short amount of time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Common Stock (Nasdaq: PRTH) has traded on a public market, the Company uses volatility data for the Common Stock of a peer group of comparable public companies. An increase in the expected volatility will increase the fair value of the stock option and related compensation expense.</w:t>
      </w:r>
    </w:p>
    <w:p>
      <w:pPr>
        <w:spacing w:after="0" w:line="17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U.S. Treasury rate for a stripped-principal treasury note as of the grant date having a term equal to the expected term of the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An increase in the risk-free interest rate will increase the fair value of the stock option and related compensation expense.</w:t>
      </w:r>
    </w:p>
    <w:p>
      <w:pPr>
        <w:spacing w:after="0" w:line="15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Period of time over which the stock options granted are expected to remain outstanding. In 2018, when the Company's outstanding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were granted, the Company lacked sufficient exercise information for its stock option plan since it was a newly public company. Accordingly, the Company used a method permitted by the SEC whereby the expected term was estimated to be the mid-point between the vesting dates and the expiration dates of the stock option grants. An increase in the expected term will increase the fair value of the stock option and the related compensation expense.</w:t>
      </w:r>
    </w:p>
    <w:p>
      <w:pPr>
        <w:spacing w:after="0" w:line="180"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The Company uses an amount of zero as the Company has paid no cash or stock dividends and does not anticipate doing so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An increase in the dividend yield will decrease the fair value of the stock option and the related compensation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participant terminates employment with the Company, vested options may be exercised for a short period of time while unvested options are forfeited.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in any event, a stock option will expire ten years from the date of grant.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Time-based restricted stock awards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time-based restricted stock awards is determined based on the quoted closing price of the Company's Common Stock on the business day prior to the grant date and is recognized as compensation expense over the vesting term of the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Performance-based restricted stock awards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accounts for its performance-based restricted stock awards based on the quoted closing price of the Company's Common Stock on the business day prior to the grant date, adjusted for any market-based vesting criteria, and records stock-based compensation expense over the vesting term of the awards based on the probability that the performance criteria will be achieved. The performance goals may be work-related goals for the individual recipient and/or based on certain corporate performance goals. The Company reassesses the probability of vesting at each reporting period and prospectively adjusts stock-based compensation expense based on its probability assessment. Additionally, if performance goals are set or reset on an annual basis, compensation cost is recognized in any reporting period only for performance-based restricted stock awards in which the performance goals have been established and communicated to the award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Program</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2021 Employee Stock Purchase plan authorizes the issuance of shares of the Company’s Common Stock pursuant to purchase rights granted to employees. The fair value of purchase rights issued under the Employee Stock purchase Plan is estimated using the Black-Scholes option pricing model. The model requires management to make a number of assumptions, including the fair value of the Company’s Common Stock, expected volatility, expected term, risk-free interest rate, and expected dividends. The Company records the resulting compensation expense in the Consolidated Statements of Operations over each three-month offering period. See </w:t>
      </w:r>
      <w:r>
        <w:rPr>
          <w:rFonts w:ascii="Times New Roman" w:cs="Times New Roman" w:eastAsia="Times New Roman" w:hAnsi="Times New Roman"/>
          <w:sz w:val="18"/>
          <w:szCs w:val="18"/>
          <w:u w:val="single" w:color="auto"/>
          <w:color w:val="0000FF"/>
        </w:rPr>
        <w:t>Note 15. Stock-based Compensation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Repurchased Stock</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ASC 505-30, </w:t>
      </w: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xml:space="preserve">, the Company has elected to apply the cost method when accounting for treasury stock resulting from the repurchase of its Common Stock. Under the cost method, the gross cost of the shares reacquired is charged to a contra equity account, treasury stock. The equity accounts that were originally credited for the original share issuance, Common Stock and additional paid-in capital, remain intact. See </w:t>
      </w:r>
      <w:r>
        <w:rPr>
          <w:rFonts w:ascii="Times New Roman" w:cs="Times New Roman" w:eastAsia="Times New Roman" w:hAnsi="Times New Roman"/>
          <w:sz w:val="18"/>
          <w:szCs w:val="18"/>
          <w:u w:val="single" w:color="auto"/>
          <w:color w:val="0000FF"/>
        </w:rPr>
        <w:t>Note 14. Stockholders' Deficit</w:t>
      </w:r>
      <w:r>
        <w:rPr>
          <w:rFonts w:ascii="Times New Roman" w:cs="Times New Roman" w:eastAsia="Times New Roman" w:hAnsi="Times New Roman"/>
          <w:sz w:val="18"/>
          <w:szCs w:val="18"/>
          <w:color w:val="212529"/>
        </w:rPr>
        <w:t>.</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 treasury shares are ever reissued in the future, proceeds in excess of repurchased cost will be credited to additional paid-in capital. Any deficiency will be charged to retained earnings (accumulated deficit), unless additional paid-in capital from previous treasury stock transactions exists, in which case the deficiency will be charged to that account, with any excess charged to retained earnings (accumulated deficit). If treasury stock is reissued in the future, a cost flow assumption (e.g., FIFO, LIFO or specific identification) will be adopted to compute excesses and deficiencies upon subsequent share reissuance.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Basic EPS is computed by dividing net income (loss) available to Common Stockholders by the weighted-average number of shares of Common Stock outstanding during the period, excluding the effects of any potentially dilutive securities. Diluted EPS gives effect to the potential dilution, if any, that could occur if securities or other contracts to issue Common Stock were exercised or converted into Common Stock, using the more dilutive of the two-class method or if-converted method. Diluted EPS excludes potential shares of Common Stock if their effect is anti-dilutive. If there is a net loss in any period, basic and diluted EPS are computed in the same manner. </w:t>
      </w:r>
      <w:r>
        <w:rPr>
          <w:rFonts w:ascii="Times New Roman" w:cs="Times New Roman" w:eastAsia="Times New Roman" w:hAnsi="Times New Roman"/>
          <w:sz w:val="18"/>
          <w:szCs w:val="18"/>
          <w:color w:val="212529"/>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14. Stockholders' Deficit</w:t>
      </w:r>
      <w:r>
        <w:rPr>
          <w:rFonts w:ascii="Times New Roman" w:cs="Times New Roman" w:eastAsia="Times New Roman" w:hAnsi="Times New Roman"/>
          <w:sz w:val="18"/>
          <w:szCs w:val="18"/>
          <w:color w:val="212529"/>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Financial Accounting Standards Board, or FASB, Staff has provided additional guidance to address the accounting for the effects of the provisions related to the taxation of Global Intangible Low-Tax Income noting that companies should make an accounting policy election to recognize deferred taxes for temporary basis differences expected to reverse in future years or to include the tax expense in the year it is incurred. The Company has made a policy election to recognize such taxes as current period expenses when incurred.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The Company recognized interest and penalties associated with uncertain tax positions as a component of income tax expense. See </w:t>
      </w:r>
      <w:r>
        <w:rPr>
          <w:rFonts w:ascii="Times New Roman" w:cs="Times New Roman" w:eastAsia="Times New Roman" w:hAnsi="Times New Roman"/>
          <w:sz w:val="18"/>
          <w:szCs w:val="18"/>
          <w:u w:val="single" w:color="auto"/>
          <w:color w:val="0000FF"/>
        </w:rPr>
        <w:t>Note 13.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 as of the reporting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Observable market-based inputs or unobservable inputs that are corroborated by market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2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fair values of the Company's merchant portfolios, assets and liabilities acquired in mergers and business combinations, and contingent consideration are primarily based on Level 3 inputs and are generally estimated based upon valuation techniques that include discounted cash flow analysis based on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analysis is corroborated by a market-based approach that utilizes comparable company public trading values and, where available, values observed in public market transactions.</w:t>
      </w:r>
    </w:p>
    <w:p>
      <w:pPr>
        <w:spacing w:after="0" w:line="1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carrying values of accounts and notes receivable, accounts payable and accrued expenses, long-term debt and cash, including settlement assets and the associated deposit liabilities, approximate their fair values due to either the short-term nature of such instruments or the fact that the interest rate of the debt is based upon current market rates. The Company does not currently have any fair value estimates that are required to be remeasured at the end of each reporting period on a recurring basis. See </w:t>
      </w:r>
      <w:r>
        <w:rPr>
          <w:rFonts w:ascii="Times New Roman" w:cs="Times New Roman" w:eastAsia="Times New Roman" w:hAnsi="Times New Roman"/>
          <w:sz w:val="18"/>
          <w:szCs w:val="18"/>
          <w:u w:val="single" w:color="auto"/>
          <w:color w:val="0000FF"/>
        </w:rPr>
        <w:t>Note 19.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reporting currency is the U.S. dollar. Assets and liabilities denominated in a foreign currency are translated into U.S. dollars at the current exchange rate on the last day of the reporting period. Revenues and expenses are translated using the average exchange rate in effect during the reporting period. Foreign exchange translation and transaction gains and losses were not material for the periods presented and are included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substantial portion of the Company's revenues and receivables are attributable to merchants. For the years ended December 31, 2022, 2021 and 2020, no individual merchant customer accounted for 10% or more of the Company's consolidated revenues. Most of the Company's merchant customers were referred to the Company by an ISO or other reseller partners. If the Company's agreement with an ISO allows the ISO to have merchant portability rights, the ISO can move the underlying merchant relationships to another merchant acquirer upon notice to the Company and completion of a "wind down" period. For the years ended December 31, 2022, 2021 and 2020, merchants referred by one ISO organization with merchant portability rights generated revenue within the Company's SMB Payments reportable segment that represented approximately 21%, 22% and 21%, respectively, of the Company's consolidated revenues.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settlement assets and customer /subscriber account balances of $532.0 million includes cash and cash equivalents of $516.1 million related to customer account balances which are maintained in FDIC insured accounts with certain FIs.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majority of the Company's cash and restricted cash (including subscriber account balances) is held in certain FIs, substantially all of which is in excess of FDIC limits.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believe it is exposed to any signi</w:t>
      </w:r>
      <w:r>
        <w:rPr>
          <w:rFonts w:ascii="Times New Roman" w:cs="Times New Roman" w:eastAsia="Times New Roman" w:hAnsi="Times New Roman"/>
          <w:sz w:val="18"/>
          <w:szCs w:val="18"/>
          <w:color w:val="BF2115"/>
        </w:rPr>
        <w:t>f</w:t>
      </w:r>
      <w:r>
        <w:rPr>
          <w:rFonts w:ascii="Times New Roman" w:cs="Times New Roman" w:eastAsia="Times New Roman" w:hAnsi="Times New Roman"/>
          <w:sz w:val="18"/>
          <w:szCs w:val="18"/>
          <w:color w:val="auto"/>
        </w:rPr>
        <w:t>icant credit risk from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entities to recognize and measure contract assets and liabilities acquired in a business combination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ASC 606, as if the acquirer had originated the contracts. Generally this will result in the acquirer recognizing and measuring the acquired contract assets and liabilities consistent with the manner by which they were recognized and measured by the acquiree. This update is effective for public companies for fiscal years beginning after December 15, 2022, including interim periods within those fiscal years, and early adoption is permitted, including in an interim period. If this update is adopted early in an interim period, it must be applied retrospectively to all business combinations that occurred since the beginning of the fiscal year. The Company elected to early adopt ASU 2021-08 in the second quarter of 2022. The adoption of this ASU did not have a material impact on the 2022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Pending Adoption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standards are pending adoption and will likely apply to the Company in future periods based on the Company's current business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("ASU 2016-13"). This new guidance changes how entities account for credit impairment for trade and other receivables, as well as for certain financial assets and other instruments. ASU 2016-13 replaces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requires entities to record a cumulative-effect adjustment to the balance sheet as of the beginning of the first reporting period in which the guidance is effective. Since the Company is an SRC, the Company will adopt ASU 2016-13 effective January 1, 2023 and does not expect to have a material impact on its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xml:space="preserve">, which provides temporary optional expedients and exceptions to the GAAP guidance on contract modifications and hedge accounting to ease the financial reporting burdens of the expected market transition from the LIBOR and other interbank offered rates to alternative reference rates, such as the SOFR. If certain criteria are met, entities can elect not to apply certain modification accounting requirements to contracts affected by what the guidance calls reference rate reform. An entity that makes this election would not have to remeasure the contract at the modification date or reassess a previous accounting determination. In January 2021, the FASB issued </w:t>
      </w:r>
      <w:r>
        <w:rPr>
          <w:rFonts w:ascii="Times New Roman" w:cs="Times New Roman" w:eastAsia="Times New Roman" w:hAnsi="Times New Roman"/>
          <w:sz w:val="18"/>
          <w:szCs w:val="18"/>
          <w:i w:val="1"/>
          <w:iCs w:val="1"/>
          <w:color w:val="auto"/>
        </w:rPr>
        <w:t>ASU 2021-01, Reference Rate Reform (Topic 848), Scope</w:t>
      </w:r>
      <w:r>
        <w:rPr>
          <w:rFonts w:ascii="Times New Roman" w:cs="Times New Roman" w:eastAsia="Times New Roman" w:hAnsi="Times New Roman"/>
          <w:sz w:val="18"/>
          <w:szCs w:val="18"/>
          <w:color w:val="auto"/>
        </w:rPr>
        <w:t xml:space="preserve"> ASU 2021-01, which clarifies that certain optional expedients and exceptions in Topic 848 for contract modifications and hedge accounting apply to derivatives that are affected by the discounting transition. ASU 2022-06, </w:t>
      </w:r>
      <w:r>
        <w:rPr>
          <w:rFonts w:ascii="Times New Roman" w:cs="Times New Roman" w:eastAsia="Times New Roman" w:hAnsi="Times New Roman"/>
          <w:sz w:val="18"/>
          <w:szCs w:val="18"/>
          <w:i w:val="1"/>
          <w:iCs w:val="1"/>
          <w:color w:val="auto"/>
        </w:rPr>
        <w:t xml:space="preserve">Reference Rate Reform (Topic 848): Deferral of the Sunset Date of Topic 848, </w:t>
      </w:r>
      <w:r>
        <w:rPr>
          <w:rFonts w:ascii="Times New Roman" w:cs="Times New Roman" w:eastAsia="Times New Roman" w:hAnsi="Times New Roman"/>
          <w:sz w:val="18"/>
          <w:szCs w:val="18"/>
          <w:color w:val="auto"/>
        </w:rPr>
        <w:t>amended ASU 2020-04, deferring the sunset date of Topic 848 to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The Company will adopt Topic 848 when relevant contracts are modified upon transition to alternative reference rates. The Company does not expect the adoption of Topic 848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9940" w:firstLine="8"/>
        <w:spacing w:after="0" w:line="503" w:lineRule="auto"/>
        <w:tabs>
          <w:tab w:leader="none" w:pos="30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Ovvi Acquisition</w:t>
      </w:r>
    </w:p>
    <w:p>
      <w:pPr>
        <w:ind w:right="60"/>
        <w:spacing w:after="0" w:line="253" w:lineRule="auto"/>
        <w:rPr>
          <w:sz w:val="20"/>
          <w:szCs w:val="20"/>
          <w:color w:val="auto"/>
        </w:rPr>
      </w:pPr>
      <w:r>
        <w:rPr>
          <w:rFonts w:ascii="Times New Roman" w:cs="Times New Roman" w:eastAsia="Times New Roman" w:hAnsi="Times New Roman"/>
          <w:sz w:val="18"/>
          <w:szCs w:val="18"/>
          <w:color w:val="auto"/>
        </w:rPr>
        <w:t>On November 18, 2022, the Company completed its acquisition of certain assets and assumption of a certain liability of Ovvi, LLC, under an asset purchase agreement through its wholly-owned subsidiary, Priority Ovvi, LLC ("Ovvi"). The acquisition was accounted for as a business combination using the acquisition method of accounting. Prior to this acquisition, the business operated as a SaaS proprietary platform for the restaurant, hospitality and retail industries by providing complete all-in-one point of sale software and hardware systems, comprehensive ancillary services including fraud detection and mitigation, and processing services for various types of cards including credit cards, debit cards, private label cards and prepaid cards. This business is reported within the Company's SMB Payments reportable segment. The acquired business was valued for $6.3 million and the Company acquired a controlling interest for $5.0 million, the remaining $1.3 million was contributed by sellers for non-voting profit-sharing interest in Ovvi, creating NCI. Ovvi also issued non-voting incentive units to the seller. Transaction costs were not material and were expensed. The non-voting incentive shares issued to the seller will be evaluated at each reporting period to determine whether or not profit or loss should be allocated based on the subsidiary's operating agreement. The preliminary purchase price allocation is set forth in the table below and is expected to be finalized as soon as practicable, but no later than one year from the acquisition date.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r>
      <w:tr>
        <w:trPr>
          <w:trHeight w:val="230"/>
        </w:trPr>
        <w:tc>
          <w:tcPr>
            <w:tcW w:w="9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 withheld for inventory</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inclusive of amount withheld for inventory</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5,026</w:t>
            </w:r>
          </w:p>
        </w:tc>
      </w:tr>
      <w:tr>
        <w:trPr>
          <w:trHeight w:val="230"/>
        </w:trPr>
        <w:tc>
          <w:tcPr>
            <w:tcW w:w="9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Fair value of class B shares issued in Ovvi</w:t>
            </w:r>
            <w:r>
              <w:rPr>
                <w:rFonts w:ascii="Times New Roman" w:cs="Times New Roman" w:eastAsia="Times New Roman" w:hAnsi="Times New Roman"/>
                <w:sz w:val="23"/>
                <w:szCs w:val="23"/>
                <w:color w:val="auto"/>
                <w:vertAlign w:val="superscript"/>
              </w:rPr>
              <w:t>(3)</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23"/>
        </w:trPr>
        <w:tc>
          <w:tcPr>
            <w:tcW w:w="90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enterprise value of business acquired</w:t>
            </w:r>
            <w:r>
              <w:rPr>
                <w:rFonts w:ascii="Times New Roman" w:cs="Times New Roman" w:eastAsia="Times New Roman" w:hAnsi="Times New Roman"/>
                <w:sz w:val="23"/>
                <w:szCs w:val="23"/>
                <w:b w:val="1"/>
                <w:bCs w:val="1"/>
                <w:color w:val="auto"/>
                <w:vertAlign w:val="superscript"/>
              </w:rPr>
              <w:t>(3)</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6,281</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90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p>
      <w:pPr>
        <w:ind w:left="20"/>
        <w:spacing w:after="0" w:line="232" w:lineRule="auto"/>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non-current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Other non-current liability</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enterprise value of business acquired</w:t>
      </w:r>
      <w:r>
        <w:rPr>
          <w:rFonts w:ascii="Times New Roman" w:cs="Times New Roman" w:eastAsia="Times New Roman" w:hAnsi="Times New Roman"/>
          <w:sz w:val="23"/>
          <w:szCs w:val="23"/>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30"/>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4"/>
        </w:trPr>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6,281</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121" w:right="339" w:bottom="1440" w:gutter="0" w:footer="0" w:header="0"/>
          <w:type w:val="continuous"/>
        </w:sectPr>
      </w:pPr>
    </w:p>
    <w:p>
      <w:pPr>
        <w:spacing w:after="0" w:line="92" w:lineRule="exact"/>
        <w:rPr>
          <w:sz w:val="20"/>
          <w:szCs w:val="20"/>
          <w:color w:val="auto"/>
        </w:rPr>
      </w:pPr>
    </w:p>
    <w:p>
      <w:pPr>
        <w:ind w:left="660" w:right="500" w:hanging="328"/>
        <w:spacing w:after="0" w:line="229"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inventory acquired is subject to a reduction for any portion up to the total amount withheld pending final determination of the inventory acquired.</w:t>
      </w:r>
    </w:p>
    <w:p>
      <w:pPr>
        <w:ind w:left="640" w:hanging="308"/>
        <w:spacing w:after="0" w:line="196" w:lineRule="auto"/>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consist of $1.3 million for technology, $0.4 million for customer relationships and $0.3 million for trade name.</w:t>
      </w:r>
    </w:p>
    <w:p>
      <w:pPr>
        <w:spacing w:after="0" w:line="1" w:lineRule="exact"/>
        <w:rPr>
          <w:rFonts w:ascii="Times New Roman" w:cs="Times New Roman" w:eastAsia="Times New Roman" w:hAnsi="Times New Roman"/>
          <w:sz w:val="23"/>
          <w:szCs w:val="23"/>
          <w:color w:val="auto"/>
          <w:vertAlign w:val="superscript"/>
        </w:rPr>
      </w:pPr>
    </w:p>
    <w:p>
      <w:pPr>
        <w:ind w:left="660" w:right="140" w:hanging="328"/>
        <w:spacing w:after="0" w:line="219"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determination for the Class B shares is subject to adjustment due to final determination as soon as practicable but no later than one year from the closing date. This will affect the enterprise value of the business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Acquisition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completed another acquisition during 2022 for approximately $1.0 million, which was not material. The acquisition did not meet the definition of a business, therefore it was accounted for as an asset acquisition under which the cost of acquisition was allocated to the technology asset acquired.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Finxera Acquisition</w:t>
      </w:r>
    </w:p>
    <w:p>
      <w:pPr>
        <w:spacing w:after="0" w:line="22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On September 17, 2021, the Company completed its acquisition of 100% of the equity interests of Finxera. Finxera is a provider of deposit account management and licensed money transmission services in the U.S. The acquisition allows the Company to offer clients turn-key merchant services, payment facilitation, card issuing, automated payables, virtual banking, e-wallet tools, risk management, underwriting and compliance on a single platform.</w:t>
      </w:r>
    </w:p>
    <w:p>
      <w:pPr>
        <w:spacing w:after="0" w:line="15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transaction was funded with the Company's cash on hand, proceeds from the issuance of the redeemable senior preferred stock and debt, and the issuance of common equity shares to the sellers.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using the acquisition method of accounting, under which the assets acquired and liabilities assumed were recognized at their fair values as of the September 17, 2021, with the excess of the fair value of consideration transferred over the fair value of the net assets acquired recognized as goodwill. The fair values of the assets acquired and liabilities assumed as of the September 17, 2021 were estimated by management based on the valuation of the Finxera business using the discounted cash flow method and other factors specific to certain assets and liabilities. The final purchase price allocation is set forth in the table below.</w:t>
      </w: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Equity instruments</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Less: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purchase consideration, net of cash and restricted cash acquired</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r>
        <w:rPr>
          <w:rFonts w:ascii="Times New Roman" w:cs="Times New Roman" w:eastAsia="Times New Roman" w:hAnsi="Times New Roman"/>
          <w:sz w:val="23"/>
          <w:szCs w:val="23"/>
          <w:color w:val="auto"/>
          <w:vertAlign w:val="superscript"/>
        </w:rPr>
        <w:t>(2)</w:t>
      </w:r>
    </w:p>
    <w:p>
      <w:pPr>
        <w:ind w:left="20"/>
        <w:spacing w:after="0"/>
        <w:rPr>
          <w:sz w:val="20"/>
          <w:szCs w:val="20"/>
          <w:color w:val="auto"/>
        </w:rPr>
      </w:pPr>
      <w:r>
        <w:rPr>
          <w:rFonts w:ascii="Times New Roman" w:cs="Times New Roman" w:eastAsia="Times New Roman" w:hAnsi="Times New Roman"/>
          <w:sz w:val="18"/>
          <w:szCs w:val="18"/>
          <w:color w:val="auto"/>
        </w:rPr>
        <w:t>Current portion of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Settlement assets and customer/subscriber account balances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32" w:lineRule="auto"/>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(2)</w:t>
      </w:r>
    </w:p>
    <w:p>
      <w:pPr>
        <w:ind w:left="20"/>
        <w:spacing w:after="0" w:line="218" w:lineRule="auto"/>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and customer/subscriber account obligations</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taxes, net</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379,220</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34,388</w:t>
      </w:r>
    </w:p>
    <w:p>
      <w:pPr>
        <w:spacing w:after="0" w:line="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(6,598)</w:t>
      </w:r>
    </w:p>
    <w:p>
      <w:pPr>
        <w:spacing w:after="0" w:line="2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407,010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45720</wp:posOffset>
            </wp:positionV>
            <wp:extent cx="14230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385</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5,198</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784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498,811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712</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245,104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211,400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955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(7,837)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(498,811)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(44,311)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4230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407,010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19685</wp:posOffset>
            </wp:positionV>
            <wp:extent cx="14230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45720</wp:posOffset>
            </wp:positionV>
            <wp:extent cx="14230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p>
      <w:pPr>
        <w:spacing w:after="0" w:line="151" w:lineRule="exact"/>
        <w:rPr>
          <w:sz w:val="20"/>
          <w:szCs w:val="20"/>
          <w:color w:val="auto"/>
        </w:rPr>
      </w:pPr>
    </w:p>
    <w:p>
      <w:pPr>
        <w:ind w:left="660" w:right="6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 7,551,354 shares of PRTH Common Stock that were issued was determined based on their market price at the time of closing adjusted for an appropriate liquidity discount due to trading restrictions under Securities Rule 144.</w:t>
      </w:r>
    </w:p>
    <w:p>
      <w:pPr>
        <w:jc w:val="both"/>
        <w:ind w:left="660" w:right="4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2022, the Company recorded measurement period adjustments due to additional information received related to income taxes and deferred income taxes, net. These measurement period adjustments resulted in an increase of $0.1 million in prepaid expenses and an increase of $0.3 million in other current assets and deferred income taxes, offset by a decrease in goodwill of $0.4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60" w:hanging="328"/>
        <w:spacing w:after="0" w:line="22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acquired consist of $154.9 million for referral partner relationships, $34.3 million for technology, $20.1 million for customer relationships and $2.1 million for money transmission licenses.</w:t>
      </w:r>
    </w:p>
    <w:p>
      <w:pPr>
        <w:spacing w:after="0" w:line="19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Goodwill of $245.1 million arising from the acquisition primarily consists of the expected synergies and other benefits from combining operations. Goodwill attributable to the acquisition of $8.7 million was deductible for income tax purposes. The goodwill was allocated 100% to the Company's Enterprise Payments reportable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2020, Finxera acquired two businesses for which the purchase price included contingent consideration valued at $6.1 million. The contingent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payable is comprised of earnout opportunities equal to 25% to 50% of certain revenues earned from the customers assumed in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The associated earnout opportunities are to be measured and paid every six months and expire at various dates through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year ended December 31, 2022, an adjustment of $1.2 million was recorded due to changes in the fair value of the contingent consideration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in the Company's Consolidated Statements of Operations) resulting in total contingent consideration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million. The accretion of contingent consideration was $0.6 million for the year ended December 31, 2022, which is included in interest expense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Statement of Operations, increasing total liability to $7.9 million of which $1.8 million has been paid.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million was accrued and was included in accounts payable on the Company's Consolidated Balance Sheet.</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for the year ended December 31, 2021 included the operating results of Finxera from the Closing Date through December 31, 2021, which were reported as part of the Enterprise Payments reportable segment. Revenues and operating income from Finxera during this period were $19.4 million and $4.3 million, respectively.</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we incurred $9.3 million, in acquisition related costs, which primarily consisted of consulting, legal, accounting and valuation expenses. These expenses were recorded in selling, general and administrative expenses in the Company's Consolidated Statements of Operations.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results as if the acquisition occurred on January 1, 2020. The historical consolidated financial information of the Company and Finxera has been adjusted in the pro forma information to give effect to pro forma events that are directly attributable to the transaction and are factually supportable. The unaudited pro forma results do not reflect events that have occurred or may occur after the transaction, including the impact of any synergies expected to result from the acquisition. Accordingly, the unaudited pro forma financial information is not necessarily indicative of the results of operations as they would have been had the transaction occurred on January 1, 2020, nor is it necessarily an indication of future operating results.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8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463,823</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32,548</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Wholesale Payments, Inc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April 28, 2021, a subsidiary of the Company completed its acquisition of certain residual portfolio rights for a purchase price of $42.4 million and $24.8 million of post-closing payments and earn-out payments based on meeting certain attrition thresholds over a three-year period from the date of acquisition. The transaction did not meet the definition of a business, therefore it was accounted for as an asset acquisition under which the cost of the acquisition was allocated to the acquired assets based on relative fair values. As an asset acquisition, additional purchase price is accounted for when payment to the seller becomes probable and is added to the carrying value of the asset. The seller's note payable to the Company of $3.0 million and an advance of $2.0 million outstanding at the time of the purchase were netted against the initial purchase price, resulting in cash of $41.2 million being paid by the Company to the seller, which was funded from cash proceeds from the issuance of the redeemable senior preferred stock and cash on hand.</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December 31, 2022, the sellers earned $8.9 million of the $24.8 million, increasing the total purchase price recorded at December 31, 2022 to $51.9 million, which was recorded to residual buyout intangible assets with a seven-year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amortized on a straight-line basis. The $8.9 million includes a fair value adjustment of $0.5 million in the third quarter of 2022, which reduced the total amount earned from $9.4 million to $8.9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C&amp;H Financial Services, Inc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June 25, 2021, a subsidiary of the Company acquired certain assets and assumed certain related liabilities under an asset purchase agreement. The acquisition was accounted for as a business combination using the acquisition method of accounting. Prior to this acquisition, the business was an ISO partner of the Company where it developed expertise in software-integrated payment services, as well as marketing programs for specific verticals such as automotive and youth sports. This business is reported within the Company's SMB Payments reportable segment. The initial purchase price for the net assets was $35.0 million in cash and a total purchase price of not more than $60.0 million including post-closing payments and earn-out payments based on certain gross profit and revenue achievements over a three-year period from the date of acquisition. The acquisition date fair value of the contingent consideration was $4.7 million, which increased the total purchase price to $39.7 million. The seller's note payable to the Company of $0.5 million at the time of purchase was netted against the initial purchase price, resulting in cash of $34.5 million being paid by the Company to the seller, which was funded from a $30.0 million draw down of the revolving credit facility under the Credit Agreement and $4.5 million cash on hand. Transaction costs were not material and were expensed. The purchase price allocation is set forth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 and other current assets</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w:t>
            </w:r>
          </w:p>
        </w:tc>
      </w:tr>
      <w:tr>
        <w:trPr>
          <w:trHeight w:val="230"/>
        </w:trPr>
        <w:tc>
          <w:tcPr>
            <w:tcW w:w="9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80" w:hanging="328"/>
        <w:spacing w:after="0" w:line="229"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acquired consist of $20.2 million for merchant portfolio intangible assets with a ten-year useful life and $5.2 million for ISO partner relationships with a twelve-year useful life.</w:t>
      </w:r>
    </w:p>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2022, the fair value of the C&amp;H contingent consideration was $2.0 million, of which was included in other noncurrent liabilities on the Consolidated Balance Sheets as of December 31, 2022. The accretion of contingent consideration was $0.3 million for the year ended December 31, 2022, which is included in interest expense on the Company's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Disposal of Business</w:t>
      </w:r>
    </w:p>
    <w:p>
      <w:pPr>
        <w:spacing w:after="0" w:line="22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On September 1, 2020, PRET entered into an agreement to sell certain assets from PRET's real estate services business. The buyer also agreed to assume certain obligations associated with the assets. The assets covered by the agreement were PRET's RentPayment component. The transaction was completed on September 22, 2020 after receiving regulatory approval. Prior to execution of the agreement, the buyer was not a related party of PRET 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by PRET were $179.4 million, net of $0.6 million for a working capital adjustment. The gain amounted to $107.2 million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cash consideration from buyer</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working capital adjustment paid in cash</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proceeds from buyer</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179,416</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 incurred</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sold:</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(62,158)</w:t>
            </w:r>
          </w:p>
        </w:tc>
      </w:tr>
      <w:tr>
        <w:trPr>
          <w:trHeight w:val="229"/>
        </w:trPr>
        <w:tc>
          <w:tcPr>
            <w:tcW w:w="9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sold, net of obligations assumed</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assigned to business sale</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23"/>
        </w:trPr>
        <w:tc>
          <w:tcPr>
            <w:tcW w:w="94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Pre-tax gain on sale of business</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107,239</w:t>
            </w:r>
          </w:p>
        </w:tc>
      </w:tr>
      <w:tr>
        <w:trPr>
          <w:trHeight w:val="21"/>
        </w:trPr>
        <w:tc>
          <w:tcPr>
            <w:tcW w:w="9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PRET is a limited liability company and is a pass-through entity for income tax purposes. Income tax expenses associated with the gain attributable to the stockholders of the Company were estimated to be approximately $12.3 million.</w:t>
      </w:r>
    </w:p>
    <w:p>
      <w:pPr>
        <w:spacing w:after="0" w:line="162"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Allocation of net proceeds, after transaction costs, to the PRET members included return of each member's invested capital in PRET and excess proceeds were distributed in accordance with the distribution provisions of the PRET LLC governing agreement. The Company's invested capital amounted to $71.8 million, which included the assets sold, goodwill and other intangible assets. The NCI's invested capital was $5.7 million. Approximately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$51.4 million and $45.1 million of the excess proceeds were distributed to the Company and the NCI, respectively. The initial allocation of net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remained subject to final adjustment by the PRET members at December 31, 2020. During the first quarter of 2021, it was determined that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of the excess proceeds was due to the NCI, which was included in other expenses, net on the Company's Consolidated Statement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Continuing Operations</w:t>
      </w:r>
    </w:p>
    <w:p>
      <w:pPr>
        <w:spacing w:after="0" w:line="227"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Based on historical financial results, the Company does not believe the sale of the RentPayment component represents a strategic shift. The sale of the business was not reported as discontinued operations in its Consolidated Financial Statements for any reporting period. The Company will continue to serve the rental property market through its ongoing PRET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disaggregation of our consolidated revenues by type: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553,037</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468,764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377,346</w:t>
            </w:r>
          </w:p>
        </w:tc>
      </w:tr>
      <w:tr>
        <w:trPr>
          <w:trHeight w:val="22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transmission services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23,103</w:t>
            </w:r>
          </w:p>
        </w:tc>
      </w:tr>
      <w:tr>
        <w:trPr>
          <w:trHeight w:val="23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r>
      <w:tr>
        <w:trPr>
          <w:trHeight w:val="223"/>
        </w:trPr>
        <w:tc>
          <w:tcPr>
            <w:tcW w:w="44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revenues</w:t>
            </w:r>
            <w:r>
              <w:rPr>
                <w:rFonts w:ascii="Times New Roman" w:cs="Times New Roman" w:eastAsia="Times New Roman" w:hAnsi="Times New Roman"/>
                <w:sz w:val="23"/>
                <w:szCs w:val="23"/>
                <w:color w:val="auto"/>
                <w:vertAlign w:val="superscript"/>
              </w:rPr>
              <w:t>(1)(2)</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663,641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514,901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404,342</w:t>
            </w:r>
          </w:p>
        </w:tc>
      </w:tr>
      <w:tr>
        <w:trPr>
          <w:trHeight w:val="20"/>
        </w:trPr>
        <w:tc>
          <w:tcPr>
            <w:tcW w:w="4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300" w:hanging="328"/>
        <w:spacing w:after="0" w:line="22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ind w:left="660" w:right="360" w:hanging="328"/>
        <w:spacing w:after="0" w:line="21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Approximately $7.5 million and $0.7 million, of interest income for the years ended December 31, 2022 and 2021, respectively, is included in outsourced services and other services revenue in the table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w:t>
      </w:r>
      <w:r>
        <w:rPr>
          <w:rFonts w:ascii="Times New Roman" w:cs="Times New Roman" w:eastAsia="Times New Roman" w:hAnsi="Times New Roman"/>
          <w:sz w:val="18"/>
          <w:szCs w:val="18"/>
          <w:color w:val="212529"/>
        </w:rPr>
        <w:t>table presents a disaggregation of our consolidated revenues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10"/>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4"/>
                <w:szCs w:val="14"/>
                <w:color w:val="auto"/>
              </w:rPr>
            </w:pPr>
          </w:p>
        </w:tc>
        <w:tc>
          <w:tcPr>
            <w:tcW w:w="1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Merchant Card Fees</w:t>
            </w:r>
          </w:p>
        </w:tc>
        <w:tc>
          <w:tcPr>
            <w:tcW w:w="40" w:type="dxa"/>
            <w:vAlign w:val="bottom"/>
          </w:tcPr>
          <w:p>
            <w:pPr>
              <w:spacing w:after="0"/>
              <w:rPr>
                <w:sz w:val="14"/>
                <w:szCs w:val="14"/>
                <w:color w:val="auto"/>
              </w:rPr>
            </w:pPr>
          </w:p>
        </w:tc>
        <w:tc>
          <w:tcPr>
            <w:tcW w:w="1820" w:type="dxa"/>
            <w:vAlign w:val="bottom"/>
            <w:gridSpan w:val="4"/>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Money Transmission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Outsourced and</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400" w:type="dxa"/>
            <w:vAlign w:val="bottom"/>
          </w:tcPr>
          <w:p>
            <w:pPr>
              <w:spacing w:after="0"/>
              <w:rPr>
                <w:sz w:val="14"/>
                <w:szCs w:val="14"/>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0" w:type="dxa"/>
            <w:vAlign w:val="bottom"/>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Other Services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SMB</w:t>
            </w:r>
          </w:p>
        </w:tc>
        <w:tc>
          <w:tcPr>
            <w:tcW w:w="6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562,237</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B2B</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82,514</w:t>
            </w:r>
          </w:p>
        </w:tc>
        <w:tc>
          <w:tcPr>
            <w:tcW w:w="0" w:type="dxa"/>
            <w:vAlign w:val="bottom"/>
          </w:tcPr>
          <w:p>
            <w:pPr>
              <w:spacing w:after="0"/>
              <w:rPr>
                <w:sz w:val="1"/>
                <w:szCs w:val="1"/>
                <w:color w:val="auto"/>
              </w:rPr>
            </w:pPr>
          </w:p>
        </w:tc>
      </w:tr>
      <w:tr>
        <w:trPr>
          <w:trHeight w:val="248"/>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20" w:type="dxa"/>
            <w:vAlign w:val="bottom"/>
            <w:tcBorders>
              <w:top w:val="single" w:sz="8" w:color="auto"/>
              <w:bottom w:val="single" w:sz="8" w:color="auto"/>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553,037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71,536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663,641</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2021</w:t>
            </w: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4"/>
                <w:szCs w:val="14"/>
                <w:color w:val="auto"/>
              </w:rPr>
            </w:pPr>
          </w:p>
        </w:tc>
        <w:tc>
          <w:tcPr>
            <w:tcW w:w="180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Merchant Card Fees</w:t>
            </w:r>
          </w:p>
        </w:tc>
        <w:tc>
          <w:tcPr>
            <w:tcW w:w="40" w:type="dxa"/>
            <w:vAlign w:val="bottom"/>
          </w:tcPr>
          <w:p>
            <w:pPr>
              <w:spacing w:after="0"/>
              <w:rPr>
                <w:sz w:val="14"/>
                <w:szCs w:val="14"/>
                <w:color w:val="auto"/>
              </w:rPr>
            </w:pPr>
          </w:p>
        </w:tc>
        <w:tc>
          <w:tcPr>
            <w:tcW w:w="1820" w:type="dxa"/>
            <w:vAlign w:val="bottom"/>
            <w:gridSpan w:val="4"/>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Money Transmission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Outsourced and</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400" w:type="dxa"/>
            <w:vAlign w:val="bottom"/>
          </w:tcPr>
          <w:p>
            <w:pPr>
              <w:spacing w:after="0"/>
              <w:rPr>
                <w:sz w:val="14"/>
                <w:szCs w:val="14"/>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0" w:type="dxa"/>
            <w:vAlign w:val="bottom"/>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Other Services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SMB</w:t>
            </w:r>
          </w:p>
        </w:tc>
        <w:tc>
          <w:tcPr>
            <w:tcW w:w="6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475,630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B2B</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0" w:type="dxa"/>
            <w:vAlign w:val="bottom"/>
          </w:tcPr>
          <w:p>
            <w:pPr>
              <w:spacing w:after="0"/>
              <w:rPr>
                <w:sz w:val="1"/>
                <w:szCs w:val="1"/>
                <w:color w:val="auto"/>
              </w:rPr>
            </w:pPr>
          </w:p>
        </w:tc>
      </w:tr>
      <w:tr>
        <w:trPr>
          <w:trHeight w:val="230"/>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0" w:type="dxa"/>
            <w:vAlign w:val="bottom"/>
          </w:tcPr>
          <w:p>
            <w:pPr>
              <w:spacing w:after="0"/>
              <w:rPr>
                <w:sz w:val="1"/>
                <w:szCs w:val="1"/>
                <w:color w:val="auto"/>
              </w:rPr>
            </w:pPr>
          </w:p>
        </w:tc>
      </w:tr>
      <w:tr>
        <w:trPr>
          <w:trHeight w:val="248"/>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468,764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19,415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514,901</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2020</w:t>
            </w: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5"/>
                <w:szCs w:val="15"/>
                <w:color w:val="auto"/>
              </w:rPr>
            </w:pPr>
          </w:p>
        </w:tc>
        <w:tc>
          <w:tcPr>
            <w:tcW w:w="1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Merchant Card Fees</w:t>
            </w:r>
          </w:p>
        </w:tc>
        <w:tc>
          <w:tcPr>
            <w:tcW w:w="40" w:type="dxa"/>
            <w:vAlign w:val="bottom"/>
          </w:tcPr>
          <w:p>
            <w:pPr>
              <w:spacing w:after="0"/>
              <w:rPr>
                <w:sz w:val="15"/>
                <w:szCs w:val="15"/>
                <w:color w:val="auto"/>
              </w:rPr>
            </w:pPr>
          </w:p>
        </w:tc>
        <w:tc>
          <w:tcPr>
            <w:tcW w:w="1820" w:type="dxa"/>
            <w:vAlign w:val="bottom"/>
            <w:gridSpan w:val="4"/>
          </w:tcPr>
          <w:p>
            <w:pPr>
              <w:jc w:val="center"/>
              <w:ind w:right="1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Money Transmission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3"/>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rPr>
              <w:t>Outsourced and</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400" w:type="dxa"/>
            <w:vAlign w:val="bottom"/>
          </w:tcPr>
          <w:p>
            <w:pPr>
              <w:spacing w:after="0"/>
              <w:rPr>
                <w:sz w:val="15"/>
                <w:szCs w:val="15"/>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1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Other Services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SMB</w:t>
            </w:r>
          </w:p>
        </w:tc>
        <w:tc>
          <w:tcPr>
            <w:tcW w:w="6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370,521</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B2B</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0" w:type="dxa"/>
            <w:vAlign w:val="bottom"/>
          </w:tcPr>
          <w:p>
            <w:pPr>
              <w:spacing w:after="0"/>
              <w:rPr>
                <w:sz w:val="1"/>
                <w:szCs w:val="1"/>
                <w:color w:val="auto"/>
              </w:rPr>
            </w:pPr>
          </w:p>
        </w:tc>
      </w:tr>
      <w:tr>
        <w:trPr>
          <w:trHeight w:val="230"/>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0" w:type="dxa"/>
            <w:vAlign w:val="bottom"/>
          </w:tcPr>
          <w:p>
            <w:pPr>
              <w:spacing w:after="0"/>
              <w:rPr>
                <w:sz w:val="1"/>
                <w:szCs w:val="1"/>
                <w:color w:val="auto"/>
              </w:rPr>
            </w:pPr>
          </w:p>
        </w:tc>
      </w:tr>
      <w:tr>
        <w:trPr>
          <w:trHeight w:val="248"/>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20" w:type="dxa"/>
            <w:vAlign w:val="bottom"/>
            <w:tcBorders>
              <w:top w:val="single" w:sz="8" w:color="auto"/>
              <w:bottom w:val="single" w:sz="8" w:color="auto"/>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377,346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23,103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404,342</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revenues were not material for the years ended December 31, 2022, 2021 and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Material contract assets and liabilities are presented net at the individual contract level in the Consolidated Balance Sheets and are classified as current or noncurrent based on the nature of the underlying contractual rights and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contracts from customers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Consolidated Balance Sheet Location</w:t>
            </w:r>
          </w:p>
        </w:tc>
        <w:tc>
          <w:tcPr>
            <w:tcW w:w="180" w:type="dxa"/>
            <w:vAlign w:val="bottom"/>
          </w:tcPr>
          <w:p>
            <w:pPr>
              <w:spacing w:after="0"/>
              <w:rPr>
                <w:sz w:val="20"/>
                <w:szCs w:val="20"/>
                <w:color w:val="auto"/>
              </w:rPr>
            </w:pP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4"/>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 net (current)</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bl>
    <w:p>
      <w:pPr>
        <w:spacing w:after="0" w:line="27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Substantially all of these balances are recognized as revenue within 12 months. Net contract liabilities were not material at December 31, 2022. Net contract assets were not material for any period presented.</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Impairment losses recognized on receivables or contract assets arising from the Company's contracts with customers were not material for the years ended December 31, 2022, 2021 or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Settlement Assets and Customer/Subscriber Account Balances and Related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SMB Payments Segment</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related to these funds are not liabilities of the Company. Therefore, neither is recognized in the Company's Consolidated Balance Sheets. Member banks held merchant funds of $110.3 million and $102.1 million at December 31, 2022 and 2021, respectively.</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Exception items include items such as customer chargeback amounts received from merchants and other losses. Under agreements between the Company and its merchant customers, the merchants assume liability for such chargebacks and losses. If the Company is ultimately unable to collect amounts from the merchants for any charges or losses due to merchant fraud, insolvency, bankruptcy or any other reason, it may be liable for these charges. In order to mitigate the risk of such liability, the Company may: 1) require certain merchants to establish and maintain reserves designed to protect the Company from such charges or losses under its risk-based underwriting policy; and 2) engage with certain ISOs in partner programs in which the ISOs assume liability for these charges or losses. A merchant reserve account is funded by the merchant and held by the member bank during the term of the merchant agreement. Unused merchant reserves are returned to the merchant after termination of the merchant agreement or in certain instances upon a reassessment of risks during the term of the merchant agreement.</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Exception items that become the liability of the Company are recorded as merchant losses, a component of costs of services in the Consolidated Statements of Operations. Exception items that the Company is still attempting to collect from the merchants through the funds settlement process or merchant reserves are recognized as settlement assets and customer/subscriber account balances in the Company's Consolidated Balance Sheets, with an offsetting reserve for those amounts the Company estimates it will not be able to recover. Expenses for merchant losses for the years ended December 31, 2022, 2021 and 2020 were $4.4 million, $2.8 million and $4.1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B2B Payments Segment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Company's B2B Payments segment, the Company earns revenues from certain of its services by processing transactions for FIs and other business customers. Customers transfer funds to the Company, which are held in either Company-owned bank accounts controlled by the Company or bank-owned FBO accounts controlled by the banks, until such time as the transactions are settled with the customer payees. Amounts due to customer payees that are held by the Company in Company-owned bank accounts are included in restricted cash. Amounts due to customer payees that are held in bank-owned FBO accounts are not assets of the Company. As such, the associated obligations related to these funds are not liabilities of the Company; therefore, neither is recognized in the Company's Consolidated Balance Sheets. Bank-owned FBO accounts held funds of $42.7 million and $45.5 million at December 31, 2022 and 2021, respectively. Company-owned bank accounts held $4.1 million and $21.4 million at December 31, 2022 and 2021, respectively, which are included in restricted cash and settlement obligations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Payments Segment</w:t>
      </w:r>
    </w:p>
    <w:p>
      <w:pPr>
        <w:spacing w:after="0" w:line="214"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In the Company's Enterprise Payments segment, revenue is derived primarily from enrollment fees, monthly subscription fees, transaction-based fees and money transmission services fees. As part of its licensed money transmission services, the Company accepts deposits from customers and subscribers which are held in bank accounts maintained by the Company on behalf of customers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customer/subscriber account balances and the related obligations as settlement and customer/subscriber account obligations in the Company's Consolidated Balance Sheets.</w:t>
      </w:r>
    </w:p>
    <w:p>
      <w:pPr>
        <w:spacing w:after="0" w:line="21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In certain states, the Company accepts deposits under agency arrangement with member banks wherein accepted deposits remain under the control of the member banks. Therefore, the Company does not record assets for the deposits accepted and liabilities for the associated obligation. Agency owned accounts held $6.1 million and $3.2 million and at December 31, 2022 and 2021, respectively.</w:t>
      </w:r>
    </w:p>
    <w:p>
      <w:pPr>
        <w:spacing w:after="0" w:line="2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consolidated settlement assets and customer/subscriber account balances and settlement and customer/subscriber account obligations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Assets:</w:t>
            </w: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Card settlements due from merchants, net of estimated losses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Customer/Subscriber Account Balances: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468,934</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assets and customer/subscriber account balances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532,018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479,471</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and Customer/Subscriber Account Obligations: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 obligations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470,476</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Subscriber account obligations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w:t>
            </w:r>
          </w:p>
        </w:tc>
      </w:tr>
      <w:tr>
        <w:trPr>
          <w:trHeight w:val="229"/>
        </w:trPr>
        <w:tc>
          <w:tcPr>
            <w:tcW w:w="7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Due to customer payees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21,356</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and customer/subscriber account obligations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533,340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500,291</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1"/>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related assets are included in restricted cash on our Consolidated Balance Sheets.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52"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Receivable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notes receivable of $4.7 million and $0.4 million as of December 31, 2022 and 2021, respectively, which are reported as current portion of notes receivable and notes receivable less current portion on the Company's Consolidated Balance Sheets. The notes bear a weighted-average interest rate of 15.4% and 13.8% as of December 31, 2022 and 2021, respectively. The notes receivable are comprised of notes receivable from ISOs, and under the terms of the agreements the Company preserves the right to hold back residual payments due to the ISOs and to apply such residuals against future payments due to the Company. Notes receivable from three other entities were fully repaid during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principal payments for the Company's notes receivables are due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gridSpan w:val="4"/>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As of December 31, 2022 and 2021, the Company had no allowance for doubtful notes receivable.</w:t>
            </w: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24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Equipment and Software</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property, equipment and software, net was as follows: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64,197</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50,799</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8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87,398</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72,340</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(49,023)</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work in-progress</w:t>
            </w:r>
          </w:p>
        </w:tc>
        <w:tc>
          <w:tcPr>
            <w:tcW w:w="8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equipment and software, net</w:t>
            </w:r>
          </w:p>
        </w:tc>
        <w:tc>
          <w:tcPr>
            <w:tcW w:w="8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34,687</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25,233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0"/>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8,460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Computer software represents purchased software and internally developed back office and merchant interfacing systems used to assist the reporting of merchant processing transactions and other related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20" w:firstLine="8"/>
        <w:spacing w:after="0" w:line="503" w:lineRule="auto"/>
        <w:tabs>
          <w:tab w:leader="none" w:pos="31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ind w:right="180"/>
        <w:spacing w:after="0" w:line="312" w:lineRule="auto"/>
        <w:rPr>
          <w:sz w:val="20"/>
          <w:szCs w:val="20"/>
          <w:color w:val="auto"/>
        </w:rPr>
      </w:pPr>
      <w:r>
        <w:rPr>
          <w:rFonts w:ascii="Times New Roman" w:cs="Times New Roman" w:eastAsia="Times New Roman" w:hAnsi="Times New Roman"/>
          <w:sz w:val="17"/>
          <w:szCs w:val="17"/>
          <w:color w:val="auto"/>
        </w:rPr>
        <w:t>The Company records goodwill upon acquisition of a business when the purchase price is greater than the fair value assigned to the underlying separately identifiable tangible and intangible assets acquired and the liabilities assumed. The Company's goodwill relates to the following reporting units: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0"/>
                <w:szCs w:val="20"/>
                <w:color w:val="auto"/>
              </w:rPr>
            </w:pPr>
          </w:p>
        </w:tc>
        <w:tc>
          <w:tcPr>
            <w:tcW w:w="17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Payments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120,636</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Enterprise Payments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245,104</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365,740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9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following table summarizes the changes in the carrying value of goodwill for the years ended December 31, 2022 and 2021: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2"/>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106,832</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C&amp;H Financial Services, Inc. acquisition</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Finxera acquisition</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245,104</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365,740</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Final purchase price adjustment for Finxera</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9"/>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Ovvi acquisition</w:t>
            </w:r>
          </w:p>
        </w:tc>
        <w:tc>
          <w:tcPr>
            <w:tcW w:w="2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369,337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Finxera, $8.7 million of goodwill recorded was deductible for income tax purposes. For all other business combinations consummated during the years ended December 31, 2022 and 2021, goodwill was fully deductible for income tax purposes.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There were no impairment losses for the years ended December 31, 2022, 2021 or 2020. The Company performed its most recent annual goodwill impairment test as of October 1, 2022, using the optional qualitative method. Under the qualitative method, we examined the factors most likely to affect our valuations. As a result, we have concluded that it remains more likely than not that the fair value of each of our reporting units exceeds their carrying amounts. As of December 31, 2022, the Company is not aware of any triggering events that have occurred since October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 December 31, 2022 and 2021, other intangible assets consisted of the following:</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4"/>
                <w:szCs w:val="14"/>
                <w:color w:val="auto"/>
              </w:rPr>
            </w:pPr>
          </w:p>
        </w:tc>
        <w:tc>
          <w:tcPr>
            <w:tcW w:w="16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151,279</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14.8</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56,009</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6.6</w:t>
            </w: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8.2</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6.7</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32,397</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8.4</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Non-compete agreements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11.6</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gross carrying value</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539,684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(250,890)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288,794</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9.7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4"/>
                <w:szCs w:val="14"/>
                <w:color w:val="auto"/>
              </w:rPr>
            </w:pPr>
          </w:p>
        </w:tc>
        <w:tc>
          <w:tcPr>
            <w:tcW w:w="16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ISO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163,621</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14.8</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Residual buyouts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70,039</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6.4</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8.1</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6.7</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11.6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Non-compete agreements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3"/>
                <w:szCs w:val="23"/>
                <w:color w:val="auto"/>
                <w:vertAlign w:val="superscript"/>
              </w:rPr>
              <w:t>(2)</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33,651</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9.9</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(3)</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gross carrying value</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530,157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(189,946)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340,211</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9.7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Additions to residual buyouts were offset by certain assets that became fully amortized in 2021 but are still in service.</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assets in the group became fully amortized in 2021 but are still in service.</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260" w:type="dxa"/>
            <w:vAlign w:val="bottom"/>
            <w:tcBorders>
              <w:bottom w:val="single" w:sz="8" w:color="auto"/>
            </w:tcBorders>
          </w:tcPr>
          <w:p>
            <w:pPr>
              <w:spacing w:after="0"/>
              <w:rPr>
                <w:sz w:val="18"/>
                <w:szCs w:val="18"/>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33,065</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amortization expense of intangible assets as of December 31, 2022 for the next five years and thereafter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2"/>
                <w:szCs w:val="22"/>
                <w:color w:val="auto"/>
              </w:rPr>
            </w:pPr>
          </w:p>
        </w:tc>
        <w:tc>
          <w:tcPr>
            <w:tcW w:w="2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Estimated Amortization</w:t>
            </w:r>
          </w:p>
        </w:tc>
      </w:tr>
      <w:tr>
        <w:trPr>
          <w:trHeight w:val="24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1"/>
                <w:szCs w:val="21"/>
                <w:color w:val="auto"/>
              </w:rPr>
            </w:pPr>
          </w:p>
        </w:tc>
        <w:tc>
          <w:tcPr>
            <w:tcW w:w="2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23"/>
        </w:trPr>
        <w:tc>
          <w:tcPr>
            <w:tcW w:w="8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53,648</w:t>
            </w:r>
          </w:p>
        </w:tc>
      </w:tr>
      <w:tr>
        <w:trPr>
          <w:trHeight w:val="23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35,872</w:t>
            </w: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w:t>
            </w: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28,939</w:t>
            </w: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26,675</w:t>
            </w:r>
          </w:p>
        </w:tc>
      </w:tr>
      <w:tr>
        <w:trPr>
          <w:trHeight w:val="229"/>
        </w:trPr>
        <w:tc>
          <w:tcPr>
            <w:tcW w:w="8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111,806</w:t>
            </w:r>
          </w:p>
        </w:tc>
      </w:tr>
      <w:tr>
        <w:trPr>
          <w:trHeight w:val="248"/>
        </w:trPr>
        <w:tc>
          <w:tcPr>
            <w:tcW w:w="886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3"/>
                <w:szCs w:val="23"/>
                <w:b w:val="1"/>
                <w:bCs w:val="1"/>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286,694</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will not agree to the intangible asset net book value due to intangible asset with indefinite useful life.</w:t>
      </w:r>
    </w:p>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Actual amortization expense to be reported in future periods could differ from these estimates as a result of new intangible asset acquisitions, changes in useful lives and other relevant events or circumstances.</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tests intangible assets for impairment when events occur or circumstances indicate that the fair value of an intangible asset or group of intangible assets may be impaired. In the Company's SMB Payments segment, a residual buyout intangible asset with a net carrying value of $2.2 million was deemed to be impaired at December 31, 2020. The fair value of this intangible asset was estimated to be approximately $0.5 million, resulting in the recognition of an impairment charge of $1.8 million, which is included in selling, general and administrative expenses on the Company's Consolidated Statement of Operations for the year ended December 31, 2020. This impairment was the result of diminished cash flows generated by the merchant portfolio.</w:t>
      </w:r>
    </w:p>
    <w:p>
      <w:pPr>
        <w:spacing w:after="0" w:line="1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also considered the market conditions and other factors and concluded that there were no additional impairment indicators present at December 31, 2022.</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leases consist primarily of real estate leases for office space, which are classified as operating leases. Lease expense for the Company's operating leases is recognized on a straight-line basis over the term of the lease. The Company did not have any finance leases at December 31, 2022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ROU Assets and lease liabilities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Classification</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ROU Assets:</w:t>
            </w:r>
          </w:p>
        </w:tc>
        <w:tc>
          <w:tcPr>
            <w:tcW w:w="3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4,593</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6,262</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4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3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obligations - current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1,723</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 - noncurrent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4,110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5,596</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obligations</w:t>
            </w:r>
          </w:p>
        </w:tc>
        <w:tc>
          <w:tcPr>
            <w:tcW w:w="3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5,446</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7,319</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2022 and 2021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20" w:type="dxa"/>
            <w:vAlign w:val="bottom"/>
            <w:tcBorders>
              <w:bottom w:val="single" w:sz="8" w:color="auto"/>
            </w:tcBorders>
          </w:tcPr>
          <w:p>
            <w:pPr>
              <w:spacing w:after="0"/>
              <w:rPr>
                <w:sz w:val="20"/>
                <w:szCs w:val="20"/>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Classification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19"/>
                <w:szCs w:val="19"/>
                <w:color w:val="auto"/>
              </w:rPr>
            </w:pPr>
          </w:p>
        </w:tc>
      </w:tr>
      <w:tr>
        <w:trPr>
          <w:trHeight w:val="223"/>
        </w:trPr>
        <w:tc>
          <w:tcPr>
            <w:tcW w:w="43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r>
    </w:tbl>
    <w:p>
      <w:pPr>
        <w:spacing w:after="0" w:line="262"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short-term lease expense and sublease income, which was immaterial for the years ended December 31, 2022 and 2021.</w:t>
      </w:r>
    </w:p>
    <w:p>
      <w:pPr>
        <w:spacing w:after="0" w:line="19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Total rent expense for the year ended December 31, 2020 was $2.5 million, which is included in selling, general and administrative expenses in the Company's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 Classification</w:t>
            </w:r>
          </w:p>
        </w:tc>
        <w:tc>
          <w:tcPr>
            <w:tcW w:w="420" w:type="dxa"/>
            <w:vAlign w:val="bottom"/>
          </w:tcPr>
          <w:p>
            <w:pPr>
              <w:spacing w:after="0"/>
              <w:rPr>
                <w:sz w:val="19"/>
                <w:szCs w:val="19"/>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2,131</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513"/>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Lease Commitments</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9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Future minimum lease payments for the Company's real estate operating leases at December 31, 2022 were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6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8"/>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 Due</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 representing interest</w:t>
            </w:r>
          </w:p>
        </w:tc>
        <w:tc>
          <w:tcPr>
            <w:tcW w:w="3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48"/>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lease payments, net of interest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had one lease that has not yet commenced. The future obligation for this lease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Accounts Payable and Accrued Expenses</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9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accounts payable and accrued expenses as of December 31, 2022 and 2021 consisted of the following:</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73"/>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1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18,215</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card network fees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r>
      <w:tr>
        <w:trPr>
          <w:trHeight w:val="223"/>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accounts payable and accrued expenses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42,523</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Debt Obligations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debt obligations as of December 31, 2022 and 2021 consisted of the following:</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w:t>
            </w: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facility - matures April 27, 2027, interest rate of 9.82% and 6.75% at December 31, 2022 and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610,700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616,900</w:t>
            </w:r>
          </w:p>
        </w:tc>
        <w:tc>
          <w:tcPr>
            <w:tcW w:w="0" w:type="dxa"/>
            <w:vAlign w:val="bottom"/>
          </w:tcPr>
          <w:p>
            <w:pPr>
              <w:spacing w:after="0"/>
              <w:rPr>
                <w:sz w:val="1"/>
                <w:szCs w:val="1"/>
                <w:color w:val="auto"/>
              </w:rPr>
            </w:pPr>
          </w:p>
        </w:tc>
      </w:tr>
      <w:tr>
        <w:trPr>
          <w:trHeight w:val="148"/>
        </w:trPr>
        <w:tc>
          <w:tcPr>
            <w:tcW w:w="736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rPr>
              <w:t>2021, respectively</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Revolving credit facility - $40.0 million line, matures April 27, 2026, interest rate of 8.82% and</w:t>
            </w:r>
          </w:p>
        </w:tc>
        <w:tc>
          <w:tcPr>
            <w:tcW w:w="16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148"/>
        </w:trPr>
        <w:tc>
          <w:tcPr>
            <w:tcW w:w="73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5.75% at December 31, 2022 and 2021, respectively</w:t>
            </w:r>
          </w:p>
        </w:tc>
        <w:tc>
          <w:tcPr>
            <w:tcW w:w="160" w:type="dxa"/>
            <w:vAlign w:val="bottom"/>
            <w:shd w:val="clear" w:color="auto" w:fill="CCEEFF"/>
          </w:tcPr>
          <w:p>
            <w:pPr>
              <w:spacing w:after="0"/>
              <w:rPr>
                <w:sz w:val="12"/>
                <w:szCs w:val="12"/>
                <w:color w:val="auto"/>
              </w:rPr>
            </w:pPr>
          </w:p>
        </w:tc>
        <w:tc>
          <w:tcPr>
            <w:tcW w:w="1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360" w:type="dxa"/>
            <w:vAlign w:val="bottom"/>
            <w:vMerge w:val="continue"/>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7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7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631,900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discounts and deferred financing costs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604,105</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Maturities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terms and conditions existing at December 31, 2022, future minimum principal payments for long-term debt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22"/>
                <w:szCs w:val="22"/>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Term Facility</w:t>
            </w:r>
          </w:p>
        </w:tc>
        <w:tc>
          <w:tcPr>
            <w:tcW w:w="1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220" w:type="dxa"/>
            <w:vAlign w:val="bottom"/>
          </w:tcPr>
          <w:p>
            <w:pPr>
              <w:spacing w:after="0"/>
              <w:rPr>
                <w:sz w:val="22"/>
                <w:szCs w:val="22"/>
                <w:color w:val="auto"/>
              </w:rPr>
            </w:pP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Principal Due</w:t>
            </w: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585,900</w:t>
            </w:r>
          </w:p>
        </w:tc>
      </w:tr>
      <w:tr>
        <w:trPr>
          <w:trHeight w:val="223"/>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623,200</w:t>
            </w: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Additionally, the Company may be obligated to make certain additional mandatory prepayments after the end of each year based on excess cash flow, as defined in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ind w:right="1100"/>
        <w:spacing w:after="0" w:line="282" w:lineRule="auto"/>
        <w:rPr>
          <w:sz w:val="20"/>
          <w:szCs w:val="20"/>
          <w:color w:val="auto"/>
        </w:rPr>
      </w:pPr>
      <w:r>
        <w:rPr>
          <w:rFonts w:ascii="Times New Roman" w:cs="Times New Roman" w:eastAsia="Times New Roman" w:hAnsi="Times New Roman"/>
          <w:sz w:val="18"/>
          <w:szCs w:val="18"/>
          <w:color w:val="auto"/>
        </w:rPr>
        <w:t>On April 27, 2021, the Company entered into a Credit Agreement with Truist which provides for: 1) a $300.0 million Initial Term Loan; 2) a $290.0 million Delayed Draw Term Loan (together, the "term facility"); and 3) a $40.0 million senior secured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revolving credit facility. The Credit Agreement was amended on September 17, 2021 to increase the amount of the Delayed Draw Term Loan facility by $30.0 million to $320.0 million. The additional Delayed Draw Term Loan is part of the same class of term loans made pursuant to the original commitments under the Credit Agreement.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Credit Agreement accrue interest using either a base rate or a LIBOR rate plus an applicable margin per year, subject to a LIBOR rate floor of 1.00% per year. Accrued interest is payable on each interest payment date (as defined in the Credit Agreement).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LIBOR and the rate used for base-rate borrowings.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Prepayments of outstanding principal may be made in permitted increments subject to a 1.00% penalty for certain prepayments made in connection with repricing transactions.</w:t>
      </w:r>
    </w:p>
    <w:p>
      <w:pPr>
        <w:spacing w:after="0" w:line="162"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The Credit Agreement contains representations and warranties, financial and collateral requirements, mandatory payment events, events of default and affirmative and negative covenants, including covenants that restrict the ability to create liens, pay dividends or distribute assets from the Company's subsidiaries to the Company, merge or consolidate, dispose of assets, incur additional indebtedness, make certain investments or acquisitions, enter into certain transactions (including with affiliates) and to enter into certain leases. The outstanding amount of any loans and any other amounts owed under the Credit Agreement may, after the occurrence of an event of default, at the option of Truist on behalf of lenders representing a majority of the commitments, be declared immediately due and payable. Events of default include the failure of the Company to make principal, premium or interest payment when due, or the failure by the Company to perform or comply with any term or covenant in the Credit Agreement, after any applicable cure period.</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Credit Agreement exceeds 35% of the total revolving facility thereunder, the Company is required to comply with certain restrictions on its Total Net Leverage Ratio, which is defined as the ratio of consolidated total debt less unrestricted cash to consolidated adjusted EBITDA (as defined in the Credit Agreement). If applicable, the maximum permitted Total Net Leverage Ratio is: 1) 6.50:1.00 at each quarter ended September 30, 2021 through June 30, 2022; 2) 6.00:1.00 at each quarter ended September 30, 2022 through June 30, 2023; and 3) 5.50:1.00 at each quarter ended September 30, 2023 and thereafter. As of December 31, 2022, the Company is in compliance with the covenants in the Credit Agreement and the Total Net Leverage Ratio was not applicable.</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Proceeds from the Initial Term Loan were used to partially fund the refinancing of the Company's existing credit facilities as of April 27, 2021. Proceeds from the Delayed Draw Term Loan were used to fund the Company's acquisition of Finxera. See </w:t>
      </w:r>
      <w:r>
        <w:rPr>
          <w:rFonts w:ascii="Times New Roman" w:cs="Times New Roman" w:eastAsia="Times New Roman" w:hAnsi="Times New Roman"/>
          <w:sz w:val="18"/>
          <w:szCs w:val="18"/>
          <w:u w:val="single" w:color="auto"/>
          <w:color w:val="3051F2"/>
        </w:rPr>
        <w:t>Note 2. Acquisitions</w:t>
      </w:r>
      <w:r>
        <w:rPr>
          <w:rFonts w:ascii="Times New Roman" w:cs="Times New Roman" w:eastAsia="Times New Roman" w:hAnsi="Times New Roman"/>
          <w:sz w:val="18"/>
          <w:szCs w:val="18"/>
          <w:color w:val="auto"/>
        </w:rPr>
        <w:t xml:space="preserve"> for additional information related to the acquisition of Finxera.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and Amortization of Deferred Loan Costs and Discounts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Deferred financing costs and debt discounts are amortized using the effective interest method over the remaining term of the respective debt and are recorded as a component of interest expense. Unamortized deferred financing costs and debt discount are included in long-term debt on the Company's Consolidated Balance Sheets.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540" w:type="dxa"/>
            <w:vAlign w:val="bottom"/>
            <w:tcBorders>
              <w:bottom w:val="single" w:sz="8" w:color="auto"/>
            </w:tcBorders>
          </w:tcPr>
          <w:p>
            <w:pPr>
              <w:spacing w:after="0"/>
              <w:rPr>
                <w:sz w:val="20"/>
                <w:szCs w:val="20"/>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4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53,554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36,485</w:t>
            </w:r>
          </w:p>
        </w:tc>
        <w:tc>
          <w:tcPr>
            <w:tcW w:w="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44,839</w:t>
            </w:r>
          </w:p>
        </w:tc>
      </w:tr>
    </w:tbl>
    <w:p>
      <w:pPr>
        <w:spacing w:after="0" w:line="262"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this amount is $0.9 million of interest expense related to the accretion of contingent considerations from acquisitions.</w:t>
      </w:r>
    </w:p>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Interest expense included amortization of deferred financing costs and debt discounts of $3.5 million, $4.0 million and $2.4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Loan Costs and Discounts, and Debt Extinguishment and Modification Expenses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April 2021, the Initial Term Loan under the Credit Agreement was issued at a discount of $6.4 million. The Company incurred $6.4 million of costs including $3.5 million of ticking fees (debt commitment fees) prior to the drawdown of the funds in September 2021.</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2021, the Delayed Draw Term Loan was issued at a discount of $6.3 million. Additionally, the Company incurred $9.9 million of costs for the Delayed Draw Term Loan. Approximately $6.1 million of the remaining fees incurred for the Delayed Draw Term Loan were paid in connection with the Initial Term Loan and were deferred in other noncurrent assets on the Company's Consolidated Balance Sheet at June 30, 2021. The costs for the Delayed Draw Term Loan were amortized over the delayed commitment access period until September 2021, at which time the unamortized balance of the deferred costs was removed from other noncurrent assets and recorded as a reduction of the carrying amount of the debt obligation and are being amortized over the remaining term of the debt.</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issuance of the Initial Term Loan as part of the April 2021 refinancing of an existing facility was partially an extinguishment and a modification, and therefore, recognized debt extinguishment and modification costs of $8.3 million in April 2021, which included a portion of the refinancing fees and the write off of previously deferred fees under the prior credit agreements. These costs are reported within other expenses, net on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Redeemable Senior Preferred Stock and Warrants</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On April 27, 2021, the Company entered into an agreement pursuant to which it issued 150,000 shares of redeemable senior preferred stock, par value $0.001 per share, and a detachable warrant to purchase 1,803,841 shares of the Company's Common Stock, for gross proceeds of $150.0 million, less a $5.0 million discount and $5.5 million of issuance costs.</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agreement also provided the Company the option to issue an additional 50,000 shares of redeemable senior preferred stock upon the closing of the Finxera acquisition for $50.0 million, less a $0.6 million discount and within 18 months after the issuance of those additional shares, subject to the satisfaction of certain customary closing conditions.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the total net proceeds of $139.5 million, $131.4 million was allocated to the redeemable senior preferred stock, $11.4 million was allocated to additional paid-in capital for the warrants and $3.3 million was allocated to noncurrent assets for the committed financing put right.</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September 17, 2021 the Company issued an additional 75,000 shares of redeemable senior preferred stock for $75.0 million, less a $0.9 million discount, $0.7 million of ticking fees and $1.9 million of issuance costs. Upon issuance of these additional shares, the $3.3 million that was previously allocated to noncurrent assets for the committed financing put right was reclassified to the redeemable senior preferred stock.</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redeemable senior preferred stock ranks senior to the Company's Common Stock, equal with any other class of the Company's stock designated as being ranked on a parity basis with the redeemable senior preferred stock and junior to any other class of the Company's stock, including preferred stock, that is designated as being ranked senior to the redeemable senior preferred stock, with respect to the payment and distribution of dividends, the purchase or redemption of the Company's stock and the liquidation, winding up of and distribution of assets of the Company.</w:t>
      </w:r>
    </w:p>
    <w:p>
      <w:pPr>
        <w:spacing w:after="0" w:line="1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redeemable senior preferred stock does not meet the definition of a liability pursuant to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it is redeemable upon the occurrence of events that are not solely within the Company's control. Therefore, the Company classified the redeemable senior preferred stock as temporary equity and is accreting the carrying amount to its full redemption amount from the date of issuance to the earliest redemption date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carrying amounts of the redeemable senior preferred stock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redeemable senior preferred stock, net of discount and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199,609</w:t>
            </w:r>
          </w:p>
        </w:tc>
      </w:tr>
      <w:tr>
        <w:trPr>
          <w:trHeight w:val="22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dividend on redeemable senior preferred stock</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discounts and issuance cost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23"/>
        </w:trPr>
        <w:tc>
          <w:tcPr>
            <w:tcW w:w="8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210,158</w:t>
            </w:r>
          </w:p>
        </w:tc>
      </w:tr>
      <w:tr>
        <w:trPr>
          <w:trHeight w:val="229"/>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redeemable senior preferred stock, net of discount and issuance costs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dividend on redeemable senior preferred stock</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w:t>
            </w:r>
          </w:p>
        </w:tc>
      </w:tr>
      <w:tr>
        <w:trPr>
          <w:trHeight w:val="229"/>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discounts and issuance cost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portion of dividend and ticking fee outstanding at the end of the year</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235,579</w:t>
            </w:r>
          </w:p>
        </w:tc>
      </w:tr>
      <w:tr>
        <w:trPr>
          <w:trHeight w:val="21"/>
        </w:trPr>
        <w:tc>
          <w:tcPr>
            <w:tcW w:w="8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rate for the redeemable senior preferred stock is equal to the three-month LIBOR rate (minimum of 1.00%) plus an applicable margin of</w:t>
      </w:r>
    </w:p>
    <w:p>
      <w:pPr>
        <w:spacing w:after="0" w:line="5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12.00% (capped at 22.50%) per year, with a required quarterly cash dividend payment of 5.00% plus the three-month LIBOR rate per year. The dividend rate is subject to future increases if the Company doesn't comply with the cash payment requirements outlined in the agreement, which includes required payments of dividends, required payments related to redemption or required prepayments. The dividend rate may also increase if the Company fails to obtain the required stockholder approval for a forced sale transaction triggered by investors or if an event of default as outlined in the agreement occurs. The dividend rate as of December 31, 2022, and 2021 was 15.7% and 13.0%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dividends for the period presented:</w:t>
            </w:r>
          </w:p>
        </w:tc>
        <w:tc>
          <w:tcPr>
            <w:tcW w:w="2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148"/>
        </w:trPr>
        <w:tc>
          <w:tcPr>
            <w:tcW w:w="6600" w:type="dxa"/>
            <w:vAlign w:val="bottom"/>
            <w:vMerge w:val="continue"/>
          </w:tcPr>
          <w:p>
            <w:pPr>
              <w:spacing w:after="0"/>
              <w:rPr>
                <w:sz w:val="12"/>
                <w:szCs w:val="12"/>
                <w:color w:val="auto"/>
              </w:rPr>
            </w:pPr>
          </w:p>
        </w:tc>
        <w:tc>
          <w:tcPr>
            <w:tcW w:w="234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90"/>
        </w:trPr>
        <w:tc>
          <w:tcPr>
            <w:tcW w:w="660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38" w:lineRule="auto"/>
        <w:rPr>
          <w:sz w:val="20"/>
          <w:szCs w:val="20"/>
          <w:color w:val="auto"/>
        </w:rPr>
      </w:pPr>
      <w:r>
        <w:rPr>
          <w:rFonts w:ascii="Times New Roman" w:cs="Times New Roman" w:eastAsia="Times New Roman" w:hAnsi="Times New Roman"/>
          <w:sz w:val="18"/>
          <w:szCs w:val="18"/>
          <w:color w:val="auto"/>
        </w:rPr>
        <w:t>Dividends paid in cash</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26" w:lineRule="auto"/>
        <w:rPr>
          <w:sz w:val="20"/>
          <w:szCs w:val="20"/>
          <w:color w:val="auto"/>
        </w:rPr>
      </w:pPr>
      <w:r>
        <w:rPr>
          <w:rFonts w:ascii="Times New Roman" w:cs="Times New Roman" w:eastAsia="Times New Roman" w:hAnsi="Times New Roman"/>
          <w:sz w:val="18"/>
          <w:szCs w:val="18"/>
          <w:color w:val="auto"/>
        </w:rPr>
        <w:t>Accumulated dividends accrued as part of the carrying value of redeemable senior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16,800</w:t>
            </w:r>
          </w:p>
        </w:tc>
        <w:tc>
          <w:tcPr>
            <w:tcW w:w="84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0" w:type="dxa"/>
            <w:vAlign w:val="bottom"/>
          </w:tcPr>
          <w:p>
            <w:pPr>
              <w:spacing w:after="0"/>
              <w:rPr>
                <w:sz w:val="1"/>
                <w:szCs w:val="1"/>
                <w:color w:val="auto"/>
              </w:rPr>
            </w:pPr>
          </w:p>
        </w:tc>
      </w:tr>
      <w:tr>
        <w:trPr>
          <w:trHeight w:val="317"/>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16,794</w:t>
            </w:r>
          </w:p>
        </w:tc>
        <w:tc>
          <w:tcPr>
            <w:tcW w:w="8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0" w:type="dxa"/>
            <w:vAlign w:val="bottom"/>
          </w:tcPr>
          <w:p>
            <w:pPr>
              <w:spacing w:after="0"/>
              <w:rPr>
                <w:sz w:val="1"/>
                <w:szCs w:val="1"/>
                <w:color w:val="auto"/>
              </w:rPr>
            </w:pPr>
          </w:p>
        </w:tc>
      </w:tr>
      <w:tr>
        <w:trPr>
          <w:trHeight w:val="94"/>
        </w:trPr>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33,594</w:t>
            </w:r>
          </w:p>
        </w:tc>
        <w:tc>
          <w:tcPr>
            <w:tcW w:w="8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16,164</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-7620</wp:posOffset>
            </wp:positionV>
            <wp:extent cx="13462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660" w:space="260"/>
            <w:col w:w="820" w:space="720"/>
            <w:col w:w="2780"/>
          </w:cols>
          <w:pgMar w:left="320" w:top="121" w:right="339" w:bottom="1440" w:gutter="0" w:footer="0" w:header="0"/>
          <w:type w:val="continuous"/>
        </w:sectPr>
      </w:pPr>
    </w:p>
    <w:p>
      <w:pPr>
        <w:spacing w:after="0" w:line="92" w:lineRule="exact"/>
        <w:rPr>
          <w:sz w:val="20"/>
          <w:szCs w:val="20"/>
          <w:color w:val="auto"/>
        </w:rPr>
      </w:pPr>
    </w:p>
    <w:p>
      <w:pPr>
        <w:ind w:right="4120" w:firstLine="332"/>
        <w:spacing w:after="0" w:line="458" w:lineRule="auto"/>
        <w:tabs>
          <w:tab w:leader="none" w:pos="636"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this amount is $5.3 million of dividends outstanding as of December 31, 2022 The following table presents cumulative dividends in arrears in aggregate and per-share:</w:t>
      </w:r>
    </w:p>
    <w:tbl>
      <w:tblPr>
        <w:tblLayout w:type="fixed"/>
        <w:tblInd w:w="0" w:type="dxa"/>
        <w:tblCellMar>
          <w:top w:w="0" w:type="dxa"/>
          <w:left w:w="0" w:type="dxa"/>
          <w:bottom w:w="0" w:type="dxa"/>
          <w:right w:w="0" w:type="dxa"/>
        </w:tblCellMar>
      </w:tblPr>
      <w:tr>
        <w:trPr>
          <w:trHeight w:val="185"/>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20" w:type="dxa"/>
            <w:vAlign w:val="bottom"/>
          </w:tcPr>
          <w:p>
            <w:pPr>
              <w:spacing w:after="0"/>
              <w:rPr>
                <w:sz w:val="16"/>
                <w:szCs w:val="16"/>
                <w:color w:val="auto"/>
              </w:rPr>
            </w:pPr>
          </w:p>
        </w:tc>
        <w:tc>
          <w:tcPr>
            <w:tcW w:w="2000" w:type="dxa"/>
            <w:vAlign w:val="bottom"/>
            <w:gridSpan w:val="2"/>
          </w:tcPr>
          <w:p>
            <w:pPr>
              <w:jc w:val="center"/>
              <w:ind w:right="340"/>
              <w:spacing w:after="0" w:line="185"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212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49"/>
        </w:trPr>
        <w:tc>
          <w:tcPr>
            <w:tcW w:w="6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500" w:type="dxa"/>
            <w:vAlign w:val="bottom"/>
          </w:tcPr>
          <w:p>
            <w:pPr>
              <w:spacing w:after="0"/>
              <w:rPr>
                <w:sz w:val="12"/>
                <w:szCs w:val="12"/>
                <w:color w:val="auto"/>
              </w:rPr>
            </w:pPr>
          </w:p>
        </w:tc>
        <w:tc>
          <w:tcPr>
            <w:tcW w:w="162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92"/>
        </w:trPr>
        <w:tc>
          <w:tcPr>
            <w:tcW w:w="6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preferred dividends in arrears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senior preferred stock, outstanding</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preferred dividends in arrears, per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redeemable senior preferred shares have no stated maturity and will remain outstanding indefinitely until redeemed or otherwise repurchased by the Company. Outstanding shares of redeemable senior preferred stock can be redeemed at the option of the Company for cash in whole or in part at the following redemption price:</w:t>
      </w:r>
    </w:p>
    <w:p>
      <w:pPr>
        <w:spacing w:after="0" w:line="226" w:lineRule="exact"/>
        <w:rPr>
          <w:sz w:val="20"/>
          <w:szCs w:val="20"/>
          <w:color w:val="auto"/>
        </w:rPr>
      </w:pPr>
    </w:p>
    <w:p>
      <w:pPr>
        <w:ind w:left="20"/>
        <w:spacing w:after="0"/>
        <w:tabs>
          <w:tab w:leader="none" w:pos="3140" w:val="left"/>
        </w:tabs>
        <w:rPr>
          <w:sz w:val="20"/>
          <w:szCs w:val="20"/>
          <w:color w:val="auto"/>
        </w:rPr>
      </w:pPr>
      <w:r>
        <w:rPr>
          <w:rFonts w:ascii="Times New Roman" w:cs="Times New Roman" w:eastAsia="Times New Roman" w:hAnsi="Times New Roman"/>
          <w:sz w:val="18"/>
          <w:szCs w:val="18"/>
          <w:b w:val="1"/>
          <w:bCs w:val="1"/>
          <w:color w:val="auto"/>
        </w:rPr>
        <w:t>Redemption Date</w:t>
      </w:r>
      <w:r>
        <w:rPr>
          <w:sz w:val="20"/>
          <w:szCs w:val="20"/>
          <w:color w:val="auto"/>
        </w:rPr>
        <w:tab/>
      </w:r>
      <w:r>
        <w:rPr>
          <w:rFonts w:ascii="Times New Roman" w:cs="Times New Roman" w:eastAsia="Times New Roman" w:hAnsi="Times New Roman"/>
          <w:sz w:val="17"/>
          <w:szCs w:val="17"/>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5911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6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100% of liquidation preference (i.e., $1,000 per share) plus any accrued and unpaid dividends and the make-</w:t>
      </w:r>
    </w:p>
    <w:p>
      <w:pPr>
        <w:spacing w:after="0" w:line="27" w:lineRule="exact"/>
        <w:rPr>
          <w:sz w:val="20"/>
          <w:szCs w:val="20"/>
          <w:color w:val="auto"/>
        </w:rPr>
      </w:pPr>
    </w:p>
    <w:p>
      <w:pPr>
        <w:ind w:left="3160" w:right="100" w:hanging="3131"/>
        <w:spacing w:after="0" w:line="265" w:lineRule="auto"/>
        <w:tabs>
          <w:tab w:leader="none" w:pos="3140" w:val="left"/>
        </w:tabs>
        <w:rPr>
          <w:sz w:val="20"/>
          <w:szCs w:val="20"/>
          <w:color w:val="auto"/>
        </w:rPr>
      </w:pPr>
      <w:r>
        <w:rPr>
          <w:rFonts w:ascii="Times New Roman" w:cs="Times New Roman" w:eastAsia="Times New Roman" w:hAnsi="Times New Roman"/>
          <w:sz w:val="35"/>
          <w:szCs w:val="35"/>
          <w:color w:val="auto"/>
          <w:vertAlign w:val="subscript"/>
        </w:rPr>
        <w:t>Prior to April 27, 2023</w:t>
      </w:r>
      <w:r>
        <w:rPr>
          <w:sz w:val="20"/>
          <w:szCs w:val="20"/>
          <w:color w:val="auto"/>
        </w:rPr>
        <w:tab/>
      </w:r>
      <w:r>
        <w:rPr>
          <w:rFonts w:ascii="Times New Roman" w:cs="Times New Roman" w:eastAsia="Times New Roman" w:hAnsi="Times New Roman"/>
          <w:sz w:val="17"/>
          <w:szCs w:val="17"/>
          <w:color w:val="auto"/>
        </w:rPr>
        <w:t>whole amount (i.e., present value of additional 2% of the liquidation preference plus any accrued and unpaid dividends thereon through the redemption date plus 102% of the amount of dividends that will accrue from the</w:t>
      </w:r>
    </w:p>
    <w:p>
      <w:pPr>
        <w:ind w:left="3160"/>
        <w:spacing w:after="0"/>
        <w:rPr>
          <w:sz w:val="20"/>
          <w:szCs w:val="20"/>
          <w:color w:val="auto"/>
        </w:rPr>
      </w:pPr>
      <w:r>
        <w:rPr>
          <w:rFonts w:ascii="Times New Roman" w:cs="Times New Roman" w:eastAsia="Times New Roman" w:hAnsi="Times New Roman"/>
          <w:sz w:val="18"/>
          <w:szCs w:val="18"/>
          <w:color w:val="auto"/>
        </w:rPr>
        <w:t>redemption date through April 27, 2023)</w:t>
      </w:r>
    </w:p>
    <w:p>
      <w:pPr>
        <w:sectPr>
          <w:pgSz w:w="11900" w:h="16838" w:orient="portrait"/>
          <w:cols w:equalWidth="0" w:num="1">
            <w:col w:w="11220"/>
          </w:cols>
          <w:pgMar w:left="320" w:top="121" w:right="359" w:bottom="1440" w:gutter="0" w:footer="0" w:header="0"/>
        </w:sectPr>
      </w:pP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27, 2023 - April 26, 2024</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27, 2024 and thereafter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102% of the sum of the (a) outstanding liquidation preference plus (b) any accrued and unpaid dividends through and including the applicable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7132320"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520"/>
        <w:spacing w:after="0" w:line="282" w:lineRule="auto"/>
        <w:rPr>
          <w:sz w:val="20"/>
          <w:szCs w:val="20"/>
          <w:color w:val="auto"/>
        </w:rPr>
      </w:pPr>
      <w:r>
        <w:rPr>
          <w:rFonts w:ascii="Times New Roman" w:cs="Times New Roman" w:eastAsia="Times New Roman" w:hAnsi="Times New Roman"/>
          <w:sz w:val="18"/>
          <w:szCs w:val="18"/>
          <w:color w:val="auto"/>
        </w:rPr>
        <w:t>100% of the sum of the (a) outstanding liquidation preference plus (b) any accrued and unpaid dividends through and including the applicable redemption date</w:t>
      </w:r>
    </w:p>
    <w:p>
      <w:pPr>
        <w:spacing w:after="0" w:line="200" w:lineRule="exact"/>
        <w:rPr>
          <w:sz w:val="20"/>
          <w:szCs w:val="20"/>
          <w:color w:val="auto"/>
        </w:rPr>
      </w:pPr>
    </w:p>
    <w:p>
      <w:pPr>
        <w:sectPr>
          <w:pgSz w:w="11900" w:h="16838" w:orient="portrait"/>
          <w:cols w:equalWidth="0" w:num="2">
            <w:col w:w="2440" w:space="720"/>
            <w:col w:w="8060"/>
          </w:cols>
          <w:pgMar w:left="320" w:top="121" w:right="359" w:bottom="1440" w:gutter="0" w:footer="0" w:header="0"/>
          <w:type w:val="continuous"/>
        </w:sectPr>
      </w:pPr>
    </w:p>
    <w:p>
      <w:pPr>
        <w:spacing w:after="0" w:line="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Upon the occurrence of a change in control or a liquidation event, the Company will redeem all of the outstanding redeemable senior preferred shares for cash at the applicable redemption price described above.</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holders of the redeemable senior preferred stock may request the Company to pursue a sale transaction for the purpose of redeeming the redeemable senior preferred stock from and after the earliest of: 1) October 27, 2028; 2) 30 days after the redeemable senior preferred stockholders provide written notice to the Company of a failure by the Company to take steps within its control to prevent the Company's Common Stock from no longer being listed; and 3) the date that is 90 days following the Company's failure to consummate a mandatory redemption of the redeemable senior preferred stock upon the occurrence of a change in control or liquidation event.</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The Company used the proceeds from the April 2021 sale of the redeemable senior preferred stock to partially fund the Refinancing (see </w:t>
      </w:r>
      <w:r>
        <w:rPr>
          <w:rFonts w:ascii="Times New Roman" w:cs="Times New Roman" w:eastAsia="Times New Roman" w:hAnsi="Times New Roman"/>
          <w:sz w:val="18"/>
          <w:szCs w:val="18"/>
          <w:u w:val="single" w:color="auto"/>
          <w:color w:val="0000FF"/>
        </w:rPr>
        <w:t>Note 11.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Obligations</w:t>
      </w:r>
      <w:r>
        <w:rPr>
          <w:rFonts w:ascii="Times New Roman" w:cs="Times New Roman" w:eastAsia="Times New Roman" w:hAnsi="Times New Roman"/>
          <w:sz w:val="18"/>
          <w:szCs w:val="18"/>
          <w:color w:val="000000"/>
        </w:rPr>
        <w:t>), to partially fund the Wholesale Payments, Inc. and C&amp;H Financial Services, Inc. acquisitions in the second quarter of 2021 (see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Acquisitions</w:t>
      </w:r>
      <w:r>
        <w:rPr>
          <w:rFonts w:ascii="Times New Roman" w:cs="Times New Roman" w:eastAsia="Times New Roman" w:hAnsi="Times New Roman"/>
          <w:sz w:val="18"/>
          <w:szCs w:val="18"/>
          <w:color w:val="000000"/>
        </w:rPr>
        <w:t>) and to pay certain fees and expenses relating to the Refinancing and the offering of the redeemable senior preferred stock and warrants.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Company used the proceeds from the September 2021 sale of additional shares of redeemable senior preferred stock to fund the Finxera acquisition (see </w:t>
      </w:r>
      <w:r>
        <w:rPr>
          <w:rFonts w:ascii="Times New Roman" w:cs="Times New Roman" w:eastAsia="Times New Roman" w:hAnsi="Times New Roman"/>
          <w:sz w:val="18"/>
          <w:szCs w:val="18"/>
          <w:u w:val="single" w:color="auto"/>
          <w:color w:val="0000FF"/>
        </w:rPr>
        <w:t>Note 2. Acquisitions</w:t>
      </w:r>
      <w:r>
        <w:rPr>
          <w:rFonts w:ascii="Times New Roman" w:cs="Times New Roman" w:eastAsia="Times New Roman" w:hAnsi="Times New Roman"/>
          <w:sz w:val="18"/>
          <w:szCs w:val="18"/>
          <w:color w:val="000000"/>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27, 2021 the Company issued warrants to purchase up to 1,803,841 shares of the Company's Common Stock, par value $0.001 per share, at an exercise price of $0.001. The exercise price and the number of shares issuable upon exercise of the warrants are subject to certain adjustments from time to time on the terms outlined in the warrants. In connection with the issuance of the warrants, the Company entered into an agreement pursuant to which it agreed to provide certain registration rights with respect to the common shares issuable upon exercise of the warrants. Under this agreement the holders of the related shares of Common Stock were granted piggyback rights to be included in certain underwritten offerings of Common Stock and the right to demand a shelf registration of the shares of Common Stock issued upon exercise of the warrants. As of December 31, 2022, none of the warrants have been exercised. The warrants are considered to be equity contracts indexed in the Company's own shares and therefore were recorded at their inception date relative fair value and are included in additional paid-in capital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Components of consolidated income tax (benefit) expense for the years ended December 31, 2022, 2021, and 2020 were as follows:</w:t>
            </w:r>
          </w:p>
        </w:tc>
        <w:tc>
          <w:tcPr>
            <w:tcW w:w="1240" w:type="dxa"/>
            <w:vAlign w:val="bottom"/>
          </w:tcPr>
          <w:p>
            <w:pPr>
              <w:spacing w:after="0"/>
              <w:rPr>
                <w:sz w:val="24"/>
                <w:szCs w:val="24"/>
                <w:color w:val="auto"/>
              </w:rPr>
            </w:pPr>
          </w:p>
        </w:tc>
      </w:tr>
      <w:tr>
        <w:trPr>
          <w:trHeight w:val="47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40" w:type="dxa"/>
            <w:vAlign w:val="bottom"/>
            <w:tcBorders>
              <w:bottom w:val="single" w:sz="8" w:color="auto"/>
            </w:tcBorders>
          </w:tcPr>
          <w:p>
            <w:pPr>
              <w:spacing w:after="0"/>
              <w:rPr>
                <w:sz w:val="24"/>
                <w:szCs w:val="24"/>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current income tax expense (benefit)</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r>
      <w:tr>
        <w:trPr>
          <w:trHeight w:val="230"/>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29"/>
        </w:trPr>
        <w:tc>
          <w:tcPr>
            <w:tcW w:w="5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income tax (benefit) expense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deferred income tax expense (benefit)</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r>
      <w:tr>
        <w:trPr>
          <w:trHeight w:val="229"/>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9"/>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deferred income tax (benefit) expense</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48"/>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Company's consolidated effective income tax rate was 167.2% for the year ended December 31, 2022, compared to a consolidated effective income tax rate of 135.9% for the year ended December 31, 2021. For the year ended December 31, 2020, the Company's consolidated effective income tax benefit rate was 13.3%. The effective rate for 2022 differed from the statutory rate of 21% primarily due to: 1) </w:t>
      </w:r>
      <w:r>
        <w:rPr>
          <w:rFonts w:ascii="Times New Roman" w:cs="Times New Roman" w:eastAsia="Times New Roman" w:hAnsi="Times New Roman"/>
          <w:sz w:val="18"/>
          <w:szCs w:val="18"/>
          <w:color w:val="222222"/>
        </w:rPr>
        <w:t>an increase in the valuation allowance against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certain business interest carryover deferred tax assets; and 2) the finalization of prior estimates of certain intangible deferred tax liabilities resulting from the Finxera acquisition. </w:t>
      </w:r>
      <w:r>
        <w:rPr>
          <w:rFonts w:ascii="Times New Roman" w:cs="Times New Roman" w:eastAsia="Times New Roman" w:hAnsi="Times New Roman"/>
          <w:sz w:val="18"/>
          <w:szCs w:val="18"/>
          <w:color w:val="000000"/>
        </w:rPr>
        <w:t>The effective rate for December 31, 2021 differed from the statutory federal rate of 21% primarily due to: 1) an increase in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valuation allowance against certain business interest carryover deferred tax assets; 2) non-deductible transaction costs incurred in the acquisition of Finxera; 3) the finalization of prior estimates on the sale of the assets of PRET's real estate services business impacting amounts attributable to noncontrolling partners; and 4) an increase in the tax basis of certain intangible assets resulting from a change in a subsidiary's entity status. The effective rate for December 31, 2020 differed from the statutory federal rate of 21% primarily due to earnings attributable to noncontrolling interests and valuation allowance changes against certain business interest carryover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consolidated income tax (benefit) expense at the statutory U.S. federal tax rate to actual consolidated income tax (benefit) expense for the years ended December 31, 2022, 2021 and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(benefit) expense</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benefits pursuant to ASU 2016-09</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changes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items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w:t>
            </w:r>
          </w:p>
        </w:tc>
      </w:tr>
      <w:tr>
        <w:trPr>
          <w:trHeight w:val="21"/>
        </w:trPr>
        <w:tc>
          <w:tcPr>
            <w:tcW w:w="5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expected future tax consequences of temporary differences between the financial statement carrying amount of the Company's assets and liabilities, tax credits and their respective tax bases, and loss carry forwards. The significant components of consolidated deferred income taxes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Accruals and reserves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w:t>
            </w: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limitation carryforwards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w:t>
            </w:r>
          </w:p>
        </w:tc>
      </w:tr>
      <w:tr>
        <w:trPr>
          <w:trHeight w:val="229"/>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r>
      <w:tr>
        <w:trPr>
          <w:trHeight w:val="22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w:t>
            </w:r>
          </w:p>
        </w:tc>
      </w:tr>
      <w:tr>
        <w:trPr>
          <w:trHeight w:val="230"/>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(10,781)</w:t>
            </w:r>
          </w:p>
        </w:tc>
      </w:tr>
      <w:tr>
        <w:trPr>
          <w:trHeight w:val="223"/>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in partnership</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23"/>
        </w:trPr>
        <w:tc>
          <w:tcPr>
            <w:tcW w:w="7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16,447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provides a valuation allowance against deferred tax assets when it is more likely than not that some portion or all of the deferred tax assets will not be realized. The assessment considers all available positive and negative evidence and is measured quarterly. As of December 31, 2022 and 2021, the Company had a consolidated valuation allowance of approximately $15.5 million and $10.8 million, respectively, against certain deferred income tax assets related to business interest deduction carryovers and business combination costs that the Company believes are not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 reconciliation of the beginning and ending amount of unrecognized tax benefits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positions of prior years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related to lapse of the applicable statutes of limitations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 balance of unrecognized tax benefits that, if recognized, affect our effective tax rate was $0.1 million and</w:t>
      </w:r>
    </w:p>
    <w:p>
      <w:pPr>
        <w:spacing w:after="0" w:line="27"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color w:val="auto"/>
        </w:rPr>
        <w:t>$0.1 million, respectively. The Company continually evaluates the uncertain tax benefit associated with its uncertain tax positions. It is reasonably possible that the liability for uncertain tax benefits could decrease during the next 12 months by up to $0.1 million due to the expiration of statutes of limitations.</w:t>
      </w:r>
    </w:p>
    <w:p>
      <w:pPr>
        <w:spacing w:after="0" w:line="15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and income tax in multiple state jurisdictions. Tax periods for December 31, 2019 and all years thereafter remain open to examination by the federal and state taxing jurisdictions and tax periods for December 31, 2018 and all years thereafter remain open for certain state taxing jurisdictions to which the Company is subject.</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December 31, 2022 and December 31, 2021, the Company had state NOL carryforwards of approximately $13.4 million and $13.6 million, respectively, with expirations dates ranging from 2023 to 2041.</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has historically been impacted by the new interest deductibility rule under the Tax Act. This rule disallows interest expense to the extent it exceeds 30% of ATI, as defined. In March 2020, the CARES Act was enacted, which among other provisions, provides for the increase of the 163(j) ATI limitation from 30% to 50% for tax years 2019 and 2020. As of December 31, 2022, the Company had interest deduction limitation carryforwards of $61.5 million.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Stockholders' Deficit</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Historically, the Company has neither declared nor paid dividends. The holders of the Company's Common Stock have no conversion, preemptive or other subscription rights and there is no sinking fund or redemption provisions applicable to the Common Stock.</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100,000,000 shares of preferred stock with such designations, voting and other rights and preferences as may be determined from time to time by the Board of Directors. As of December 31, 2022, the Company has not issued any shares of preferred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2022, PRTH's Board of Directors authorized a general share repurchase program under which the Company may purchase up to 2.0 million shares of its outstanding Common Stock for a total of up to $10.0 million. Under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terms of this plan, the Company may purchase shares through open market purchases, unsolicited or solicited privately negotiated transactions, or in another manner so long as it complies with applicable rules and regulations.</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August 2021, PRTH's Board of Directors authorized a $10.0 million 2021 share repurchase program. Under the 2021 Share Repurchase Program. the Company was authorized to purchase up to 1.0 million shares of its Common Stock through open market transactions, unsolicited or solicited privately negotiated transactions, or otherwise in accordance with all applicable securities laws and regulations. The Company terminated the 2021 Share Repurchase Program effective as of the close of business on September 23,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and 2021, share re-purchase activity under these programs was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 which is in whole units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Number of shares purchased</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162,715</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30"/>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Investment</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bl>
    <w:p>
      <w:pPr>
        <w:spacing w:after="0" w:line="76" w:lineRule="exact"/>
        <w:rPr>
          <w:sz w:val="20"/>
          <w:szCs w:val="20"/>
          <w:color w:val="auto"/>
        </w:rPr>
      </w:pPr>
    </w:p>
    <w:p>
      <w:pPr>
        <w:ind w:left="660" w:right="120" w:hanging="328"/>
        <w:spacing w:after="0" w:line="229" w:lineRule="auto"/>
        <w:tabs>
          <w:tab w:leader="none" w:pos="64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may differ from the repurchases of Common Stock amounts in the Consolidated Statements of Cash Flows due to shares withheld for taxes and unsettled share repurchases at the end of the quarter.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Warrants and Purchase Options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3,556,470 warrants from the original business combination in July 2018, remain outstanding. These warrants allow the holders to purchase shares of the Company's Common Stock at an exercise price of $11.50 per share. These warrants expire on August 24,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July 25, 2018, a purchase option was sold to an underwriter for consideration of $100. The purchase option, which survived the business combination, allow the holders to purchase up to a total of 300,000 units (each consisting of a share of Common Stock and a public warrant) exercisable at $12.00 per unit. The purchase option expires on August 24, 2023. The purchase option is classified as equity for accounting purposes and remain outstanding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2018 Equity Incentive Plan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2018 Plan was approved by the Company's Board of Directors and shareholders in July 2018. The 2018 Plan provided for the issuance of up to 6,685,696 of the Company's Common Stock, and these shares were registered on a Form S-8 during 2018. Under the 2018 Plan, the Company's compensation committee may grant awards of non-qualified stock options, incentive stock options, SARs, restricted stock awards, RSUs, other stock-based awards (including cash bonus awards) or any combination of the foregoing. Any current or prospective employees, officers, consultants or advisors that the Company's compensation committee (or, in the case of non-employee directors, the Company's Board of Directors) selects, from time to time, are eligible to receive awards under the 2018 Plan. If any award granted under the 2018 Plan expires, terminates, or is canceled or forfeited without being settled or exercised, or if a SAR is settled in cash or otherwise without the issuance of shares, shares of the Company's Common Stock subject to such award will again be made available for future grants. In addition, if any shares are surrendered or tendered to pay the exercise price of an award or to satisfy withholding taxes owed, such shares will again be available for grants under the 2018 Plan.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 These additional shares were registered on a Form S-8 in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was as follows: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3"/>
        </w:trPr>
        <w:tc>
          <w:tcPr>
            <w:tcW w:w="6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 compensation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Liability-classified compensation expense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ESPP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2,430</w:t>
            </w: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recognized an income tax benefit of approximately $0.7 million, $0.4 million and $0.4 million, respectively, for stock-based compensation expense. No stock-based compensation has been capitalized.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stock units for the 2018 Plan that occurred during the years ended December 31, 2022, 2021 and 2020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available for issuance at January 1, 2020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4,796,176</w:t>
            </w:r>
          </w:p>
        </w:tc>
      </w:tr>
      <w:tr>
        <w:trPr>
          <w:trHeight w:val="229"/>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220,045</w:t>
            </w:r>
          </w:p>
        </w:tc>
      </w:tr>
      <w:tr>
        <w:trPr>
          <w:trHeight w:val="229"/>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(1,031,740)</w:t>
            </w:r>
          </w:p>
        </w:tc>
      </w:tr>
      <w:tr>
        <w:trPr>
          <w:trHeight w:val="229"/>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 granted with performance goals that have not been determined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(128,624)</w:t>
            </w:r>
          </w:p>
        </w:tc>
      </w:tr>
      <w:tr>
        <w:trPr>
          <w:trHeight w:val="230"/>
        </w:trPr>
        <w:tc>
          <w:tcPr>
            <w:tcW w:w="9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21,277</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available for issuance at December 31, 2020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3,862,134</w:t>
            </w:r>
          </w:p>
        </w:tc>
      </w:tr>
      <w:tr>
        <w:trPr>
          <w:trHeight w:val="230"/>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50,589</w:t>
            </w:r>
          </w:p>
        </w:tc>
      </w:tr>
      <w:tr>
        <w:trPr>
          <w:trHeight w:val="229"/>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expired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53,870</w:t>
            </w:r>
          </w:p>
        </w:tc>
      </w:tr>
      <w:tr>
        <w:trPr>
          <w:trHeight w:val="230"/>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(711,987)</w:t>
            </w:r>
          </w:p>
        </w:tc>
      </w:tr>
      <w:tr>
        <w:trPr>
          <w:trHeight w:val="230"/>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r>
      <w:tr>
        <w:trPr>
          <w:trHeight w:val="230"/>
        </w:trPr>
        <w:tc>
          <w:tcPr>
            <w:tcW w:w="97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Shares withheld for taxes</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106,477</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available for issuance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3,363,040</w:t>
            </w:r>
          </w:p>
        </w:tc>
      </w:tr>
      <w:tr>
        <w:trPr>
          <w:trHeight w:val="230"/>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shares authorized for issuance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r>
      <w:tr>
        <w:trPr>
          <w:trHeight w:val="229"/>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221,733</w:t>
            </w:r>
          </w:p>
        </w:tc>
      </w:tr>
      <w:tr>
        <w:trPr>
          <w:trHeight w:val="230"/>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(3,223,949)</w:t>
            </w:r>
          </w:p>
        </w:tc>
      </w:tr>
      <w:tr>
        <w:trPr>
          <w:trHeight w:val="230"/>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353,196</w:t>
            </w:r>
          </w:p>
        </w:tc>
      </w:tr>
      <w:tr>
        <w:trPr>
          <w:trHeight w:val="230"/>
        </w:trPr>
        <w:tc>
          <w:tcPr>
            <w:tcW w:w="97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Shares withheld for taxes</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291,266</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available for issuance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3,505,286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right="140" w:hanging="328"/>
        <w:spacing w:after="0" w:line="229" w:lineRule="auto"/>
        <w:tabs>
          <w:tab w:leader="none" w:pos="64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surrendered to satisfy withholding taxes owed are subsequently added back to the shares available for grant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about the time-based equity-classified stock options granted under the plan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1,227,625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(221,733)</w:t>
            </w: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1,005,892</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5.7 years</w:t>
            </w:r>
          </w:p>
        </w:tc>
        <w:tc>
          <w:tcPr>
            <w:tcW w:w="680" w:type="dxa"/>
            <w:vAlign w:val="bottom"/>
            <w:tcBorders>
              <w:bottom w:val="single" w:sz="8" w:color="CCEEFF"/>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998,392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5.7 years</w:t>
            </w:r>
          </w:p>
        </w:tc>
        <w:tc>
          <w:tcPr>
            <w:tcW w:w="68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in 2020 was $1.99. There were no options granted in 2022 or 2021. The intrinsic value of options exercised in 2021 was $0.2 million, there were no options exercised in 2022 or 2020. As of December 31, 2022, there was $11.7 thousand of unrecognized compensation costs related to stock options, which is expected to be recognized over a remaining weighted-average period of 1.6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the assumptions used to calculate the fair value of the stock options issued in 2020:</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73"/>
        </w:trPr>
        <w:tc>
          <w:tcPr>
            <w:tcW w:w="96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Equity-classified Restricted Stock Units</w:t>
            </w: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3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Below is a summary of the Company's equity-classified RSUs for the periods presented:</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18"/>
        </w:trPr>
        <w:tc>
          <w:tcPr>
            <w:tcW w:w="6620" w:type="dxa"/>
            <w:vAlign w:val="bottom"/>
          </w:tcPr>
          <w:p>
            <w:pPr>
              <w:spacing w:after="0"/>
              <w:rPr>
                <w:sz w:val="24"/>
                <w:szCs w:val="24"/>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Underlying Common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Weighted-average Grant Date</w:t>
            </w:r>
          </w:p>
        </w:tc>
      </w:tr>
      <w:tr>
        <w:trPr>
          <w:trHeight w:val="241"/>
        </w:trPr>
        <w:tc>
          <w:tcPr>
            <w:tcW w:w="662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Service-based vesting:</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January 1, 2020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6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2020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6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30"/>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6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9"/>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(353,196)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9"/>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2022</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2,582,400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Performance-based vesting:</w:t>
            </w: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2020</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30"/>
        </w:trPr>
        <w:tc>
          <w:tcPr>
            <w:tcW w:w="6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2020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6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6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(104,620)</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6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2022</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0"/>
        </w:trPr>
        <w:tc>
          <w:tcPr>
            <w:tcW w:w="66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right="20" w:hanging="328"/>
        <w:spacing w:after="0" w:line="229" w:lineRule="auto"/>
        <w:tabs>
          <w:tab w:leader="none" w:pos="64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228,347 shares with an estimated fair value of $1.1 million, 55,689 shares with an estimated fair value of $0.5 million and 212,768 shares with an estimated fair value of $0.4 million issued to non-employees in December 31, 2022, 2021 and 2020, respectively.</w:t>
      </w:r>
    </w:p>
    <w:p>
      <w:pPr>
        <w:ind w:left="660" w:right="200" w:hanging="328"/>
        <w:spacing w:after="0" w:line="229" w:lineRule="auto"/>
        <w:tabs>
          <w:tab w:leader="none" w:pos="64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only the portions of grants for which the performance goals have been determined and communicated to the grant recipient. Any grants for which the required performance goals have not been determined and communicated to the grant recipient are not considered to have been granted for accounting purposes.</w:t>
      </w:r>
    </w:p>
    <w:p>
      <w:pPr>
        <w:spacing w:after="0" w:line="22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of December 31, 2022, there was $13.1 million and $0.2 million of unrecognized compensation costs for equity-classified service-based RSUs and performance-based RSUs, respectively, which are expected to be recognized over a remaining weighted-average period of 2.5 years and 0.5 years, respectively. The total fair value of RSUs that vested in 2022, 2021 and 2020 was $0.9 million, $3.2 million and $1.3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Liability-classified Stock-based Arrangements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March 2020, the Company was authorized by the compensation committee of its Board of Directors to issue an RSU award to its Chairman and CEO if certain annual performance goals and achievement criteria were attained for 2020. The award was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accounted for as a liability-classified award. In March 2021, the performance goals and achievement criteria were met and the award was converted to an equity-classified award.</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2021, the Company committed to issue an additional liability-classified award with a target value of $0.9 million in 2022 to its Chairman and CEO if certain annual performance goals and achievement criteria were attained for 2021. The Company has accrued $0.3 million in compensation expense for this liability-classified award, which is included in salary and employee benefit expenses in the Company's Consolidated Statement of Operations for the year ended December 31, 2021. In the first quarter of 2022, the Company determined that the performance criteria was not met and this award was subsequently forfeited.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16, 2021, the 2021 Stock Purchase Plan was authorized by the Company's Board of Directors. The maximum number of shares available for purchase under the 2021 Stock Purchase Plan is 200,000 shares.The shares issued under the 2021 Stock Purchase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during the first quarter of 2022. The 2021 Stock Purchase Plan provides eligible employees the opportunity to purchase shares of the Company's Common Stock on a quarterly basis through payroll deductions at a price equal to 95% of the lesser of the fair value on the first and last trading day of each quarter. The compensation expense for the year ended December 31, 2022 was immaterial and is included in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sponsors a 401(k) defined contribution savings plan that covers substantially all of its eligible employees. Under the plan, the Company contributes safe-harbor matching contributions to eligible plan participants on an annual basis. The Company may also contribute additional discretionary amounts to plan participants. The Company's contributions to the plan were $1.7 million, $1.2 million and $1.3 million for the years ended December 31, 2022, 2021 and 2020, respectively.</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offers a comprehensive medical benefit plan to eligible employees. All obligations under the plan are fully insured through third-party insurance companies. Employees participating in the medical plan pay a portion of the costs for the insurance benefits.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PHOT Preferred Unit Redemption - Distribution to NCIs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2019, PHOT a subsidiary of the Company, received a contribution of substantially all of the operating assets of certain companies under an asset contribution agreement. In November 2020, the Company agreed with the contributors to an exchange of shares of Common Stock of the Company, or cash, for the remaining undistributed Total Preferred Equity Interests of $4.8 million.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connection with the Refinancing.</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May 2021, the Company entered into exchange agreements and completed the exchange of 1,428,358 shares of Common Stock and $0.8 million of cash for the Total Preferred Equity Interests. The CEO received 605,623 shares of Common Stock of the Company in exchange for his 35.3% interest, and the Company's Chief Operating Officer received 413,081 shares of Common Stock of the Company in exchange for her 24.1% interest. Subsequent to </w:t>
      </w:r>
      <w:r>
        <w:rPr>
          <w:rFonts w:ascii="Times New Roman" w:cs="Times New Roman" w:eastAsia="Times New Roman" w:hAnsi="Times New Roman"/>
          <w:sz w:val="18"/>
          <w:szCs w:val="18"/>
          <w:color w:val="231F20"/>
        </w:rPr>
        <w:t>e</w:t>
      </w:r>
      <w:r>
        <w:rPr>
          <w:rFonts w:ascii="Times New Roman" w:cs="Times New Roman" w:eastAsia="Times New Roman" w:hAnsi="Times New Roman"/>
          <w:sz w:val="18"/>
          <w:szCs w:val="18"/>
          <w:color w:val="000000"/>
        </w:rPr>
        <w:t>stablishing the Common Stock valuation in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November 2020 and the date of exchange in May 2021, the Company's Common Stock price appreciated to $7.75 per share. The Company's financial statements for the year ended December 31, 2021 reflect this exchange as a distribution to NCIs at an appreciated Common Stock value of $6.975 per share, which incorporates a 10% liquidity discount of $0.775 per share due to trading restrictions under Securities Rule 144. Therefore, the total distribution amounted to $10.8 million, comprised of $10.0 million of Common Stock and $0.8 million of cash. In addition, the Company recorded a $2.8 million tax benefit related to an increase in the tax basis associated with the share exchange, for a net impact to equity of $8.0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Lend and Warrant to Acquire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2019, the Company, through one if its wholly-owned subsidiaries, executed an interest-bearing loan and commitment agreement with another entity to loan the entity up to $10.0 million based on certain growth metrics of the entity and continued compliance by the entity with the terms and covenants of the agreement.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December 2021, the entity was sold to a third party. In connection with the sale, the Company's note receivable was fully repaid and the Company's warrants were cancelled in exchange for cash consideration. The Company recognized a gain of $7.6 million in its Consolidated Statements of Operations for the year ended December 31, 2021 related to this transaction.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to Affiliate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the Chairman and CEO, who is considered to be an affiliate of the Company, received an advance of incentive compensation of $1.2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December 31, 2022, the advance was satisfied in full.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Annual Commitments with Third-party Processors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December 31, 2022, the Company is committed to pay minimum processing fees under these agreements of approximately $15.7 million in 2023 and $17.0 million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Commitment with Vendor</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Effective January 1, 2022, the Company entered into a three year business cooperation agreement with a vendor to resell its services. Under the agreement, the Company purchased vendor services worth $0.7 million for the year ended December 31, 2022, and is committed to purchase vendor services worth $1.5 million in 2023 and $2.3 million in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Commitments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committed to capital contributions to fund the operations of certain subsidiaries totaling $22.0 million. The Company is obligated to make the contributions within 10 business days of receiving notice for such contribution from the subsidiary. As of December 31, 2022</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the Company contributed $6.9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5. Settlement Assets and Customer/Subscriber Account Balances and Related Obligations</w:t>
      </w:r>
      <w:r>
        <w:rPr>
          <w:rFonts w:ascii="Times New Roman" w:cs="Times New Roman" w:eastAsia="Times New Roman" w:hAnsi="Times New Roman"/>
          <w:sz w:val="18"/>
          <w:szCs w:val="18"/>
          <w:color w:val="auto"/>
        </w:rPr>
        <w:t>, for information about merchant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15, 2019, a subsidiary of the Company paid $15.2 million cash to acquire certain residual portfolio rights. This asset acquisition became part of the Company's SMB Payments reportable segment. The initial purchase price is subject to an increase of up to $6.4 million in accordance with the terms of the agreement between the Company and the sellers. As of December 31, 2021, the Company paid $4.0 million to the seller and the fair value of the contingent consideration was increased by $0.2 million. On April 14, 2022, the Company amended the purchase agreement related to its acquisition of certain residual portfolio rights to provide for an additional earnout opportunity to be earned during the 12 months ending March 31, 2023. As of December 31, 2022, the fair value of the contingent consideration was increased for $0.3 million and the Company paid $2.7 million. As of December 31, 2022, it is not probable the seller will meet criteria for any future earnout opportunities.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revenue is substantially derived from processing Visa and Mastercard bankcard transactions. Because the Company is not a member bank, in order to process these bankcard transactions, the Company maintains sponsorship agreements with member banks which require, among other things, that the Company abide by the by-laws and regulations of the card association.</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majority of the Company's cash and restricted cash is held in certain FIs, substantially all of which is in excess of federal deposit insurance corporation limits. The Company does not believe it is exposed to any significant credit risk from these transactions.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Contingent consideration liabilities related to certain of the Company's acquisition is uncertain due to the utilization of unobservable inputs and management's judgement in determining the likelihood of achieving the earn-out criteria or the years ended December 31, 2022 and 2021. These liabilities measured at fair value on a recurring basis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Fair Value Hierarchy</w:t>
            </w: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r>
      <w:tr>
        <w:trPr>
          <w:trHeight w:val="22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noncurrent portion</w:t>
            </w:r>
          </w:p>
        </w:tc>
        <w:tc>
          <w:tcPr>
            <w:tcW w:w="24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w:t>
            </w:r>
          </w:p>
        </w:tc>
      </w:tr>
      <w:tr>
        <w:trPr>
          <w:trHeight w:val="223"/>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contingent consideration</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there were no transfers into, out of, or between levels of the fair value hierarchy.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 of the Company's contingent consideration for the years ended December 31,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7"/>
                <w:szCs w:val="17"/>
                <w:color w:val="auto"/>
              </w:rPr>
            </w:pPr>
          </w:p>
        </w:tc>
        <w:tc>
          <w:tcPr>
            <w:tcW w:w="2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Contingent consideration related to the acquisitions</w:t>
            </w: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discount on contingent consideration</w:t>
            </w:r>
          </w:p>
        </w:tc>
        <w:tc>
          <w:tcPr>
            <w:tcW w:w="2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adjustments</w:t>
            </w:r>
          </w:p>
        </w:tc>
        <w:tc>
          <w:tcPr>
            <w:tcW w:w="2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30"/>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$4.7 million and $0.4 million at December 31, 2022 and December 31, 2021, respectively. On the fair value hierarchy, Level 3 inputs are used to estimate the fair value of these notes receivable.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Outstanding debt obligations (see </w:t>
      </w:r>
      <w:r>
        <w:rPr>
          <w:rFonts w:ascii="Times New Roman" w:cs="Times New Roman" w:eastAsia="Times New Roman" w:hAnsi="Times New Roman"/>
          <w:sz w:val="18"/>
          <w:szCs w:val="18"/>
          <w:u w:val="single" w:color="auto"/>
          <w:color w:val="0000FF"/>
        </w:rPr>
        <w:t>Note 11. Debt Obligations</w:t>
      </w:r>
      <w:r>
        <w:rPr>
          <w:rFonts w:ascii="Times New Roman" w:cs="Times New Roman" w:eastAsia="Times New Roman" w:hAnsi="Times New Roman"/>
          <w:sz w:val="18"/>
          <w:szCs w:val="18"/>
          <w:color w:val="auto"/>
        </w:rPr>
        <w:t>) are reflected in the Company's Consolidated Balance Sheets at carrying value since the Company did not elect to remeasure debt obligations to fair value at the end of each reporting period.</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fair value of the of the term loan facility was estimated to be approximately $606.1 million and $613.8 million at December 31, 2022 and 2021, respectively, and was estimated using binding and non-binding quoted market prices in an active secondary market, which considers the credit risk and market related conditions, and is within Level 2 of the fair value hierarchy.</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Prior to the fourth quarter of 2021, the Company's three reportable segments included the Consumer Payments segment, the Commercial Payments segment and the Integrated Partners segment. As a result of the Company's organic growth and recent acquisitions, a new internal reporting structure was implemented which resulted in changes to the Company's reportable segments. The three new reportable operating segments are SMB Payments, B2B Payments and Enterprise Payments. All comparative periods have been adjusted to reflect the new reportable segments. The Company does not have dedicated assets assigned to any particular reportable segment and such information is not available and continues to be aggregated.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information about our three reportable segments:</w:t>
      </w:r>
    </w:p>
    <w:p>
      <w:pPr>
        <w:spacing w:after="0" w:line="223" w:lineRule="exact"/>
        <w:rPr>
          <w:sz w:val="20"/>
          <w:szCs w:val="20"/>
          <w:color w:val="auto"/>
        </w:rPr>
      </w:pPr>
    </w:p>
    <w:p>
      <w:pPr>
        <w:ind w:left="660" w:right="300" w:hanging="328"/>
        <w:spacing w:after="0" w:line="284" w:lineRule="auto"/>
        <w:tabs>
          <w:tab w:leader="none" w:pos="65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SMB Payments</w:t>
      </w:r>
      <w:r>
        <w:rPr>
          <w:rFonts w:ascii="Times New Roman" w:cs="Times New Roman" w:eastAsia="Times New Roman" w:hAnsi="Times New Roman"/>
          <w:sz w:val="18"/>
          <w:szCs w:val="18"/>
          <w:color w:val="auto"/>
        </w:rPr>
        <w:t>: Provides full-service acquiring and payment-enabled solutions for B2C transactions, leveraging Priority's proprietary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distributed through ISO, direct sales and vertically focused ISV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right="140" w:hanging="328"/>
        <w:spacing w:after="0" w:line="284"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B2B Payments</w:t>
      </w:r>
      <w:r>
        <w:rPr>
          <w:rFonts w:ascii="Times New Roman" w:cs="Times New Roman" w:eastAsia="Times New Roman" w:hAnsi="Times New Roman"/>
          <w:sz w:val="18"/>
          <w:szCs w:val="18"/>
          <w:color w:val="auto"/>
        </w:rPr>
        <w:t>: Provides market-leading AP automation solutions to corporations, software partners and industry leading FIs (including Citibank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Mastercard).</w:t>
      </w:r>
    </w:p>
    <w:p>
      <w:pPr>
        <w:spacing w:after="0" w:line="158" w:lineRule="exact"/>
        <w:rPr>
          <w:rFonts w:ascii="Times New Roman" w:cs="Times New Roman" w:eastAsia="Times New Roman" w:hAnsi="Times New Roman"/>
          <w:sz w:val="18"/>
          <w:szCs w:val="18"/>
          <w:color w:val="auto"/>
        </w:rPr>
      </w:pPr>
    </w:p>
    <w:p>
      <w:pPr>
        <w:ind w:left="660" w:right="260" w:hanging="328"/>
        <w:spacing w:after="0" w:line="284"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 Payments</w:t>
      </w:r>
      <w:r>
        <w:rPr>
          <w:rFonts w:ascii="Times New Roman" w:cs="Times New Roman" w:eastAsia="Times New Roman" w:hAnsi="Times New Roman"/>
          <w:sz w:val="18"/>
          <w:szCs w:val="18"/>
          <w:color w:val="auto"/>
        </w:rPr>
        <w:t>: Provides embedded payment and treasury solutions to enterprise customers to modernize legacy platforms and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partners' strategies to monetize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includes costs of corporate functions and shared services not allocated to our reportable segments.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Information on reportable segments and reconciliations to consolidated revenues, consolidated depreciation and amortization, and consolidated operating income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9"/>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2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340" w:type="dxa"/>
            <w:vAlign w:val="bottom"/>
          </w:tcPr>
          <w:p>
            <w:pPr>
              <w:spacing w:after="0"/>
              <w:rPr>
                <w:sz w:val="19"/>
                <w:szCs w:val="19"/>
                <w:color w:val="auto"/>
              </w:rPr>
            </w:pP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475,630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370,521</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17,138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w:t>
            </w:r>
          </w:p>
        </w:tc>
      </w:tr>
      <w:tr>
        <w:trPr>
          <w:trHeight w:val="230"/>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22,133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12,899</w:t>
            </w: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663,641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514,901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404,342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340" w:type="dxa"/>
            <w:vAlign w:val="bottom"/>
          </w:tcPr>
          <w:p>
            <w:pPr>
              <w:spacing w:after="0"/>
              <w:rPr>
                <w:sz w:val="19"/>
                <w:szCs w:val="19"/>
                <w:color w:val="auto"/>
              </w:rPr>
            </w:pP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41,144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35,627</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3"/>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70,681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49,697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40,775</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52,884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37,897</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30"/>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(26,689)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(19,858)</w:t>
            </w: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33,093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20,861</w:t>
            </w:r>
          </w:p>
        </w:tc>
      </w:tr>
      <w:tr>
        <w:trPr>
          <w:trHeight w:val="20"/>
        </w:trPr>
        <w:tc>
          <w:tcPr>
            <w:tcW w:w="746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3"/>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 reconciliation of total operating income of reportable segments to the Company's net (loss) income is provided in the following table:</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9"/>
              </w:rPr>
              <w:t>2020</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 of reportable segments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40,719</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(19,858)</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(44,839)</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modification and extinguishment costs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107,239</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5,258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1,389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71,059</w:t>
            </w: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Earnings per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earnings (loss) per common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2020</w:t>
            </w:r>
          </w:p>
        </w:tc>
      </w:tr>
      <w:tr>
        <w:trPr>
          <w:trHeight w:val="20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71,059</w:t>
            </w:r>
          </w:p>
        </w:tc>
      </w:tr>
      <w:tr>
        <w:trPr>
          <w:trHeight w:val="22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Dividends and accretion attributable to redeemable senior preferred stockholders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NCI preferred unit redemptions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Earnings attributable to NCI</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(45,398)</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(39,030)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(24,641)</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25,661</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6"/>
        </w:trPr>
        <w:tc>
          <w:tcPr>
            <w:tcW w:w="7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77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Weighted-average common shares outstanding</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67,158</w:t>
            </w:r>
          </w:p>
        </w:tc>
      </w:tr>
      <w:tr>
        <w:trPr>
          <w:trHeight w:val="22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Weighted-average common shares outstanding</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67,158</w:t>
            </w:r>
          </w:p>
        </w:tc>
      </w:tr>
      <w:tr>
        <w:trPr>
          <w:trHeight w:val="23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potentially dilutive common stock equivalents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67,263</w:t>
            </w: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earnings per common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r>
    </w:tbl>
    <w:p>
      <w:pPr>
        <w:spacing w:after="0" w:line="292" w:lineRule="exact"/>
        <w:rPr>
          <w:sz w:val="20"/>
          <w:szCs w:val="20"/>
          <w:color w:val="auto"/>
        </w:rPr>
      </w:pPr>
    </w:p>
    <w:p>
      <w:pPr>
        <w:ind w:left="660" w:right="920" w:hanging="328"/>
        <w:spacing w:after="0" w:line="204" w:lineRule="auto"/>
        <w:tabs>
          <w:tab w:leader="none" w:pos="656" w:val="left"/>
        </w:tabs>
        <w:numPr>
          <w:ilvl w:val="0"/>
          <w:numId w:val="38"/>
        </w:numPr>
        <w:rPr>
          <w:rFonts w:ascii="Arial" w:cs="Arial" w:eastAsia="Arial" w:hAnsi="Arial"/>
          <w:sz w:val="28"/>
          <w:szCs w:val="28"/>
          <w:color w:val="auto"/>
          <w:vertAlign w:val="superscript"/>
        </w:rPr>
      </w:pPr>
      <w:r>
        <w:rPr>
          <w:rFonts w:ascii="Times New Roman" w:cs="Times New Roman" w:eastAsia="Times New Roman" w:hAnsi="Times New Roman"/>
          <w:sz w:val="18"/>
          <w:szCs w:val="18"/>
          <w:color w:val="auto"/>
        </w:rPr>
        <w:t xml:space="preserve">The weighted-average common shares outstanding includes 1,803,841 warrants issued in the second quarter of 2021 (refer to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Redeemable Senior Preferred Stock and Warrants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w:t>
      </w:r>
    </w:p>
    <w:p>
      <w:pPr>
        <w:spacing w:after="0" w:line="198"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color w:val="auto"/>
        </w:rPr>
        <w:t>Potentially anti-dilutive securities that were excluded from (loss) earnings per common share that could potentially be dilutive in future periods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72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Common Stock Equivalents at December 31,</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Outstanding warrants on common stock</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30"/>
        </w:trPr>
        <w:tc>
          <w:tcPr>
            <w:tcW w:w="6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Outstanding options and warrants issued to adviser</w:t>
            </w:r>
            <w:r>
              <w:rPr>
                <w:rFonts w:ascii="Times New Roman" w:cs="Times New Roman" w:eastAsia="Times New Roman" w:hAnsi="Times New Roman"/>
                <w:sz w:val="23"/>
                <w:szCs w:val="23"/>
                <w:color w:val="auto"/>
                <w:vertAlign w:val="superscript"/>
              </w:rPr>
              <w:t>(2)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stock awards</w:t>
            </w:r>
            <w:r>
              <w:rPr>
                <w:rFonts w:ascii="Times New Roman" w:cs="Times New Roman" w:eastAsia="Times New Roman" w:hAnsi="Times New Roman"/>
                <w:sz w:val="23"/>
                <w:szCs w:val="23"/>
                <w:color w:val="auto"/>
                <w:vertAlign w:val="superscript"/>
              </w:rPr>
              <w:t>(3)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Liability-classified restricted stock units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Outstanding stock option awards</w:t>
            </w:r>
            <w:r>
              <w:rPr>
                <w:rFonts w:ascii="Times New Roman" w:cs="Times New Roman" w:eastAsia="Times New Roman" w:hAnsi="Times New Roman"/>
                <w:sz w:val="23"/>
                <w:szCs w:val="23"/>
                <w:color w:val="auto"/>
                <w:vertAlign w:val="superscript"/>
              </w:rPr>
              <w:t>(3)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23"/>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7,694</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6,049</w:t>
            </w:r>
          </w:p>
        </w:tc>
      </w:tr>
      <w:tr>
        <w:trPr>
          <w:trHeight w:val="21"/>
        </w:trPr>
        <w:tc>
          <w:tcPr>
            <w:tcW w:w="6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warrants are exercisable at $11.50 per share and expire on August 24, 2023. Refer to </w:t>
      </w:r>
      <w:r>
        <w:rPr>
          <w:rFonts w:ascii="Times New Roman" w:cs="Times New Roman" w:eastAsia="Times New Roman" w:hAnsi="Times New Roman"/>
          <w:sz w:val="18"/>
          <w:szCs w:val="18"/>
          <w:u w:val="single" w:color="auto"/>
          <w:color w:val="0000FF"/>
        </w:rPr>
        <w:t>Note 14. Stockholders' Deficit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warrants and options are exercisable at $12.00 per share and expire on August 24, 2023. Refer </w:t>
      </w:r>
      <w:r>
        <w:rPr>
          <w:rFonts w:ascii="Times New Roman" w:cs="Times New Roman" w:eastAsia="Times New Roman" w:hAnsi="Times New Roman"/>
          <w:sz w:val="18"/>
          <w:szCs w:val="18"/>
          <w:u w:val="single" w:color="auto"/>
          <w:color w:val="0000FF"/>
        </w:rPr>
        <w:t>Note 14. Stockholders' Deficit</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Granted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83"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the CEO and CFO, has evaluated the effectiveness of the Company's disclosure controls and procedures as of December 31, 2022. Based on that evaluation, the Company's CEO and CFO concluded that the Company's disclosure controls and procedures were effective as of December 31, 2022.</w:t>
      </w:r>
    </w:p>
    <w:p>
      <w:pPr>
        <w:spacing w:after="0" w:line="176" w:lineRule="exact"/>
        <w:rPr>
          <w:sz w:val="20"/>
          <w:szCs w:val="20"/>
          <w:color w:val="auto"/>
        </w:rPr>
      </w:pPr>
    </w:p>
    <w:p>
      <w:pPr>
        <w:ind w:left="700" w:hanging="692"/>
        <w:spacing w:after="0"/>
        <w:tabs>
          <w:tab w:leader="none" w:pos="70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Report of Management on Internal Control over Financial Reporting</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w:t>
      </w:r>
    </w:p>
    <w:p>
      <w:pPr>
        <w:spacing w:after="0" w:line="180" w:lineRule="exact"/>
        <w:rPr>
          <w:sz w:val="20"/>
          <w:szCs w:val="20"/>
          <w:color w:val="auto"/>
        </w:rPr>
      </w:pPr>
    </w:p>
    <w:p>
      <w:pPr>
        <w:ind w:left="220" w:hanging="212"/>
        <w:spacing w:after="0"/>
        <w:tabs>
          <w:tab w:leader="none" w:pos="2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maintenance of records that, in reasonable detail, accurately and fairly reflect the transactions and disposition of the Company's assets;</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made only in accordance with authorizations of the Company's management and directors; and</w:t>
      </w:r>
    </w:p>
    <w:p>
      <w:pPr>
        <w:spacing w:after="0" w:line="161" w:lineRule="exact"/>
        <w:rPr>
          <w:rFonts w:ascii="Times New Roman" w:cs="Times New Roman" w:eastAsia="Times New Roman" w:hAnsi="Times New Roman"/>
          <w:sz w:val="18"/>
          <w:szCs w:val="18"/>
          <w:color w:val="auto"/>
        </w:rPr>
      </w:pPr>
    </w:p>
    <w:p>
      <w:pPr>
        <w:ind w:right="360" w:firstLine="8"/>
        <w:spacing w:after="0" w:line="282"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2022. In making this assessment, management used the criteria set forth by the Committee of Sponsoring Organizations of the Treadway Commission (COSO) the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this assessment, management determined that the Company maintained effective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as of December 31, 2022.</w:t>
      </w:r>
    </w:p>
    <w:p>
      <w:pPr>
        <w:spacing w:after="0" w:line="180" w:lineRule="exact"/>
        <w:rPr>
          <w:sz w:val="20"/>
          <w:szCs w:val="20"/>
          <w:color w:val="auto"/>
        </w:rPr>
      </w:pPr>
    </w:p>
    <w:p>
      <w:pPr>
        <w:ind w:right="5500" w:firstLine="8"/>
        <w:spacing w:after="0" w:line="532" w:lineRule="auto"/>
        <w:tabs>
          <w:tab w:leader="none" w:pos="6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Attestation Report of Independent Registered Public Accounting Firm Not applicable due to the Company's status as a non-accelerated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2022, the Company implemented new general ledger, accounts payable, consolidation and financial reporting systems. The implementation involved changes to certain processes and related internal controls over financial reporting. The Company has reviewed the system and controls affected and has made the appropriate changes as necessary.</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other changes in the Company's internal control over financial reporting during the year ended December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called for by Item 10 is incorporated herein by reference to the definitive proxy statement relating to the Company's 2023 Annual Meeting of Stockholders. We intend to file such definitive proxy statement with the SEC pursuant to Regulation 14A within 120 days of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11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12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13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ind w:right="40" w:firstLine="8"/>
        <w:spacing w:after="0" w:line="273" w:lineRule="auto"/>
        <w:tabs>
          <w:tab w:leader="none" w:pos="2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Our consolidated financial statements listed below are set forth in "</w:t>
      </w:r>
      <w:r>
        <w:rPr>
          <w:rFonts w:ascii="Times New Roman" w:cs="Times New Roman" w:eastAsia="Times New Roman" w:hAnsi="Times New Roman"/>
          <w:sz w:val="18"/>
          <w:szCs w:val="18"/>
          <w:u w:val="single" w:color="auto"/>
          <w:color w:val="0000FF"/>
        </w:rPr>
        <w:t>Item 8 - Financial Statements and Supplementary Data</w:t>
      </w:r>
      <w:r>
        <w:rPr>
          <w:rFonts w:ascii="Times New Roman" w:cs="Times New Roman" w:eastAsia="Times New Roman" w:hAnsi="Times New Roman"/>
          <w:sz w:val="18"/>
          <w:szCs w:val="18"/>
          <w:color w:val="auto"/>
        </w:rPr>
        <w:t>" of this Annual Report on Form 10-K: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353"/>
        </w:trPr>
        <w:tc>
          <w:tcPr>
            <w:tcW w:w="10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w:t>
            </w:r>
            <w:r>
              <w:rPr>
                <w:rFonts w:ascii="Times New Roman" w:cs="Times New Roman" w:eastAsia="Times New Roman" w:hAnsi="Times New Roman"/>
                <w:sz w:val="18"/>
                <w:szCs w:val="18"/>
                <w:color w:val="000000"/>
              </w:rPr>
              <w:t>EY</w:t>
            </w:r>
            <w:r>
              <w:rPr>
                <w:rFonts w:ascii="Times New Roman" w:cs="Times New Roman" w:eastAsia="Times New Roman" w:hAnsi="Times New Roman"/>
                <w:sz w:val="18"/>
                <w:szCs w:val="18"/>
                <w:color w:val="0000FF"/>
              </w:rPr>
              <w:t xml:space="preserve"> PCAOB ID: </w:t>
            </w:r>
            <w:r>
              <w:rPr>
                <w:rFonts w:ascii="Times New Roman" w:cs="Times New Roman" w:eastAsia="Times New Roman" w:hAnsi="Times New Roman"/>
                <w:sz w:val="18"/>
                <w:szCs w:val="18"/>
                <w:color w:val="000000"/>
              </w:rPr>
              <w:t>42</w:t>
            </w:r>
            <w:r>
              <w:rPr>
                <w:rFonts w:ascii="Times New Roman" w:cs="Times New Roman" w:eastAsia="Times New Roman" w:hAnsi="Times New Roman"/>
                <w:sz w:val="18"/>
                <w:szCs w:val="18"/>
                <w:color w:val="0000FF"/>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30"/>
        </w:trPr>
        <w:tc>
          <w:tcPr>
            <w:tcW w:w="10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December 31, 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29"/>
        </w:trPr>
        <w:tc>
          <w:tcPr>
            <w:tcW w:w="10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29"/>
        </w:trPr>
        <w:tc>
          <w:tcPr>
            <w:tcW w:w="10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Stockholders' Deficit for the Years Ended December 31, 2022, 2021 and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194"/>
        </w:trPr>
        <w:tc>
          <w:tcPr>
            <w:tcW w:w="1052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44</w:t>
            </w:r>
          </w:p>
        </w:tc>
      </w:tr>
      <w:tr>
        <w:trPr>
          <w:trHeight w:val="250"/>
        </w:trPr>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80" w:type="dxa"/>
            <w:vAlign w:val="bottom"/>
            <w:tcBorders>
              <w:top w:val="single" w:sz="8" w:color="0000FF"/>
            </w:tcBorders>
          </w:tcPr>
          <w:p>
            <w:pPr>
              <w:spacing w:after="0"/>
              <w:rPr>
                <w:sz w:val="21"/>
                <w:szCs w:val="21"/>
                <w:color w:val="auto"/>
              </w:rPr>
            </w:pPr>
          </w:p>
        </w:tc>
        <w:tc>
          <w:tcPr>
            <w:tcW w:w="35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r>
      <w:tr>
        <w:trPr>
          <w:trHeight w:val="743"/>
        </w:trPr>
        <w:tc>
          <w:tcPr>
            <w:tcW w:w="10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 Financial Statement Schedule</w:t>
            </w:r>
          </w:p>
        </w:tc>
        <w:tc>
          <w:tcPr>
            <w:tcW w:w="720" w:type="dxa"/>
            <w:vAlign w:val="bottom"/>
          </w:tcPr>
          <w:p>
            <w:pPr>
              <w:spacing w:after="0"/>
              <w:rPr>
                <w:sz w:val="24"/>
                <w:szCs w:val="24"/>
                <w:color w:val="auto"/>
              </w:rPr>
            </w:pPr>
          </w:p>
        </w:tc>
      </w:tr>
      <w:tr>
        <w:trPr>
          <w:trHeight w:val="432"/>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5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Exhibits</w:t>
            </w:r>
          </w:p>
        </w:tc>
        <w:tc>
          <w:tcPr>
            <w:tcW w:w="5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7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tcPr>
          <w:p>
            <w:pPr>
              <w:spacing w:after="0"/>
              <w:rPr>
                <w:sz w:val="24"/>
                <w:szCs w:val="24"/>
                <w:color w:val="auto"/>
              </w:rPr>
            </w:pPr>
          </w:p>
        </w:tc>
      </w:tr>
      <w:tr>
        <w:trPr>
          <w:trHeight w:val="169"/>
        </w:trPr>
        <w:tc>
          <w:tcPr>
            <w:tcW w:w="1100" w:type="dxa"/>
            <w:vAlign w:val="bottom"/>
            <w:tcBorders>
              <w:top w:val="single" w:sz="8" w:color="auto"/>
            </w:tcBorders>
            <w:shd w:val="clear" w:color="auto" w:fill="CCEEFF"/>
          </w:tcPr>
          <w:p>
            <w:pPr>
              <w:ind w:left="20"/>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2.1</w:t>
              </w:r>
            </w:hyperlink>
          </w:p>
        </w:tc>
        <w:tc>
          <w:tcPr>
            <w:tcW w:w="10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auto"/>
            </w:tcBorders>
            <w:gridSpan w:val="4"/>
            <w:shd w:val="clear" w:color="auto" w:fill="CCEEFF"/>
          </w:tcPr>
          <w:p>
            <w:pPr>
              <w:ind w:left="20"/>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Second Amended and Restated Contribution Agreement, dated as of April 17, 2018, by and among Priority Investment Holdings, Priority</w:t>
              </w:r>
            </w:hyperlink>
          </w:p>
        </w:tc>
      </w:tr>
      <w:tr>
        <w:trPr>
          <w:trHeight w:val="175"/>
        </w:trPr>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40" w:type="dxa"/>
            <w:vAlign w:val="bottom"/>
            <w:gridSpan w:val="4"/>
            <w:shd w:val="clear" w:color="auto" w:fill="CCEEFF"/>
          </w:tcPr>
          <w:p>
            <w:pPr>
              <w:ind w:left="20"/>
              <w:spacing w:after="0" w:line="17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Incentive Equity Holdings, LLC and M I Acquisitions, Inc. (incorporated by reference to Annex A to the Company's Proxy Statement on</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gridSpan w:val="3"/>
            <w:shd w:val="clear" w:color="auto" w:fill="CCEEFF"/>
          </w:tcPr>
          <w:p>
            <w:pPr>
              <w:ind w:left="2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Schedule 14(a), filed July 5, 2018).</w:t>
              </w:r>
            </w:hyperlink>
          </w:p>
        </w:tc>
        <w:tc>
          <w:tcPr>
            <w:tcW w:w="720" w:type="dxa"/>
            <w:vAlign w:val="bottom"/>
            <w:shd w:val="clear" w:color="auto" w:fill="CCEEFF"/>
          </w:tcPr>
          <w:p>
            <w:pPr>
              <w:spacing w:after="0"/>
              <w:rPr>
                <w:sz w:val="21"/>
                <w:szCs w:val="21"/>
                <w:color w:val="auto"/>
              </w:rPr>
            </w:pPr>
          </w:p>
        </w:tc>
      </w:tr>
      <w:tr>
        <w:trPr>
          <w:trHeight w:val="175"/>
        </w:trPr>
        <w:tc>
          <w:tcPr>
            <w:tcW w:w="1200" w:type="dxa"/>
            <w:vAlign w:val="bottom"/>
            <w:gridSpan w:val="2"/>
          </w:tcPr>
          <w:p>
            <w:pPr>
              <w:ind w:left="20"/>
              <w:spacing w:after="0" w:line="175"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 xml:space="preserve">2.2 </w:t>
              </w:r>
            </w:hyperlink>
            <w:r>
              <w:rPr>
                <w:rFonts w:ascii="Arial" w:cs="Arial" w:eastAsia="Arial" w:hAnsi="Arial"/>
                <w:sz w:val="18"/>
                <w:szCs w:val="18"/>
                <w:color w:val="000000"/>
              </w:rPr>
              <w:t>†</w:t>
            </w:r>
          </w:p>
        </w:tc>
        <w:tc>
          <w:tcPr>
            <w:tcW w:w="10040" w:type="dxa"/>
            <w:vAlign w:val="bottom"/>
            <w:gridSpan w:val="4"/>
          </w:tcPr>
          <w:p>
            <w:pPr>
              <w:ind w:left="20"/>
              <w:spacing w:after="0" w:line="17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Agreement and Plan of Merger, dated as of March 5, 2021, by and among the Company, Finxera, Merger Sub, and the Equityholder</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gridSpan w:val="3"/>
          </w:tcPr>
          <w:p>
            <w:pPr>
              <w:ind w:lef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Representative.</w:t>
              </w:r>
            </w:hyperlink>
          </w:p>
        </w:tc>
        <w:tc>
          <w:tcPr>
            <w:tcW w:w="720" w:type="dxa"/>
            <w:vAlign w:val="bottom"/>
          </w:tcPr>
          <w:p>
            <w:pPr>
              <w:spacing w:after="0"/>
              <w:rPr>
                <w:sz w:val="20"/>
                <w:szCs w:val="20"/>
                <w:color w:val="auto"/>
              </w:rPr>
            </w:pPr>
          </w:p>
        </w:tc>
      </w:tr>
      <w:tr>
        <w:trPr>
          <w:trHeight w:val="234"/>
        </w:trPr>
        <w:tc>
          <w:tcPr>
            <w:tcW w:w="110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2.3</w:t>
              </w:r>
            </w:hyperlink>
          </w:p>
        </w:tc>
        <w:tc>
          <w:tcPr>
            <w:tcW w:w="100" w:type="dxa"/>
            <w:vAlign w:val="bottom"/>
            <w:shd w:val="clear" w:color="auto" w:fill="CCEEFF"/>
          </w:tcPr>
          <w:p>
            <w:pPr>
              <w:spacing w:after="0"/>
              <w:rPr>
                <w:sz w:val="20"/>
                <w:szCs w:val="20"/>
                <w:color w:val="auto"/>
              </w:rPr>
            </w:pPr>
          </w:p>
        </w:tc>
        <w:tc>
          <w:tcPr>
            <w:tcW w:w="10040" w:type="dxa"/>
            <w:vAlign w:val="bottom"/>
            <w:gridSpan w:val="4"/>
            <w:shd w:val="clear" w:color="auto" w:fill="CCEEFF"/>
          </w:tcPr>
          <w:p>
            <w:pPr>
              <w:ind w:left="20"/>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Certificate of Amendment to the Certificate of Incorporation of Priority Technology Holdings dated April 16, 2021, filed April 29, 2021</w:t>
              </w:r>
            </w:hyperlink>
          </w:p>
        </w:tc>
      </w:tr>
      <w:tr>
        <w:trPr>
          <w:trHeight w:val="175"/>
        </w:trPr>
        <w:tc>
          <w:tcPr>
            <w:tcW w:w="1100" w:type="dxa"/>
            <w:vAlign w:val="bottom"/>
          </w:tcPr>
          <w:p>
            <w:pPr>
              <w:ind w:left="20"/>
              <w:spacing w:after="0" w:line="17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2.4</w:t>
              </w:r>
            </w:hyperlink>
          </w:p>
        </w:tc>
        <w:tc>
          <w:tcPr>
            <w:tcW w:w="100" w:type="dxa"/>
            <w:vAlign w:val="bottom"/>
          </w:tcPr>
          <w:p>
            <w:pPr>
              <w:spacing w:after="0"/>
              <w:rPr>
                <w:sz w:val="15"/>
                <w:szCs w:val="15"/>
                <w:color w:val="auto"/>
              </w:rPr>
            </w:pPr>
          </w:p>
        </w:tc>
        <w:tc>
          <w:tcPr>
            <w:tcW w:w="10040" w:type="dxa"/>
            <w:vAlign w:val="bottom"/>
            <w:gridSpan w:val="4"/>
          </w:tcPr>
          <w:p>
            <w:pPr>
              <w:ind w:left="20"/>
              <w:spacing w:after="0" w:line="17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Agreement and Plan of Merger by and among the Company, Finxera Holdings, Inc., Prime Warrior Acquisition Corp., and Stone Point</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gridSpan w:val="3"/>
          </w:tcPr>
          <w:p>
            <w:pPr>
              <w:ind w:left="2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Capital LLC.</w:t>
              </w:r>
            </w:hyperlink>
          </w:p>
        </w:tc>
        <w:tc>
          <w:tcPr>
            <w:tcW w:w="720" w:type="dxa"/>
            <w:vAlign w:val="bottom"/>
          </w:tcPr>
          <w:p>
            <w:pPr>
              <w:spacing w:after="0"/>
              <w:rPr>
                <w:sz w:val="20"/>
                <w:szCs w:val="20"/>
                <w:color w:val="auto"/>
              </w:rPr>
            </w:pPr>
          </w:p>
        </w:tc>
      </w:tr>
      <w:tr>
        <w:trPr>
          <w:trHeight w:val="180"/>
        </w:trPr>
        <w:tc>
          <w:tcPr>
            <w:tcW w:w="110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3.1</w:t>
              </w:r>
            </w:hyperlink>
          </w:p>
        </w:tc>
        <w:tc>
          <w:tcPr>
            <w:tcW w:w="100" w:type="dxa"/>
            <w:vAlign w:val="bottom"/>
            <w:shd w:val="clear" w:color="auto" w:fill="CCEEFF"/>
          </w:tcPr>
          <w:p>
            <w:pPr>
              <w:spacing w:after="0"/>
              <w:rPr>
                <w:sz w:val="15"/>
                <w:szCs w:val="15"/>
                <w:color w:val="auto"/>
              </w:rPr>
            </w:pPr>
          </w:p>
        </w:tc>
        <w:tc>
          <w:tcPr>
            <w:tcW w:w="10040" w:type="dxa"/>
            <w:vAlign w:val="bottom"/>
            <w:gridSpan w:val="4"/>
            <w:shd w:val="clear" w:color="auto" w:fill="CCEEFF"/>
          </w:tcPr>
          <w:p>
            <w:pPr>
              <w:ind w:left="20"/>
              <w:spacing w:after="0" w:line="180"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Second Amended and Restated Certificate of Incorporation of Priority Technology Holdings, Inc. (incorporated by reference to Exhibit 3.1</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gridSpan w:val="3"/>
            <w:shd w:val="clear" w:color="auto" w:fill="CCEEFF"/>
          </w:tcPr>
          <w:p>
            <w:pPr>
              <w:ind w:left="20"/>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to the Company's Current Report on Form 8-K, filed July 31, 2018).</w:t>
              </w:r>
            </w:hyperlink>
          </w:p>
        </w:tc>
        <w:tc>
          <w:tcPr>
            <w:tcW w:w="720" w:type="dxa"/>
            <w:vAlign w:val="bottom"/>
            <w:shd w:val="clear" w:color="auto" w:fill="CCEEFF"/>
          </w:tcPr>
          <w:p>
            <w:pPr>
              <w:spacing w:after="0"/>
              <w:rPr>
                <w:sz w:val="21"/>
                <w:szCs w:val="21"/>
                <w:color w:val="auto"/>
              </w:rPr>
            </w:pPr>
          </w:p>
        </w:tc>
      </w:tr>
      <w:tr>
        <w:trPr>
          <w:trHeight w:val="175"/>
        </w:trPr>
        <w:tc>
          <w:tcPr>
            <w:tcW w:w="1100" w:type="dxa"/>
            <w:vAlign w:val="bottom"/>
          </w:tcPr>
          <w:p>
            <w:pPr>
              <w:ind w:left="20"/>
              <w:spacing w:after="0" w:line="17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3.2</w:t>
              </w:r>
            </w:hyperlink>
          </w:p>
        </w:tc>
        <w:tc>
          <w:tcPr>
            <w:tcW w:w="100" w:type="dxa"/>
            <w:vAlign w:val="bottom"/>
          </w:tcPr>
          <w:p>
            <w:pPr>
              <w:spacing w:after="0"/>
              <w:rPr>
                <w:sz w:val="15"/>
                <w:szCs w:val="15"/>
                <w:color w:val="auto"/>
              </w:rPr>
            </w:pPr>
          </w:p>
        </w:tc>
        <w:tc>
          <w:tcPr>
            <w:tcW w:w="10040" w:type="dxa"/>
            <w:vAlign w:val="bottom"/>
            <w:gridSpan w:val="4"/>
          </w:tcPr>
          <w:p>
            <w:pPr>
              <w:ind w:left="20"/>
              <w:spacing w:after="0" w:line="17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Amended and Restated Bylaws of Priority Technology Holdings, Inc. (incorporated by reference to Exhibit 3.2 to the Company's Current</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gridSpan w:val="3"/>
          </w:tcPr>
          <w:p>
            <w:pPr>
              <w:ind w:left="20"/>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Report on Form 8-K, filed July 31, 2018).</w:t>
              </w:r>
            </w:hyperlink>
          </w:p>
        </w:tc>
        <w:tc>
          <w:tcPr>
            <w:tcW w:w="720" w:type="dxa"/>
            <w:vAlign w:val="bottom"/>
          </w:tcPr>
          <w:p>
            <w:pPr>
              <w:spacing w:after="0"/>
              <w:rPr>
                <w:sz w:val="20"/>
                <w:szCs w:val="20"/>
                <w:color w:val="auto"/>
              </w:rPr>
            </w:pPr>
          </w:p>
        </w:tc>
      </w:tr>
      <w:tr>
        <w:trPr>
          <w:trHeight w:val="234"/>
        </w:trPr>
        <w:tc>
          <w:tcPr>
            <w:tcW w:w="110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3.3</w:t>
              </w:r>
            </w:hyperlink>
          </w:p>
        </w:tc>
        <w:tc>
          <w:tcPr>
            <w:tcW w:w="100" w:type="dxa"/>
            <w:vAlign w:val="bottom"/>
            <w:shd w:val="clear" w:color="auto" w:fill="CCEEFF"/>
          </w:tcPr>
          <w:p>
            <w:pPr>
              <w:spacing w:after="0"/>
              <w:rPr>
                <w:sz w:val="20"/>
                <w:szCs w:val="20"/>
                <w:color w:val="auto"/>
              </w:rPr>
            </w:pPr>
          </w:p>
        </w:tc>
        <w:tc>
          <w:tcPr>
            <w:tcW w:w="9320" w:type="dxa"/>
            <w:vAlign w:val="bottom"/>
            <w:gridSpan w:val="3"/>
            <w:shd w:val="clear" w:color="auto" w:fill="CCEEFF"/>
          </w:tcPr>
          <w:p>
            <w:pPr>
              <w:ind w:left="20"/>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Certificate of Designations of Senior Preferred Stock</w:t>
              </w:r>
            </w:hyperlink>
          </w:p>
        </w:tc>
        <w:tc>
          <w:tcPr>
            <w:tcW w:w="720" w:type="dxa"/>
            <w:vAlign w:val="bottom"/>
            <w:shd w:val="clear" w:color="auto" w:fill="CCEEFF"/>
          </w:tcPr>
          <w:p>
            <w:pPr>
              <w:spacing w:after="0"/>
              <w:rPr>
                <w:sz w:val="20"/>
                <w:szCs w:val="20"/>
                <w:color w:val="auto"/>
              </w:rPr>
            </w:pPr>
          </w:p>
        </w:tc>
      </w:tr>
      <w:tr>
        <w:trPr>
          <w:trHeight w:val="230"/>
        </w:trPr>
        <w:tc>
          <w:tcPr>
            <w:tcW w:w="1100" w:type="dxa"/>
            <w:vAlign w:val="bottom"/>
          </w:tcPr>
          <w:p>
            <w:pPr>
              <w:ind w:left="20"/>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4.1</w:t>
              </w:r>
            </w:hyperlink>
          </w:p>
        </w:tc>
        <w:tc>
          <w:tcPr>
            <w:tcW w:w="100" w:type="dxa"/>
            <w:vAlign w:val="bottom"/>
          </w:tcPr>
          <w:p>
            <w:pPr>
              <w:spacing w:after="0"/>
              <w:rPr>
                <w:sz w:val="19"/>
                <w:szCs w:val="19"/>
                <w:color w:val="auto"/>
              </w:rPr>
            </w:pPr>
          </w:p>
        </w:tc>
        <w:tc>
          <w:tcPr>
            <w:tcW w:w="10040" w:type="dxa"/>
            <w:vAlign w:val="bottom"/>
            <w:gridSpan w:val="4"/>
          </w:tcPr>
          <w:p>
            <w:pPr>
              <w:ind w:left="20"/>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Specimen Unit Certificate (incorporated by reference to Exhibit 4.1 to the Registration Statement on Form S-1, filed July 26, 2016</w:t>
              </w:r>
            </w:hyperlink>
            <w:r>
              <w:rPr>
                <w:rFonts w:ascii="Times New Roman" w:cs="Times New Roman" w:eastAsia="Times New Roman" w:hAnsi="Times New Roman"/>
                <w:sz w:val="18"/>
                <w:szCs w:val="18"/>
                <w:color w:val="000000"/>
              </w:rPr>
              <w:t>).</w:t>
            </w:r>
          </w:p>
        </w:tc>
      </w:tr>
      <w:tr>
        <w:trPr>
          <w:trHeight w:val="175"/>
        </w:trPr>
        <w:tc>
          <w:tcPr>
            <w:tcW w:w="110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4.2</w:t>
              </w:r>
            </w:hyperlink>
          </w:p>
        </w:tc>
        <w:tc>
          <w:tcPr>
            <w:tcW w:w="100" w:type="dxa"/>
            <w:vAlign w:val="bottom"/>
            <w:shd w:val="clear" w:color="auto" w:fill="CCEEFF"/>
          </w:tcPr>
          <w:p>
            <w:pPr>
              <w:spacing w:after="0"/>
              <w:rPr>
                <w:sz w:val="15"/>
                <w:szCs w:val="15"/>
                <w:color w:val="auto"/>
              </w:rPr>
            </w:pPr>
          </w:p>
        </w:tc>
        <w:tc>
          <w:tcPr>
            <w:tcW w:w="10040" w:type="dxa"/>
            <w:vAlign w:val="bottom"/>
            <w:gridSpan w:val="4"/>
            <w:shd w:val="clear" w:color="auto" w:fill="CCEEFF"/>
          </w:tcPr>
          <w:p>
            <w:pPr>
              <w:ind w:left="20"/>
              <w:spacing w:after="0" w:line="17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Specimen Common Stock Certificate (incorporated by reference to Exhibit 4.2 to the Registration Statement on Form S-1, filed July 26,</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70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2016).</w:t>
              </w:r>
            </w:hyperlink>
          </w:p>
        </w:tc>
        <w:tc>
          <w:tcPr>
            <w:tcW w:w="80" w:type="dxa"/>
            <w:vAlign w:val="bottom"/>
            <w:shd w:val="clear" w:color="auto" w:fill="CCEEFF"/>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30"/>
        </w:trPr>
        <w:tc>
          <w:tcPr>
            <w:tcW w:w="1100" w:type="dxa"/>
            <w:vAlign w:val="bottom"/>
          </w:tcPr>
          <w:p>
            <w:pPr>
              <w:ind w:left="2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4.3</w:t>
              </w:r>
            </w:hyperlink>
          </w:p>
        </w:tc>
        <w:tc>
          <w:tcPr>
            <w:tcW w:w="100" w:type="dxa"/>
            <w:vAlign w:val="bottom"/>
          </w:tcPr>
          <w:p>
            <w:pPr>
              <w:spacing w:after="0"/>
              <w:rPr>
                <w:sz w:val="19"/>
                <w:szCs w:val="19"/>
                <w:color w:val="auto"/>
              </w:rPr>
            </w:pPr>
          </w:p>
        </w:tc>
        <w:tc>
          <w:tcPr>
            <w:tcW w:w="10040" w:type="dxa"/>
            <w:vAlign w:val="bottom"/>
            <w:gridSpan w:val="4"/>
          </w:tcPr>
          <w:p>
            <w:pPr>
              <w:ind w:left="2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Specimen Warrant Certificate (incorporated by reference to Exhibit 4.3 to the Registration Statement on Form S-1, filed July 26, 2016).</w:t>
              </w:r>
            </w:hyperlink>
          </w:p>
        </w:tc>
      </w:tr>
      <w:tr>
        <w:trPr>
          <w:trHeight w:val="175"/>
        </w:trPr>
        <w:tc>
          <w:tcPr>
            <w:tcW w:w="110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4.4</w:t>
              </w:r>
            </w:hyperlink>
          </w:p>
        </w:tc>
        <w:tc>
          <w:tcPr>
            <w:tcW w:w="100" w:type="dxa"/>
            <w:vAlign w:val="bottom"/>
            <w:shd w:val="clear" w:color="auto" w:fill="CCEEFF"/>
          </w:tcPr>
          <w:p>
            <w:pPr>
              <w:spacing w:after="0"/>
              <w:rPr>
                <w:sz w:val="15"/>
                <w:szCs w:val="15"/>
                <w:color w:val="auto"/>
              </w:rPr>
            </w:pPr>
          </w:p>
        </w:tc>
        <w:tc>
          <w:tcPr>
            <w:tcW w:w="10040" w:type="dxa"/>
            <w:vAlign w:val="bottom"/>
            <w:gridSpan w:val="4"/>
            <w:shd w:val="clear" w:color="auto" w:fill="CCEEFF"/>
          </w:tcPr>
          <w:p>
            <w:pPr>
              <w:ind w:left="20"/>
              <w:spacing w:after="0" w:line="17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Warrant Agreement, dated September 13, 2016, by and between American Stock Transfer &amp; Trust Company, LLC and the Registrant</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gridSpan w:val="3"/>
            <w:shd w:val="clear" w:color="auto" w:fill="CCEEFF"/>
          </w:tcPr>
          <w:p>
            <w:pPr>
              <w:ind w:left="20"/>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(incorporated by reference to Exhibit 4.1 to the Current Report on Form 8-K, filed September 16, 2016).</w:t>
              </w:r>
            </w:hyperlink>
          </w:p>
        </w:tc>
        <w:tc>
          <w:tcPr>
            <w:tcW w:w="720" w:type="dxa"/>
            <w:vAlign w:val="bottom"/>
            <w:shd w:val="clear" w:color="auto" w:fill="CCEEFF"/>
          </w:tcPr>
          <w:p>
            <w:pPr>
              <w:spacing w:after="0"/>
              <w:rPr>
                <w:sz w:val="21"/>
                <w:szCs w:val="21"/>
                <w:color w:val="auto"/>
              </w:rPr>
            </w:pPr>
          </w:p>
        </w:tc>
      </w:tr>
      <w:tr>
        <w:trPr>
          <w:trHeight w:val="22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4.5*</w:t>
            </w:r>
          </w:p>
        </w:tc>
        <w:tc>
          <w:tcPr>
            <w:tcW w:w="100" w:type="dxa"/>
            <w:vAlign w:val="bottom"/>
          </w:tcPr>
          <w:p>
            <w:pPr>
              <w:spacing w:after="0"/>
              <w:rPr>
                <w:sz w:val="19"/>
                <w:szCs w:val="19"/>
                <w:color w:val="auto"/>
              </w:rPr>
            </w:pP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720" w:type="dxa"/>
            <w:vAlign w:val="bottom"/>
          </w:tcPr>
          <w:p>
            <w:pPr>
              <w:spacing w:after="0"/>
              <w:rPr>
                <w:sz w:val="19"/>
                <w:szCs w:val="19"/>
                <w:color w:val="auto"/>
              </w:rPr>
            </w:pPr>
          </w:p>
        </w:tc>
      </w:tr>
      <w:tr>
        <w:trPr>
          <w:trHeight w:val="230"/>
        </w:trPr>
        <w:tc>
          <w:tcPr>
            <w:tcW w:w="110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4.6</w:t>
              </w:r>
            </w:hyperlink>
          </w:p>
        </w:tc>
        <w:tc>
          <w:tcPr>
            <w:tcW w:w="10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ind w:left="20"/>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Warrant</w:t>
              </w:r>
            </w:hyperlink>
          </w:p>
        </w:tc>
        <w:tc>
          <w:tcPr>
            <w:tcW w:w="7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ind w:left="2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10.1</w:t>
              </w:r>
            </w:hyperlink>
          </w:p>
        </w:tc>
        <w:tc>
          <w:tcPr>
            <w:tcW w:w="660" w:type="dxa"/>
            <w:vAlign w:val="bottom"/>
          </w:tcPr>
          <w:p>
            <w:pPr>
              <w:spacing w:after="0"/>
              <w:rPr>
                <w:sz w:val="17"/>
                <w:szCs w:val="17"/>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Registration Rights Agreement dated as of July 25, 2018 by and among M I Acquisitions, Inc. and the other parties thereto (incorporated</w:t>
              </w:r>
            </w:hyperlink>
          </w:p>
        </w:tc>
      </w:tr>
      <w:tr>
        <w:trPr>
          <w:trHeight w:val="239"/>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by reference to Exhibit 10.1 to the Company's Current Report on Form 8-K, filed July 31, 2018).</w:t>
              </w:r>
            </w:hyperlink>
          </w:p>
        </w:tc>
      </w:tr>
      <w:tr>
        <w:trPr>
          <w:trHeight w:val="180"/>
        </w:trPr>
        <w:tc>
          <w:tcPr>
            <w:tcW w:w="36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10.2</w:t>
              </w:r>
            </w:hyperlink>
          </w:p>
        </w:tc>
        <w:tc>
          <w:tcPr>
            <w:tcW w:w="66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w:t>
            </w:r>
          </w:p>
        </w:tc>
        <w:tc>
          <w:tcPr>
            <w:tcW w:w="10220" w:type="dxa"/>
            <w:vAlign w:val="bottom"/>
            <w:shd w:val="clear" w:color="auto" w:fill="CCEEFF"/>
          </w:tcPr>
          <w:p>
            <w:pPr>
              <w:ind w:left="200"/>
              <w:spacing w:after="0" w:line="180"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Priority Technology Holdings, Inc. 2018 Equity Incentive Plan (incorporated by reference to Exhibit 10.2 to the Company's Current</w:t>
              </w:r>
            </w:hyperlink>
          </w:p>
        </w:tc>
      </w:tr>
      <w:tr>
        <w:trPr>
          <w:trHeight w:val="243"/>
        </w:trPr>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Report on Form 8-K, filed July 31, 2018).</w:t>
              </w:r>
            </w:hyperlink>
          </w:p>
        </w:tc>
      </w:tr>
      <w:tr>
        <w:trPr>
          <w:trHeight w:val="229"/>
        </w:trPr>
        <w:tc>
          <w:tcPr>
            <w:tcW w:w="360" w:type="dxa"/>
            <w:vAlign w:val="bottom"/>
          </w:tcPr>
          <w:p>
            <w:pPr>
              <w:ind w:left="20"/>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10.3</w:t>
              </w:r>
            </w:hyperlink>
          </w:p>
        </w:tc>
        <w:tc>
          <w:tcPr>
            <w:tcW w:w="660" w:type="dxa"/>
            <w:vAlign w:val="bottom"/>
          </w:tcPr>
          <w:p>
            <w:pPr>
              <w:spacing w:after="0"/>
              <w:rPr>
                <w:sz w:val="19"/>
                <w:szCs w:val="19"/>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Priority Technology Holdings, Inc. 2021 Employee Stock Purchase Plan</w:t>
              </w:r>
            </w:hyperlink>
          </w:p>
        </w:tc>
      </w:tr>
      <w:tr>
        <w:trPr>
          <w:trHeight w:val="230"/>
        </w:trPr>
        <w:tc>
          <w:tcPr>
            <w:tcW w:w="102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10.3.1</w:t>
              </w:r>
            </w:hyperlink>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No. 1 to Priority Technology Holdings, Inc. 2021 Employee Stock Purchase Plan</w:t>
              </w:r>
            </w:hyperlink>
          </w:p>
        </w:tc>
      </w:tr>
      <w:tr>
        <w:trPr>
          <w:trHeight w:val="229"/>
        </w:trPr>
        <w:tc>
          <w:tcPr>
            <w:tcW w:w="360" w:type="dxa"/>
            <w:vAlign w:val="bottom"/>
          </w:tcPr>
          <w:p>
            <w:pPr>
              <w:ind w:left="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10.4</w:t>
              </w:r>
            </w:hyperlink>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10220" w:type="dxa"/>
            <w:vAlign w:val="bottom"/>
          </w:tcPr>
          <w:p>
            <w:pPr>
              <w:ind w:left="20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Credit Agreement, dated as of April 27, 2021, among the Loan Parties name therein and Truist Bank.</w:t>
              </w:r>
            </w:hyperlink>
          </w:p>
        </w:tc>
      </w:tr>
      <w:tr>
        <w:trPr>
          <w:trHeight w:val="176"/>
        </w:trPr>
        <w:tc>
          <w:tcPr>
            <w:tcW w:w="36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10.5</w:t>
              </w:r>
            </w:hyperlink>
          </w:p>
        </w:tc>
        <w:tc>
          <w:tcPr>
            <w:tcW w:w="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t>
            </w:r>
          </w:p>
        </w:tc>
        <w:tc>
          <w:tcPr>
            <w:tcW w:w="10220" w:type="dxa"/>
            <w:vAlign w:val="bottom"/>
            <w:shd w:val="clear" w:color="auto" w:fill="CCEEFF"/>
          </w:tcPr>
          <w:p>
            <w:pPr>
              <w:ind w:left="200"/>
              <w:spacing w:after="0" w:line="17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Director Agreement by and among Priority Holdings LLC, Pipeline Cynergy Holdings, LLC, Priority Payment Systems Holdings, LLC</w:t>
              </w:r>
            </w:hyperlink>
          </w:p>
        </w:tc>
      </w:tr>
      <w:tr>
        <w:trPr>
          <w:trHeight w:val="184"/>
        </w:trPr>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20" w:type="dxa"/>
            <w:vAlign w:val="bottom"/>
            <w:shd w:val="clear" w:color="auto" w:fill="CCEEFF"/>
          </w:tcPr>
          <w:p>
            <w:pPr>
              <w:ind w:left="200"/>
              <w:spacing w:after="0" w:line="184"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and Thomas C. Priore, dated May 21, 2014 (incorporated by reference to Exhibit 10.6 to the Company's Registration Statement on Form</w:t>
              </w:r>
            </w:hyperlink>
          </w:p>
        </w:tc>
      </w:tr>
      <w:tr>
        <w:trPr>
          <w:trHeight w:val="234"/>
        </w:trPr>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S-4/A, filed December 26, 2018).</w:t>
              </w:r>
            </w:hyperlink>
          </w:p>
        </w:tc>
      </w:tr>
      <w:tr>
        <w:trPr>
          <w:trHeight w:val="175"/>
        </w:trPr>
        <w:tc>
          <w:tcPr>
            <w:tcW w:w="360" w:type="dxa"/>
            <w:vAlign w:val="bottom"/>
          </w:tcPr>
          <w:p>
            <w:pPr>
              <w:ind w:left="20"/>
              <w:spacing w:after="0" w:line="17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10.6</w:t>
              </w:r>
            </w:hyperlink>
          </w:p>
        </w:tc>
        <w:tc>
          <w:tcPr>
            <w:tcW w:w="66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10220" w:type="dxa"/>
            <w:vAlign w:val="bottom"/>
          </w:tcPr>
          <w:p>
            <w:pPr>
              <w:ind w:left="200"/>
              <w:spacing w:after="0" w:line="17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No. 1 to Director Agreement by and among Priority Holdings LLC, Pipeline Cynergy Holdings, LLC, Priority Payment</w:t>
              </w:r>
            </w:hyperlink>
          </w:p>
        </w:tc>
      </w:tr>
      <w:tr>
        <w:trPr>
          <w:trHeight w:val="184"/>
        </w:trPr>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20" w:type="dxa"/>
            <w:vAlign w:val="bottom"/>
          </w:tcPr>
          <w:p>
            <w:pPr>
              <w:ind w:left="200"/>
              <w:spacing w:after="0" w:line="184"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Systems Holdings, LLC and Thomas C. Priore, dated April 19, 2018 (incorporated by reference to Exhibit 10.7 to the Company's</w:t>
              </w:r>
            </w:hyperlink>
          </w:p>
        </w:tc>
      </w:tr>
      <w:tr>
        <w:trPr>
          <w:trHeight w:val="234"/>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Registration Statement on Form S-4/A, filed December 26, 2018).</w:t>
              </w:r>
            </w:hyperlink>
          </w:p>
        </w:tc>
      </w:tr>
      <w:tr>
        <w:trPr>
          <w:trHeight w:val="229"/>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10.7*</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0000FF"/>
              </w:rPr>
              <w:t>Executive Employment Agreement of Bradley Miller dated April 15, 2022</w:t>
            </w:r>
          </w:p>
        </w:tc>
      </w:tr>
      <w:tr>
        <w:trPr>
          <w:trHeight w:val="229"/>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10.8*</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Executive Employment Agreement of Timothy O'Leary dated September 19, 2022</w:t>
            </w:r>
          </w:p>
        </w:tc>
      </w:tr>
      <w:tr>
        <w:trPr>
          <w:trHeight w:val="230"/>
        </w:trPr>
        <w:tc>
          <w:tcPr>
            <w:tcW w:w="36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10.9</w:t>
              </w:r>
            </w:hyperlink>
          </w:p>
        </w:tc>
        <w:tc>
          <w:tcPr>
            <w:tcW w:w="660" w:type="dxa"/>
            <w:vAlign w:val="bottom"/>
            <w:shd w:val="clear" w:color="auto" w:fill="CCEEFF"/>
          </w:tcPr>
          <w:p>
            <w:pPr>
              <w:spacing w:after="0"/>
              <w:rPr>
                <w:sz w:val="19"/>
                <w:szCs w:val="19"/>
                <w:color w:val="auto"/>
              </w:rPr>
            </w:pPr>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Restricted Stock Unit Award Agreement</w:t>
              </w:r>
            </w:hyperlink>
          </w:p>
        </w:tc>
      </w:tr>
      <w:tr>
        <w:trPr>
          <w:trHeight w:val="175"/>
        </w:trPr>
        <w:tc>
          <w:tcPr>
            <w:tcW w:w="1020" w:type="dxa"/>
            <w:vAlign w:val="bottom"/>
            <w:gridSpan w:val="2"/>
          </w:tcPr>
          <w:p>
            <w:pPr>
              <w:ind w:left="20"/>
              <w:spacing w:after="0" w:line="175"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 xml:space="preserve">10.11 </w:t>
              </w:r>
            </w:hyperlink>
            <w:r>
              <w:rPr>
                <w:rFonts w:ascii="Arial" w:cs="Arial" w:eastAsia="Arial" w:hAnsi="Arial"/>
                <w:sz w:val="18"/>
                <w:szCs w:val="18"/>
                <w:color w:val="000000"/>
              </w:rPr>
              <w:t>†</w:t>
            </w:r>
          </w:p>
        </w:tc>
        <w:tc>
          <w:tcPr>
            <w:tcW w:w="10220" w:type="dxa"/>
            <w:vAlign w:val="bottom"/>
          </w:tcPr>
          <w:p>
            <w:pPr>
              <w:ind w:left="200"/>
              <w:spacing w:after="0" w:line="17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Executive Employment Agreement between Priority Technology Holdings, Inc. and Michael Vollkommer, dated December 20, 2018</w:t>
              </w:r>
            </w:hyperlink>
          </w:p>
        </w:tc>
      </w:tr>
      <w:tr>
        <w:trPr>
          <w:trHeight w:val="239"/>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(incorporated by reference to Exhibit 10.1 to the Company's Current Report on Form 8-K, filed December 26, 2018).</w:t>
              </w:r>
            </w:hyperlink>
          </w:p>
        </w:tc>
      </w:tr>
      <w:tr>
        <w:trPr>
          <w:trHeight w:val="180"/>
        </w:trPr>
        <w:tc>
          <w:tcPr>
            <w:tcW w:w="1020" w:type="dxa"/>
            <w:vAlign w:val="bottom"/>
            <w:gridSpan w:val="2"/>
            <w:shd w:val="clear" w:color="auto" w:fill="CCEEFF"/>
          </w:tcPr>
          <w:p>
            <w:pPr>
              <w:ind w:left="20"/>
              <w:spacing w:after="0" w:line="180"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 xml:space="preserve">10.12 </w:t>
              </w:r>
            </w:hyperlink>
            <w:r>
              <w:rPr>
                <w:rFonts w:ascii="Arial" w:cs="Arial" w:eastAsia="Arial" w:hAnsi="Arial"/>
                <w:sz w:val="18"/>
                <w:szCs w:val="18"/>
                <w:color w:val="000000"/>
              </w:rPr>
              <w:t>†</w:t>
            </w:r>
          </w:p>
        </w:tc>
        <w:tc>
          <w:tcPr>
            <w:tcW w:w="10220" w:type="dxa"/>
            <w:vAlign w:val="bottom"/>
            <w:shd w:val="clear" w:color="auto" w:fill="CCEEFF"/>
          </w:tcPr>
          <w:p>
            <w:pPr>
              <w:ind w:left="200"/>
              <w:spacing w:after="0" w:line="180"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Restricted Stock Unit Award Agreement between Priority Technology Holdings, Inc. and Michael Vollkommer, dated December 20, 2018</w:t>
              </w:r>
            </w:hyperlink>
          </w:p>
        </w:tc>
      </w:tr>
      <w:tr>
        <w:trPr>
          <w:trHeight w:val="243"/>
        </w:trPr>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(incorporated by reference to Exhibit 10.13 to the Company's Annual Report on Form 10-K, filed March 29, 2019).</w:t>
              </w:r>
            </w:hyperlink>
          </w:p>
        </w:tc>
      </w:tr>
      <w:tr>
        <w:trPr>
          <w:trHeight w:val="176"/>
        </w:trPr>
        <w:tc>
          <w:tcPr>
            <w:tcW w:w="1020" w:type="dxa"/>
            <w:vAlign w:val="bottom"/>
            <w:gridSpan w:val="2"/>
          </w:tcPr>
          <w:p>
            <w:pPr>
              <w:ind w:left="20"/>
              <w:spacing w:after="0" w:line="175"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 xml:space="preserve">10.13 </w:t>
              </w:r>
            </w:hyperlink>
            <w:r>
              <w:rPr>
                <w:rFonts w:ascii="Arial" w:cs="Arial" w:eastAsia="Arial" w:hAnsi="Arial"/>
                <w:sz w:val="18"/>
                <w:szCs w:val="18"/>
                <w:color w:val="000000"/>
              </w:rPr>
              <w:t>†</w:t>
            </w:r>
          </w:p>
        </w:tc>
        <w:tc>
          <w:tcPr>
            <w:tcW w:w="10220" w:type="dxa"/>
            <w:vAlign w:val="bottom"/>
          </w:tcPr>
          <w:p>
            <w:pPr>
              <w:ind w:left="200"/>
              <w:spacing w:after="0" w:line="17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Independent Director Agreement (incorporated by reference to Exhibit 10.19 to the Company's Annual Report on Form 10-K,</w:t>
              </w:r>
            </w:hyperlink>
          </w:p>
        </w:tc>
      </w:tr>
      <w:tr>
        <w:trPr>
          <w:trHeight w:val="239"/>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filed March 29, 2019).</w:t>
              </w:r>
            </w:hyperlink>
          </w:p>
        </w:tc>
      </w:tr>
      <w:tr>
        <w:trPr>
          <w:trHeight w:val="180"/>
        </w:trPr>
        <w:tc>
          <w:tcPr>
            <w:tcW w:w="1020" w:type="dxa"/>
            <w:vAlign w:val="bottom"/>
            <w:gridSpan w:val="2"/>
            <w:shd w:val="clear" w:color="auto" w:fill="CCEEFF"/>
          </w:tcPr>
          <w:p>
            <w:pPr>
              <w:ind w:left="20"/>
              <w:spacing w:after="0" w:line="180"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10.14</w:t>
              </w:r>
            </w:hyperlink>
          </w:p>
        </w:tc>
        <w:tc>
          <w:tcPr>
            <w:tcW w:w="10220" w:type="dxa"/>
            <w:vAlign w:val="bottom"/>
            <w:shd w:val="clear" w:color="auto" w:fill="CCEEFF"/>
          </w:tcPr>
          <w:p>
            <w:pPr>
              <w:ind w:left="200"/>
              <w:spacing w:after="0" w:line="180"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Asset Purchase Agreement by and between MRI Payments LLC, MRI Software LLC, and Priority Real Estate Technology LLC, dated</w:t>
              </w:r>
            </w:hyperlink>
          </w:p>
        </w:tc>
      </w:tr>
      <w:tr>
        <w:trPr>
          <w:trHeight w:val="243"/>
        </w:trPr>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August 31, 2020 (incorporated by reference to Exhibit 10.1 to the Company's Current Report on Form 8-K filed September 1, 2020).</w:t>
              </w:r>
            </w:hyperlink>
          </w:p>
        </w:tc>
      </w:tr>
      <w:tr>
        <w:trPr>
          <w:trHeight w:val="230"/>
        </w:trPr>
        <w:tc>
          <w:tcPr>
            <w:tcW w:w="1020" w:type="dxa"/>
            <w:vAlign w:val="bottom"/>
            <w:gridSpan w:val="2"/>
          </w:tcPr>
          <w:p>
            <w:pPr>
              <w:ind w:left="2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10.15</w:t>
              </w:r>
            </w:hyperlink>
          </w:p>
        </w:tc>
        <w:tc>
          <w:tcPr>
            <w:tcW w:w="10220" w:type="dxa"/>
            <w:vAlign w:val="bottom"/>
          </w:tcPr>
          <w:p>
            <w:pPr>
              <w:ind w:left="20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Support Agreement, dated as of March 5, 2021, by and among the Stockholders and Finxera</w:t>
              </w:r>
            </w:hyperlink>
          </w:p>
        </w:tc>
      </w:tr>
      <w:tr>
        <w:trPr>
          <w:trHeight w:val="230"/>
        </w:trPr>
        <w:tc>
          <w:tcPr>
            <w:tcW w:w="102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10.16</w:t>
              </w:r>
            </w:hyperlink>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Debt Commitment Letter, dated as of March 5, 2021, between Priority Holdings, LLC and Truist Securities, Inc.</w:t>
              </w:r>
            </w:hyperlink>
          </w:p>
        </w:tc>
      </w:tr>
      <w:tr>
        <w:trPr>
          <w:trHeight w:val="175"/>
        </w:trPr>
        <w:tc>
          <w:tcPr>
            <w:tcW w:w="102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10.17</w:t>
              </w:r>
            </w:hyperlink>
          </w:p>
        </w:tc>
        <w:tc>
          <w:tcPr>
            <w:tcW w:w="10220" w:type="dxa"/>
            <w:vAlign w:val="bottom"/>
          </w:tcPr>
          <w:p>
            <w:pPr>
              <w:ind w:left="200"/>
              <w:spacing w:after="0" w:line="17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Preferred Stock Commitment Letter, dated as of March 5, 2021, among the Company and certain affiliates of Ares Capital Management</w:t>
              </w:r>
            </w:hyperlink>
          </w:p>
        </w:tc>
      </w:tr>
      <w:tr>
        <w:trPr>
          <w:trHeight w:val="239"/>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LLC</w:t>
              </w:r>
            </w:hyperlink>
          </w:p>
        </w:tc>
      </w:tr>
      <w:tr>
        <w:trPr>
          <w:trHeight w:val="234"/>
        </w:trPr>
        <w:tc>
          <w:tcPr>
            <w:tcW w:w="102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 xml:space="preserve">10.18 </w:t>
              </w:r>
            </w:hyperlink>
            <w:r>
              <w:rPr>
                <w:rFonts w:ascii="Arial" w:cs="Arial" w:eastAsia="Arial" w:hAnsi="Arial"/>
                <w:sz w:val="18"/>
                <w:szCs w:val="18"/>
                <w:color w:val="000000"/>
              </w:rPr>
              <w:t>†</w:t>
            </w:r>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Securities Purchase Agreement, dated as of April 27, 2021, among the Company and the Investors named therein</w:t>
              </w:r>
            </w:hyperlink>
          </w:p>
        </w:tc>
      </w:tr>
      <w:tr>
        <w:trPr>
          <w:trHeight w:val="230"/>
        </w:trPr>
        <w:tc>
          <w:tcPr>
            <w:tcW w:w="1020" w:type="dxa"/>
            <w:vAlign w:val="bottom"/>
            <w:gridSpan w:val="2"/>
          </w:tcPr>
          <w:p>
            <w:pPr>
              <w:ind w:left="20"/>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 xml:space="preserve">10.19 </w:t>
              </w:r>
            </w:hyperlink>
            <w:r>
              <w:rPr>
                <w:rFonts w:ascii="Arial" w:cs="Arial" w:eastAsia="Arial" w:hAnsi="Arial"/>
                <w:sz w:val="18"/>
                <w:szCs w:val="18"/>
                <w:color w:val="000000"/>
              </w:rPr>
              <w:t>†</w:t>
            </w:r>
          </w:p>
        </w:tc>
        <w:tc>
          <w:tcPr>
            <w:tcW w:w="10220" w:type="dxa"/>
            <w:vAlign w:val="bottom"/>
          </w:tcPr>
          <w:p>
            <w:pPr>
              <w:ind w:left="200"/>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Registration Rights Agreement, dated as of April 27, 2021, among the Company and the Investors name therein</w:t>
              </w:r>
            </w:hyperlink>
          </w:p>
        </w:tc>
      </w:tr>
      <w:tr>
        <w:trPr>
          <w:trHeight w:val="230"/>
        </w:trPr>
        <w:tc>
          <w:tcPr>
            <w:tcW w:w="102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 xml:space="preserve">10.21 </w:t>
              </w:r>
            </w:hyperlink>
            <w:r>
              <w:rPr>
                <w:rFonts w:ascii="Arial" w:cs="Arial" w:eastAsia="Arial" w:hAnsi="Arial"/>
                <w:sz w:val="18"/>
                <w:szCs w:val="18"/>
                <w:color w:val="000000"/>
              </w:rPr>
              <w:t>†</w:t>
            </w:r>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Credit Agreement, dated as of April 27, 2021, among the Loan Parties name therein and Truist Bank</w:t>
              </w:r>
            </w:hyperlink>
          </w:p>
        </w:tc>
      </w:tr>
      <w:tr>
        <w:trPr>
          <w:trHeight w:val="175"/>
        </w:trPr>
        <w:tc>
          <w:tcPr>
            <w:tcW w:w="102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10.22</w:t>
              </w:r>
            </w:hyperlink>
          </w:p>
        </w:tc>
        <w:tc>
          <w:tcPr>
            <w:tcW w:w="10220" w:type="dxa"/>
            <w:vAlign w:val="bottom"/>
          </w:tcPr>
          <w:p>
            <w:pPr>
              <w:ind w:left="200"/>
              <w:spacing w:after="0" w:line="17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Amendment No. 2, dated September 17, 2021, to the Credit Agreement, dated as of April 27, 2021, by and among the Loan Parties named</w:t>
              </w:r>
            </w:hyperlink>
          </w:p>
        </w:tc>
      </w:tr>
      <w:tr>
        <w:trPr>
          <w:trHeight w:val="239"/>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therein and Truist Bank.</w:t>
              </w:r>
            </w:hyperlink>
          </w:p>
        </w:tc>
      </w:tr>
      <w:tr>
        <w:trPr>
          <w:trHeight w:val="234"/>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21.1</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0000FF"/>
              </w:rPr>
              <w:t>Subsidiaries</w:t>
            </w:r>
          </w:p>
        </w:tc>
      </w:tr>
      <w:tr>
        <w:trPr>
          <w:trHeight w:val="230"/>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color w:val="000000"/>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175"/>
        </w:trPr>
        <w:tc>
          <w:tcPr>
            <w:tcW w:w="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FF"/>
              </w:rPr>
              <w:t>31.1</w:t>
            </w:r>
          </w:p>
        </w:tc>
        <w:tc>
          <w:tcPr>
            <w:tcW w:w="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2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 and Rule 15d-14(a), promulgated under the Securities and Exchange Act</w:t>
            </w:r>
          </w:p>
        </w:tc>
      </w:tr>
      <w:tr>
        <w:trPr>
          <w:trHeight w:val="243"/>
        </w:trPr>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0000FF"/>
              </w:rPr>
              <w:t>of 1934, as amended.</w:t>
            </w:r>
          </w:p>
        </w:tc>
      </w:tr>
      <w:tr>
        <w:trPr>
          <w:trHeight w:val="175"/>
        </w:trPr>
        <w:tc>
          <w:tcPr>
            <w:tcW w:w="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0000FF"/>
              </w:rPr>
              <w:t>31.2</w:t>
            </w:r>
          </w:p>
        </w:tc>
        <w:tc>
          <w:tcPr>
            <w:tcW w:w="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 13a-14(a) as adopted pursuant to Section 302 of the Sarbanes-</w:t>
            </w:r>
          </w:p>
        </w:tc>
      </w:tr>
      <w:tr>
        <w:trPr>
          <w:trHeight w:val="239"/>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Oxley Act of 2002</w:t>
            </w:r>
          </w:p>
        </w:tc>
      </w:tr>
      <w:tr>
        <w:trPr>
          <w:trHeight w:val="180"/>
        </w:trPr>
        <w:tc>
          <w:tcPr>
            <w:tcW w:w="3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0000FF"/>
              </w:rPr>
              <w:t xml:space="preserve">32 </w:t>
            </w:r>
            <w:r>
              <w:rPr>
                <w:rFonts w:ascii="Times New Roman" w:cs="Times New Roman" w:eastAsia="Times New Roman" w:hAnsi="Times New Roman"/>
                <w:sz w:val="18"/>
                <w:szCs w:val="18"/>
                <w:color w:val="000000"/>
              </w:rPr>
              <w:t>*</w:t>
            </w:r>
          </w:p>
        </w:tc>
        <w:tc>
          <w:tcPr>
            <w:tcW w:w="660" w:type="dxa"/>
            <w:vAlign w:val="bottom"/>
            <w:shd w:val="clear" w:color="auto" w:fill="CCEEFF"/>
          </w:tcPr>
          <w:p>
            <w:pPr>
              <w:spacing w:after="0"/>
              <w:rPr>
                <w:sz w:val="15"/>
                <w:szCs w:val="15"/>
                <w:color w:val="auto"/>
              </w:rPr>
            </w:pPr>
          </w:p>
        </w:tc>
        <w:tc>
          <w:tcPr>
            <w:tcW w:w="102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43"/>
        </w:trPr>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176"/>
        </w:trPr>
        <w:tc>
          <w:tcPr>
            <w:tcW w:w="1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 *</w:t>
            </w:r>
          </w:p>
        </w:tc>
        <w:tc>
          <w:tcPr>
            <w:tcW w:w="102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 *</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 *</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 *</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color w:val="auto"/>
        </w:rPr>
        <w:t>101.PRE *</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color w:val="auto"/>
        </w:rPr>
        <w:t>101.DEF *</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8" w:lineRule="exact"/>
        <w:rPr>
          <w:sz w:val="20"/>
          <w:szCs w:val="20"/>
          <w:color w:val="auto"/>
        </w:rPr>
      </w:pPr>
    </w:p>
    <w:p>
      <w:pPr>
        <w:ind w:left="160" w:hanging="152"/>
        <w:spacing w:after="0"/>
        <w:tabs>
          <w:tab w:leader="none" w:pos="160"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7"/>
          <w:szCs w:val="17"/>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662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PRIORITY TECHNOLOGY HOLDINGS, INC.</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March 23, 2023</w:t>
            </w:r>
          </w:p>
        </w:tc>
        <w:tc>
          <w:tcPr>
            <w:tcW w:w="306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149"/>
        </w:trPr>
        <w:tc>
          <w:tcPr>
            <w:tcW w:w="2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0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Thomas C. Priore</w:t>
            </w:r>
          </w:p>
        </w:tc>
        <w:tc>
          <w:tcPr>
            <w:tcW w:w="2060" w:type="dxa"/>
            <w:vAlign w:val="bottom"/>
          </w:tcPr>
          <w:p>
            <w:pPr>
              <w:spacing w:after="0"/>
              <w:rPr>
                <w:sz w:val="12"/>
                <w:szCs w:val="12"/>
                <w:color w:val="auto"/>
              </w:rPr>
            </w:pPr>
          </w:p>
        </w:tc>
      </w:tr>
      <w:tr>
        <w:trPr>
          <w:trHeight w:val="182"/>
        </w:trPr>
        <w:tc>
          <w:tcPr>
            <w:tcW w:w="27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5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9"/>
              </w:rPr>
              <w:t>President, Chief Executive Officer and Chairman</w:t>
            </w:r>
          </w:p>
        </w:tc>
      </w:tr>
      <w:tr>
        <w:trPr>
          <w:trHeight w:val="236"/>
        </w:trPr>
        <w:tc>
          <w:tcPr>
            <w:tcW w:w="2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3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84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8"/>
        </w:trPr>
        <w:tc>
          <w:tcPr>
            <w:tcW w:w="3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Thomas C. Priore</w:t>
            </w:r>
          </w:p>
        </w:tc>
        <w:tc>
          <w:tcPr>
            <w:tcW w:w="5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President, Chief Executive Officer and Chairman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Thomas C. Priore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23, 2023</w:t>
            </w:r>
          </w:p>
        </w:tc>
        <w:tc>
          <w:tcPr>
            <w:tcW w:w="0" w:type="dxa"/>
            <w:vAlign w:val="bottom"/>
          </w:tcPr>
          <w:p>
            <w:pPr>
              <w:spacing w:after="0"/>
              <w:rPr>
                <w:sz w:val="1"/>
                <w:szCs w:val="1"/>
                <w:color w:val="auto"/>
              </w:rPr>
            </w:pPr>
          </w:p>
        </w:tc>
      </w:tr>
      <w:tr>
        <w:trPr>
          <w:trHeight w:val="400"/>
        </w:trPr>
        <w:tc>
          <w:tcPr>
            <w:tcW w:w="3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Timothy M. O'Leary</w:t>
            </w: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Timothy M. O'Leary</w:t>
            </w:r>
          </w:p>
        </w:tc>
        <w:tc>
          <w:tcPr>
            <w:tcW w:w="1360" w:type="dxa"/>
            <w:vAlign w:val="bottom"/>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8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23, 2023</w:t>
            </w:r>
          </w:p>
        </w:tc>
        <w:tc>
          <w:tcPr>
            <w:tcW w:w="0" w:type="dxa"/>
            <w:vAlign w:val="bottom"/>
          </w:tcPr>
          <w:p>
            <w:pPr>
              <w:spacing w:after="0"/>
              <w:rPr>
                <w:sz w:val="1"/>
                <w:szCs w:val="1"/>
                <w:color w:val="auto"/>
              </w:rPr>
            </w:pPr>
          </w:p>
        </w:tc>
      </w:tr>
      <w:tr>
        <w:trPr>
          <w:trHeight w:val="427"/>
        </w:trPr>
        <w:tc>
          <w:tcPr>
            <w:tcW w:w="30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/s/ Rajiv Kumar</w:t>
            </w:r>
          </w:p>
        </w:tc>
        <w:tc>
          <w:tcPr>
            <w:tcW w:w="5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Senior Vice President and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80" w:type="dxa"/>
            <w:vAlign w:val="bottom"/>
            <w:gridSpan w:val="10"/>
            <w:vMerge w:val="continue"/>
          </w:tcPr>
          <w:p>
            <w:pPr>
              <w:spacing w:after="0"/>
              <w:rPr>
                <w:sz w:val="16"/>
                <w:szCs w:val="16"/>
                <w:color w:val="auto"/>
              </w:rPr>
            </w:pPr>
          </w:p>
        </w:tc>
        <w:tc>
          <w:tcPr>
            <w:tcW w:w="502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Chief Accounting Officer</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Rajiv Kumar</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23, 2023</w:t>
            </w:r>
          </w:p>
        </w:tc>
        <w:tc>
          <w:tcPr>
            <w:tcW w:w="0" w:type="dxa"/>
            <w:vAlign w:val="bottom"/>
          </w:tcPr>
          <w:p>
            <w:pPr>
              <w:spacing w:after="0"/>
              <w:rPr>
                <w:sz w:val="1"/>
                <w:szCs w:val="1"/>
                <w:color w:val="auto"/>
              </w:rPr>
            </w:pPr>
          </w:p>
        </w:tc>
      </w:tr>
      <w:tr>
        <w:trPr>
          <w:trHeight w:val="400"/>
        </w:trPr>
        <w:tc>
          <w:tcPr>
            <w:tcW w:w="3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John Priore</w:t>
            </w:r>
          </w:p>
        </w:tc>
        <w:tc>
          <w:tcPr>
            <w:tcW w:w="5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23, 2023</w:t>
            </w:r>
          </w:p>
        </w:tc>
        <w:tc>
          <w:tcPr>
            <w:tcW w:w="0" w:type="dxa"/>
            <w:vAlign w:val="bottom"/>
          </w:tcPr>
          <w:p>
            <w:pPr>
              <w:spacing w:after="0"/>
              <w:rPr>
                <w:sz w:val="1"/>
                <w:szCs w:val="1"/>
                <w:color w:val="auto"/>
              </w:rPr>
            </w:pPr>
          </w:p>
        </w:tc>
      </w:tr>
      <w:tr>
        <w:trPr>
          <w:trHeight w:val="250"/>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Priore</w:t>
            </w:r>
          </w:p>
        </w:tc>
        <w:tc>
          <w:tcPr>
            <w:tcW w:w="2040" w:type="dxa"/>
            <w:vAlign w:val="bottom"/>
            <w:gridSpan w:val="9"/>
          </w:tcPr>
          <w:p>
            <w:pPr>
              <w:spacing w:after="0"/>
              <w:rPr>
                <w:sz w:val="21"/>
                <w:szCs w:val="21"/>
                <w:color w:val="auto"/>
              </w:rPr>
            </w:pPr>
          </w:p>
        </w:tc>
        <w:tc>
          <w:tcPr>
            <w:tcW w:w="50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Michael Passilla</w:t>
            </w:r>
          </w:p>
        </w:tc>
        <w:tc>
          <w:tcPr>
            <w:tcW w:w="5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23, 2023</w:t>
            </w:r>
          </w:p>
        </w:tc>
        <w:tc>
          <w:tcPr>
            <w:tcW w:w="0" w:type="dxa"/>
            <w:vAlign w:val="bottom"/>
          </w:tcPr>
          <w:p>
            <w:pPr>
              <w:spacing w:after="0"/>
              <w:rPr>
                <w:sz w:val="1"/>
                <w:szCs w:val="1"/>
                <w:color w:val="auto"/>
              </w:rPr>
            </w:pPr>
          </w:p>
        </w:tc>
      </w:tr>
      <w:tr>
        <w:trPr>
          <w:trHeight w:val="228"/>
        </w:trPr>
        <w:tc>
          <w:tcPr>
            <w:tcW w:w="14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Michael Passilla</w:t>
            </w:r>
          </w:p>
        </w:tc>
        <w:tc>
          <w:tcPr>
            <w:tcW w:w="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Marietta C. Davis</w:t>
            </w:r>
          </w:p>
        </w:tc>
        <w:tc>
          <w:tcPr>
            <w:tcW w:w="5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23, 2023</w:t>
            </w:r>
          </w:p>
        </w:tc>
        <w:tc>
          <w:tcPr>
            <w:tcW w:w="0" w:type="dxa"/>
            <w:vAlign w:val="bottom"/>
          </w:tcPr>
          <w:p>
            <w:pPr>
              <w:spacing w:after="0"/>
              <w:rPr>
                <w:sz w:val="1"/>
                <w:szCs w:val="1"/>
                <w:color w:val="auto"/>
              </w:rPr>
            </w:pPr>
          </w:p>
        </w:tc>
      </w:tr>
      <w:tr>
        <w:trPr>
          <w:trHeight w:val="228"/>
        </w:trPr>
        <w:tc>
          <w:tcPr>
            <w:tcW w:w="15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Marietta C. Davis</w:t>
            </w:r>
          </w:p>
        </w:tc>
        <w:tc>
          <w:tcPr>
            <w:tcW w:w="16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Christina M. Favilla</w:t>
            </w:r>
          </w:p>
        </w:tc>
        <w:tc>
          <w:tcPr>
            <w:tcW w:w="5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23, 2023</w:t>
            </w:r>
          </w:p>
        </w:tc>
        <w:tc>
          <w:tcPr>
            <w:tcW w:w="0" w:type="dxa"/>
            <w:vAlign w:val="bottom"/>
          </w:tcPr>
          <w:p>
            <w:pPr>
              <w:spacing w:after="0"/>
              <w:rPr>
                <w:sz w:val="1"/>
                <w:szCs w:val="1"/>
                <w:color w:val="auto"/>
              </w:rPr>
            </w:pPr>
          </w:p>
        </w:tc>
      </w:tr>
      <w:tr>
        <w:trPr>
          <w:trHeight w:val="228"/>
        </w:trPr>
        <w:tc>
          <w:tcPr>
            <w:tcW w:w="168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Christina M. Favilla</w:t>
            </w:r>
          </w:p>
        </w:tc>
        <w:tc>
          <w:tcPr>
            <w:tcW w:w="1400" w:type="dxa"/>
            <w:vAlign w:val="bottom"/>
            <w:gridSpan w:val="2"/>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Stephen W. Hipp</w:t>
            </w:r>
          </w:p>
        </w:tc>
        <w:tc>
          <w:tcPr>
            <w:tcW w:w="5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23, 2023</w:t>
            </w:r>
          </w:p>
        </w:tc>
        <w:tc>
          <w:tcPr>
            <w:tcW w:w="0" w:type="dxa"/>
            <w:vAlign w:val="bottom"/>
          </w:tcPr>
          <w:p>
            <w:pPr>
              <w:spacing w:after="0"/>
              <w:rPr>
                <w:sz w:val="1"/>
                <w:szCs w:val="1"/>
                <w:color w:val="auto"/>
              </w:rPr>
            </w:pPr>
          </w:p>
        </w:tc>
      </w:tr>
      <w:tr>
        <w:trPr>
          <w:trHeight w:val="228"/>
        </w:trPr>
        <w:tc>
          <w:tcPr>
            <w:tcW w:w="14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Stephen W. Hipp</w:t>
            </w:r>
          </w:p>
        </w:tc>
        <w:tc>
          <w:tcPr>
            <w:tcW w:w="1640" w:type="dxa"/>
            <w:vAlign w:val="bottom"/>
            <w:gridSpan w:val="5"/>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3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Marc Crisafulli</w:t>
            </w:r>
          </w:p>
        </w:tc>
        <w:tc>
          <w:tcPr>
            <w:tcW w:w="5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23, 2023</w:t>
            </w:r>
          </w:p>
        </w:tc>
        <w:tc>
          <w:tcPr>
            <w:tcW w:w="0" w:type="dxa"/>
            <w:vAlign w:val="bottom"/>
          </w:tcPr>
          <w:p>
            <w:pPr>
              <w:spacing w:after="0"/>
              <w:rPr>
                <w:sz w:val="1"/>
                <w:szCs w:val="1"/>
                <w:color w:val="auto"/>
              </w:rPr>
            </w:pPr>
          </w:p>
        </w:tc>
      </w:tr>
      <w:tr>
        <w:trPr>
          <w:trHeight w:val="228"/>
        </w:trPr>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Marc Crisafulli</w:t>
            </w:r>
          </w:p>
        </w:tc>
        <w:tc>
          <w:tcPr>
            <w:tcW w:w="1760" w:type="dxa"/>
            <w:vAlign w:val="bottom"/>
            <w:gridSpan w:val="7"/>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355" w:lineRule="auto"/>
        <w:rPr>
          <w:sz w:val="20"/>
          <w:szCs w:val="20"/>
          <w:color w:val="auto"/>
        </w:rPr>
      </w:pPr>
      <w:r>
        <w:rPr>
          <w:rFonts w:ascii="Times New Roman" w:cs="Times New Roman" w:eastAsia="Times New Roman" w:hAnsi="Times New Roman"/>
          <w:sz w:val="22"/>
          <w:szCs w:val="22"/>
          <w:b w:val="1"/>
          <w:bCs w:val="1"/>
          <w:color w:val="auto"/>
        </w:rPr>
        <w:t>DESCRIPTION OF THE REGISTRANT’S SECURITIES REGISTERED PURSUANT TO SECTION 12 OF THE SECURITIES EXCHANGE ACT OF 1934</w:t>
      </w:r>
    </w:p>
    <w:p>
      <w:pPr>
        <w:spacing w:after="0" w:line="200" w:lineRule="exact"/>
        <w:rPr>
          <w:sz w:val="20"/>
          <w:szCs w:val="20"/>
          <w:color w:val="auto"/>
        </w:rPr>
      </w:pPr>
    </w:p>
    <w:p>
      <w:pPr>
        <w:spacing w:after="0" w:line="22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following is a summary description of the Common Stock, par value $0.001 per share (the “Common Stock”), of Priority Technology Holdings, Inc. (“Priority”), which is the only security of Priority registered pursuant to Section 12 of the Securities Exchange Act of 1934, as amended.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following description of our Common Stock is based on our Second Amended and Restated Certificate of Incorporation (“Certificate of Incorporation”) and Amended and Restated Bylaws (“Bylaws”), and applicable provisions of law. We have summarized certain portions of our Certificate of Incorporation and Bylaws below. The summary is subject to, and is qualified in its entirety by, our Certificate of Incorporation and our Bylaws, each of which is filed as an exhibit to our Annual Report on Form 10-K, and the applicable provisions of the Delaware General Corporation Law (“DGCL”). You should read our Certificate of Incorporation, Bylaws, and the applicable provision of the DGCL for additional information. For purposes of this description, references to “Company,” “Priority,” “Registrant,” “we,” “our,” and “us” refer to Priority Technology Holdings, Inc. and its subsidiaries.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Capitalization</w:t>
      </w:r>
    </w:p>
    <w:p>
      <w:pPr>
        <w:spacing w:after="0" w:line="368"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Our authorized capitalization consists of 1,000,000,000 shares of Common Stock and 100,000,000 shares of preferred stock, par value $.001 per share.</w:t>
      </w:r>
    </w:p>
    <w:p>
      <w:pPr>
        <w:spacing w:after="0" w:line="1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As of March [xx], 2022, there were [xx,xxx,xxx] shares of Common Stock issued and outstanding and no shares of preferred stock issued and outstanding. This amount for issued shares of Common Stock includes approximately 451,000 shares held by Priority as “treasury shares.” On December 31, 2020, there were employee stock options and restricted stock awards outstanding to issue approximately [x,xxx,000] shares of Priority's Common Stock and warrants to issue approximately [x.xxx.000] shares of our Common Stock. A former underwriter holds options for 300,000 shares of our common stock and 300,000 warrants whereby each warrant represents one share of Priority's common stock.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ectPr>
          <w:pgSz w:w="11900" w:h="16838" w:orient="portrait"/>
          <w:cols w:equalWidth="0" w:num="1">
            <w:col w:w="11240"/>
          </w:cols>
          <w:pgMar w:left="320" w:top="83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Voting Rights</w:t>
      </w:r>
      <w:r>
        <w:rPr>
          <w:rFonts w:ascii="Times New Roman" w:cs="Times New Roman" w:eastAsia="Times New Roman" w:hAnsi="Times New Roman"/>
          <w:sz w:val="20"/>
          <w:szCs w:val="20"/>
          <w:color w:val="auto"/>
        </w:rPr>
        <w:t>. Each holder of Priority's Common Stock is entitled to one vote for each share of Common Stock held of record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applicable record date on all matters submitted to a vote of stockholders. Holders of Common Stock do not have cumulative voting rights in the election of directors.</w:t>
      </w:r>
    </w:p>
    <w:p>
      <w:pPr>
        <w:spacing w:after="0" w:line="19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Our Bylaws provide for a majority vote standard for all corporate actions. Except as otherwise provided by law or by the Certificate of Incorporation, the holders of a majority of the votes entitled to be cast by the stockholders entitled to vote generally, present in person or by proxy, shall constitute a quorum at any meeting of the stockholders; provided, however, that in the case of any vote to be taken by classes or series, the holders of a majority of the votes entitled to be cast by the stockholders of a particular class or series, present in person or by proxy, shall constitute a quorum of such class or series.</w:t>
      </w:r>
    </w:p>
    <w:p>
      <w:pPr>
        <w:spacing w:after="0" w:line="19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Dividend Rights</w:t>
      </w:r>
      <w:r>
        <w:rPr>
          <w:rFonts w:ascii="Times New Roman" w:cs="Times New Roman" w:eastAsia="Times New Roman" w:hAnsi="Times New Roman"/>
          <w:sz w:val="20"/>
          <w:szCs w:val="20"/>
          <w:color w:val="auto"/>
        </w:rPr>
        <w:t>. Subject to any preferential dividend rights of outstanding preferred stock, holders of Common Stock are entitled to receive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equally and ratably, share for share, dividends, if any, as may be declared by our board of directors (our “Board”) out of funds legally available therefor.</w:t>
      </w:r>
    </w:p>
    <w:p>
      <w:pPr>
        <w:spacing w:after="0" w:line="19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Liquidation Rights</w:t>
      </w:r>
      <w:r>
        <w:rPr>
          <w:rFonts w:ascii="Times New Roman" w:cs="Times New Roman" w:eastAsia="Times New Roman" w:hAnsi="Times New Roman"/>
          <w:sz w:val="20"/>
          <w:szCs w:val="20"/>
          <w:color w:val="auto"/>
        </w:rPr>
        <w:t>. Upon liquidation, dissolution of assets or other winding up, the holders of Common Stock are entitled to receive ratably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assets available for distribution to the stockholders after payment of liabilities and the liquidation preference of any outstanding shares of preferred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Fully Paid and Nonassessable. </w:t>
      </w:r>
      <w:r>
        <w:rPr>
          <w:rFonts w:ascii="Times New Roman" w:cs="Times New Roman" w:eastAsia="Times New Roman" w:hAnsi="Times New Roman"/>
          <w:sz w:val="20"/>
          <w:szCs w:val="20"/>
          <w:color w:val="auto"/>
        </w:rPr>
        <w:t>The outstanding shares of our Common Stock are fully paid and non-assessable.</w:t>
      </w:r>
    </w:p>
    <w:p>
      <w:pPr>
        <w:spacing w:after="0" w:line="29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b w:val="1"/>
          <w:bCs w:val="1"/>
          <w:i w:val="1"/>
          <w:iCs w:val="1"/>
          <w:color w:val="auto"/>
        </w:rPr>
        <w:t>Other Matters</w:t>
      </w:r>
      <w:r>
        <w:rPr>
          <w:rFonts w:ascii="Times New Roman" w:cs="Times New Roman" w:eastAsia="Times New Roman" w:hAnsi="Times New Roman"/>
          <w:sz w:val="20"/>
          <w:szCs w:val="20"/>
          <w:color w:val="auto"/>
        </w:rPr>
        <w:t>. Holders of our Common Stock have no preemptive or conversion rights and are not subject to further calls or assessment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 There are no redemption or sinking fund provisions applicable to the Common Stock.</w:t>
      </w:r>
    </w:p>
    <w:p>
      <w:pPr>
        <w:spacing w:after="0" w:line="179"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20"/>
          <w:szCs w:val="20"/>
          <w:b w:val="1"/>
          <w:bCs w:val="1"/>
          <w:i w:val="1"/>
          <w:iCs w:val="1"/>
          <w:color w:val="auto"/>
        </w:rPr>
        <w:t>Listing and Transfer Agent</w:t>
      </w:r>
      <w:r>
        <w:rPr>
          <w:rFonts w:ascii="Times New Roman" w:cs="Times New Roman" w:eastAsia="Times New Roman" w:hAnsi="Times New Roman"/>
          <w:sz w:val="20"/>
          <w:szCs w:val="20"/>
          <w:color w:val="auto"/>
        </w:rPr>
        <w:t>. Our Common Stock is listed for trading on the NASDAQ Stock Market under the symbol “PRTH.” The transfer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agent and registrar for our Common Stock is American Stock Transfer.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Certain provisions in our Certificate of Incorporation, Bylaws and the DGCL may have the effect of delaying, deferring or discouraging another party from acquiring us. These provisions, which are summarized below, are expected to discourage coercive takeover practices and inadequate takeover bids. These provisions also are designed to encourage persons seeking to acquire control of us to first negotiate with our Board.</w:t>
      </w:r>
    </w:p>
    <w:p>
      <w:pPr>
        <w:spacing w:after="0" w:line="19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Amendment to Certificate of Incorporation and Bylaws</w:t>
      </w:r>
      <w:r>
        <w:rPr>
          <w:rFonts w:ascii="Times New Roman" w:cs="Times New Roman" w:eastAsia="Times New Roman" w:hAnsi="Times New Roman"/>
          <w:sz w:val="20"/>
          <w:szCs w:val="20"/>
          <w:color w:val="auto"/>
        </w:rPr>
        <w:t>. Our Bylaws may be amended, altered, changed or repealed by a majority vote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Board. In addition to any other vote otherwise required by law, any amendment, alteration, change, or repeal of our Bylaws by our stockholders will require the affirmative</w:t>
      </w:r>
    </w:p>
    <w:p>
      <w:pPr>
        <w:sectPr>
          <w:pgSz w:w="11900" w:h="16838" w:orient="portrait"/>
          <w:cols w:equalWidth="0" w:num="1">
            <w:col w:w="11240"/>
          </w:cols>
          <w:pgMar w:left="320" w:top="83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Exhibit 4.5</w:t>
      </w:r>
    </w:p>
    <w:p>
      <w:pPr>
        <w:spacing w:after="0" w:line="39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vote of at least 66</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20"/>
          <w:szCs w:val="20"/>
          <w:color w:val="auto"/>
        </w:rPr>
        <w:t>% of the voting power of our outstanding shares of common stock, voting as a single class. Additionally, the affirmative vote of at least 66</w:t>
      </w:r>
      <w:r>
        <w:rPr>
          <w:rFonts w:ascii="Times New Roman" w:cs="Times New Roman" w:eastAsia="Times New Roman" w:hAnsi="Times New Roman"/>
          <w:sz w:val="11"/>
          <w:szCs w:val="11"/>
          <w:color w:val="auto"/>
        </w:rPr>
        <w:t>2/3</w:t>
      </w:r>
      <w:r>
        <w:rPr>
          <w:rFonts w:ascii="Times New Roman" w:cs="Times New Roman" w:eastAsia="Times New Roman" w:hAnsi="Times New Roman"/>
          <w:sz w:val="20"/>
          <w:szCs w:val="20"/>
          <w:color w:val="auto"/>
        </w:rPr>
        <w:t>% of the voting power of our outstanding shares of common stock, voting as a single class, will be required to amend or repeal certain provisions of our Certificate of Incorporation or to adopt any provision inconsistent with specified provisions of our Certificate of Incorporation. This requirement of a supermajority vote to approve amendments to our Certificate of Incorporation and Bylaws could enable a minority of our stockholders to exercise veto power over any such amendments.</w:t>
      </w:r>
    </w:p>
    <w:p>
      <w:pPr>
        <w:spacing w:after="0" w:line="21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b w:val="1"/>
          <w:bCs w:val="1"/>
          <w:i w:val="1"/>
          <w:iCs w:val="1"/>
          <w:color w:val="auto"/>
        </w:rPr>
        <w:t>Advance Notice Requirements for Stockholder Proposals and Director Nominations</w:t>
      </w:r>
      <w:r>
        <w:rPr>
          <w:rFonts w:ascii="Times New Roman" w:cs="Times New Roman" w:eastAsia="Times New Roman" w:hAnsi="Times New Roman"/>
          <w:sz w:val="20"/>
          <w:szCs w:val="20"/>
          <w:color w:val="auto"/>
        </w:rPr>
        <w:t>. Our Bylaws establish advance notice procedures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respect to stockholder proposals and the nomination of candidates for election as directors. In order for any matter to be “properly brought” before a meeting, a stockholder will have to comply with advance notice requirements and provide us with certain information. Our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obtain control of Priority.</w:t>
      </w:r>
    </w:p>
    <w:p>
      <w:pPr>
        <w:spacing w:after="0" w:line="21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b w:val="1"/>
          <w:bCs w:val="1"/>
          <w:i w:val="1"/>
          <w:iCs w:val="1"/>
          <w:color w:val="auto"/>
        </w:rPr>
        <w:t>Choice of Forum</w:t>
      </w:r>
      <w:r>
        <w:rPr>
          <w:rFonts w:ascii="Times New Roman" w:cs="Times New Roman" w:eastAsia="Times New Roman" w:hAnsi="Times New Roman"/>
          <w:sz w:val="20"/>
          <w:szCs w:val="20"/>
          <w:color w:val="auto"/>
        </w:rPr>
        <w:t>. Our Certificate of Incorporation provides that, unless we consent in writing to the selection of an alternative forum,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Court of Chancery of the State of Delaware (or, if the Court of Chancery does not have jurisdiction, the United States District Court for the District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the Company or any director or officer of our Company arising pursuant to any provision of the DGCL, our Certificate of Incorporation or our Bylaws or (4) any other action asserting a claim against our Company or any director or officer of our Company that is governed by the internal affairs doctrine. Although we believe these provisions benefit us by providing increased consistency in the application of Delaware law for the specified types of actions and proceedings, the provisions may have the effect of discouraging lawsuits against us or our directors and officers. The exclusive forum provision does not apply to any actions under United States federal securities laws.</w:t>
      </w:r>
    </w:p>
    <w:p>
      <w:pPr>
        <w:spacing w:after="0" w:line="20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Controlled Company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Thomas Priore controls a majority of the voting power of Priority's outstanding Common Stock. As a result,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Priority is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22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20"/>
          <w:szCs w:val="20"/>
          <w:color w:val="auto"/>
        </w:rPr>
        <w:t>the requirement that a majority of our board of directors consist of independent directors;</w:t>
      </w:r>
    </w:p>
    <w:p>
      <w:pPr>
        <w:sectPr>
          <w:pgSz w:w="11900" w:h="16838" w:orient="portrait"/>
          <w:cols w:equalWidth="0" w:num="1">
            <w:col w:w="11240"/>
          </w:cols>
          <w:pgMar w:left="320" w:top="83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Exhibit 4.5</w:t>
      </w:r>
    </w:p>
    <w:p>
      <w:pPr>
        <w:spacing w:after="0" w:line="200" w:lineRule="exact"/>
        <w:rPr>
          <w:sz w:val="20"/>
          <w:szCs w:val="20"/>
          <w:color w:val="auto"/>
        </w:rPr>
      </w:pPr>
    </w:p>
    <w:p>
      <w:pPr>
        <w:spacing w:after="0" w:line="210" w:lineRule="exact"/>
        <w:rPr>
          <w:sz w:val="20"/>
          <w:szCs w:val="20"/>
          <w:color w:val="auto"/>
        </w:rPr>
      </w:pPr>
    </w:p>
    <w:p>
      <w:pPr>
        <w:ind w:left="660" w:right="20" w:hanging="328"/>
        <w:spacing w:after="0" w:line="301" w:lineRule="auto"/>
        <w:tabs>
          <w:tab w:leader="none" w:pos="655"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0"/>
          <w:szCs w:val="20"/>
          <w:color w:val="auto"/>
        </w:rPr>
        <w:t>the requirement that we have a Nominating/Corporate Governance Committee that is composed entirely of independent directors with a written charter addressing the committee's purpose and responsibilities; and</w:t>
      </w:r>
    </w:p>
    <w:p>
      <w:pPr>
        <w:spacing w:after="0" w:line="217" w:lineRule="exact"/>
        <w:rPr>
          <w:rFonts w:ascii="Arial" w:cs="Arial" w:eastAsia="Arial" w:hAnsi="Arial"/>
          <w:sz w:val="22"/>
          <w:szCs w:val="22"/>
          <w:color w:val="auto"/>
        </w:rPr>
      </w:pPr>
    </w:p>
    <w:p>
      <w:pPr>
        <w:ind w:left="660" w:right="20" w:hanging="328"/>
        <w:spacing w:after="0" w:line="301" w:lineRule="auto"/>
        <w:tabs>
          <w:tab w:leader="none" w:pos="655"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0"/>
          <w:szCs w:val="20"/>
          <w:color w:val="auto"/>
        </w:rPr>
        <w:t>the requirement that we have a Compensation Committee that is composed entirely of independent directors with a written charter addressing the committee's purpose and responsibilities.</w:t>
      </w:r>
    </w:p>
    <w:p>
      <w:pPr>
        <w:spacing w:after="0" w:line="19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We utilize and intend to continue to utilize these exemptions. As a result, we do not have a majority of independent directors and our Compensation Committee and Nominating/Corporate Governance Committee does not consist entirely of independent directors. Accordingly, our stockholders do not have the same protections afforded to stockholders of companies that are subject to all of the corporate governance requirements of Nasdaq.</w:t>
      </w:r>
    </w:p>
    <w:p>
      <w:pPr>
        <w:spacing w:after="0" w:line="2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No Cumulative Voting</w:t>
      </w:r>
      <w:r>
        <w:rPr>
          <w:rFonts w:ascii="Times New Roman" w:cs="Times New Roman" w:eastAsia="Times New Roman" w:hAnsi="Times New Roman"/>
          <w:sz w:val="20"/>
          <w:szCs w:val="20"/>
          <w:color w:val="auto"/>
        </w:rPr>
        <w:t>. The DGCL provides that stockholders are not entitled to the right to cumulate votes in the election of directors unless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Certificate of Incorporation provides otherwise. Our Certificate of Incorporation prohibits cumulative voting.</w:t>
      </w:r>
    </w:p>
    <w:p>
      <w:pPr>
        <w:spacing w:after="0" w:line="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Delaware General Corporation Law. </w:t>
      </w:r>
      <w:r>
        <w:rPr>
          <w:rFonts w:ascii="Times New Roman" w:cs="Times New Roman" w:eastAsia="Times New Roman" w:hAnsi="Times New Roman"/>
          <w:sz w:val="20"/>
          <w:szCs w:val="20"/>
          <w:color w:val="auto"/>
        </w:rPr>
        <w:t>As a Delaware corporation, we are subject to certain anti-takeover provisions of the DGCL. Subject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certain exceptions, Section 203 of the DGCL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Section 203 of the DGCL makes it more difficult for an interested stockholder to effect various business combinations with a corporation for a three-year period. This statute could prohibit or delay mergers or other takeover or change in control attempts not approved in advance by our Board and as a result could discourage attempts to acquire us, which could depress the market price of our Common Stock.</w:t>
      </w:r>
    </w:p>
    <w:p>
      <w:pPr>
        <w:spacing w:after="0" w:line="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b w:val="1"/>
          <w:bCs w:val="1"/>
          <w:i w:val="1"/>
          <w:iCs w:val="1"/>
          <w:color w:val="auto"/>
        </w:rPr>
        <w:t>Undesignated Preferred Stock</w:t>
      </w:r>
      <w:r>
        <w:rPr>
          <w:rFonts w:ascii="Times New Roman" w:cs="Times New Roman" w:eastAsia="Times New Roman" w:hAnsi="Times New Roman"/>
          <w:sz w:val="20"/>
          <w:szCs w:val="20"/>
          <w:color w:val="auto"/>
        </w:rPr>
        <w:t>. Our Certificate of Incorporation authorizes our Board to issue preferred stock in one or more series and to fix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number of shares constituting such series and the designation of such series, the voting powers (if any) of the shares of such series, and the preferences and relative, participating, optional or other special rights, if any, and any qualifications, limitations or restrictions thereof, of the shares of such series. The powers, preferences and relative, participating, optional and other special rights of each series of preferred stock, and the qualifications, limitations or restrictions thereof, if any, may differ from those of any and all other series at any time outstanding. Except as otherwise required by the Certificate of Incorporation or by applicable law, holders of a series of preferred stock, as such, shall be entitled only to such voting rights, if any, as shall expressly be granted to such holders by the Certificate of Incorporation (including any certificate of designation relating to such</w:t>
      </w:r>
    </w:p>
    <w:p>
      <w:pPr>
        <w:sectPr>
          <w:pgSz w:w="11900" w:h="16838" w:orient="portrait"/>
          <w:cols w:equalWidth="0" w:num="1">
            <w:col w:w="11240"/>
          </w:cols>
          <w:pgMar w:left="320" w:top="83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Exhibit 4.5</w:t>
      </w:r>
    </w:p>
    <w:p>
      <w:pPr>
        <w:spacing w:after="0" w:line="39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series). Our authorized preferred stock consists of 100,000,000 shares of preferred stock, par value $.001 per share. Issuance of preferred stock in the future could discourage bids for the Common stock at a premium as well as create a depressive effect on the market price of the Common stock.</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Removal of Directors; Vacancies</w:t>
      </w:r>
      <w:r>
        <w:rPr>
          <w:rFonts w:ascii="Times New Roman" w:cs="Times New Roman" w:eastAsia="Times New Roman" w:hAnsi="Times New Roman"/>
          <w:sz w:val="20"/>
          <w:szCs w:val="20"/>
          <w:color w:val="auto"/>
        </w:rPr>
        <w:t>. Our Certificate of Incorporation provides that directors may be removed from office only for cause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only upon the affirmative vote of at least 66</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20"/>
          <w:szCs w:val="20"/>
          <w:color w:val="auto"/>
        </w:rPr>
        <w:t>% of the voting power of our outstanding shares of common stock entitled to vote in the election of directors. In addition, any newly-created directorship on our Board that results from an increase in the number of directors and any vacancy occurring on our Board shall be filled only by a majority of the directors then in office, although less than a quorum, or by a sole remaining director.</w:t>
      </w:r>
    </w:p>
    <w:p>
      <w:pPr>
        <w:spacing w:after="0" w:line="20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Special Meetings</w:t>
      </w:r>
      <w:r>
        <w:rPr>
          <w:rFonts w:ascii="Times New Roman" w:cs="Times New Roman" w:eastAsia="Times New Roman" w:hAnsi="Times New Roman"/>
          <w:sz w:val="20"/>
          <w:szCs w:val="20"/>
          <w:color w:val="auto"/>
        </w:rPr>
        <w:t>. A special meeting of stockholders of Priority may be called only by (a) the Board or (b) the Secretary of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upon the written request of stockholders owning at least twenty-five percent (25%) in amount of the entire capital stock of the Company issued and outstanding, or entitled to vote at the special meeting.</w:t>
      </w:r>
    </w:p>
    <w:p>
      <w:pPr>
        <w:sectPr>
          <w:pgSz w:w="11900" w:h="16838" w:orient="portrait"/>
          <w:cols w:equalWidth="0" w:num="1">
            <w:col w:w="11240"/>
          </w:cols>
          <w:pgMar w:left="320" w:top="83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Execution Version</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PRIORITY TECHNOLOGY HOLDINGS,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Bradley J. Miller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April 15, 2022</w:t>
      </w:r>
    </w:p>
    <w:p>
      <w:pPr>
        <w:sectPr>
          <w:pgSz w:w="11900" w:h="16838" w:orient="portrait"/>
          <w:cols w:equalWidth="0" w:num="1">
            <w:col w:w="11240"/>
          </w:cols>
          <w:pgMar w:left="320" w:top="100" w:right="339" w:bottom="1440" w:gutter="0" w:footer="0" w:header="0"/>
        </w:sectPr>
      </w:pPr>
    </w:p>
    <w:bookmarkStart w:id="105" w:name="page106"/>
    <w:bookmarkEnd w:id="105"/>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87" w:lineRule="exact"/>
        <w:rPr>
          <w:sz w:val="20"/>
          <w:szCs w:val="20"/>
          <w:color w:val="auto"/>
        </w:rPr>
      </w:pPr>
    </w:p>
    <w:p>
      <w:pPr>
        <w:jc w:val="both"/>
        <w:ind w:firstLine="212"/>
        <w:spacing w:after="0" w:line="212"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EXECUTIVE EMPLOYMENT AGREEMENT</w:t>
      </w:r>
      <w:r>
        <w:rPr>
          <w:rFonts w:ascii="Times New Roman" w:cs="Times New Roman" w:eastAsia="Times New Roman" w:hAnsi="Times New Roman"/>
          <w:sz w:val="22"/>
          <w:szCs w:val="22"/>
          <w:color w:val="auto"/>
        </w:rPr>
        <w:t xml:space="preserve"> (the “Agreement”) by and among Priority Technology Holdings, Inc., a Delaware corporation with its principal place of business located at 2001 Westside Parkway, Suite 155, Alpharetta, Georgia 30004 (“PRTH”), and </w:t>
      </w:r>
      <w:r>
        <w:rPr>
          <w:rFonts w:ascii="Times New Roman" w:cs="Times New Roman" w:eastAsia="Times New Roman" w:hAnsi="Times New Roman"/>
          <w:sz w:val="22"/>
          <w:szCs w:val="22"/>
          <w:b w:val="1"/>
          <w:bCs w:val="1"/>
          <w:color w:val="auto"/>
        </w:rPr>
        <w:t>Bradley J. Miller</w:t>
      </w:r>
      <w:r>
        <w:rPr>
          <w:rFonts w:ascii="Times New Roman" w:cs="Times New Roman" w:eastAsia="Times New Roman" w:hAnsi="Times New Roman"/>
          <w:sz w:val="22"/>
          <w:szCs w:val="22"/>
          <w:color w:val="auto"/>
        </w:rPr>
        <w:t>, an individual resident of Fulton County, Georgia (“Employee”) is entered into and effective as of the __ day of March, 2022 (the “Effective Date”). PRTH and You are collectively referred to herein as the “Parties”. Further, for purposes of this Agreement, the services provided pursuant to this Agreement are to be performed for the benefit of PRTH and its Subsidiary Affiliates, which are collectively referred to herein as the “Company”, as applicable. “Subsidiary Affiliate” means, with respect to PRTH, any corporation, limited liability company, partnership, firm, joint venture, association, joint-stock company, trust, unincorporated organization, governmental body or other entity that is, directly or indirectly, controlled by or under common control with PRTH.</w:t>
      </w:r>
    </w:p>
    <w:p>
      <w:pPr>
        <w:spacing w:after="0" w:line="149" w:lineRule="exact"/>
        <w:rPr>
          <w:sz w:val="20"/>
          <w:szCs w:val="20"/>
          <w:color w:val="auto"/>
        </w:rPr>
      </w:pPr>
    </w:p>
    <w:p>
      <w:pPr>
        <w:jc w:val="both"/>
        <w:ind w:right="20" w:firstLine="243"/>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PRTH desires to continue to employ Employee on and after the Effective Date and to enter into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Employee embodying the terms of such employment; and</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Employee desires to continue to accept such employment by entering into this Agreement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w:t>
      </w:r>
    </w:p>
    <w:p>
      <w:pPr>
        <w:spacing w:after="0" w:line="146" w:lineRule="exact"/>
        <w:rPr>
          <w:sz w:val="20"/>
          <w:szCs w:val="20"/>
          <w:color w:val="auto"/>
        </w:rPr>
      </w:pPr>
    </w:p>
    <w:p>
      <w:pPr>
        <w:jc w:val="both"/>
        <w:ind w:right="20" w:firstLine="243"/>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promises contained herein,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agree as follows:</w:t>
      </w:r>
    </w:p>
    <w:p>
      <w:pPr>
        <w:spacing w:after="0" w:line="150" w:lineRule="exact"/>
        <w:rPr>
          <w:sz w:val="20"/>
          <w:szCs w:val="20"/>
          <w:color w:val="auto"/>
        </w:rPr>
      </w:pPr>
    </w:p>
    <w:p>
      <w:pPr>
        <w:jc w:val="both"/>
        <w:ind w:firstLine="656"/>
        <w:spacing w:after="0" w:line="217"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Employment</w:t>
      </w:r>
      <w:r>
        <w:rPr>
          <w:rFonts w:ascii="Times New Roman" w:cs="Times New Roman" w:eastAsia="Times New Roman" w:hAnsi="Times New Roman"/>
          <w:sz w:val="22"/>
          <w:szCs w:val="22"/>
          <w:color w:val="auto"/>
        </w:rPr>
        <w:t>. Employee is employed by the Company as its General Counsel and Chief Risk Officer as of the Effective Date. PRTH hereby agrees to employ Employee, and Employee hereby accepts such employment with PRTH, upon the terms and subject to the conditions set forth in this Agreement, for a period commencing on the Effective Date and continuing for an initial term of three (3) years with automatic successive one-year extension terms thereafter unless earlier terminated in accordance with the provisions of Section 5 (the “</w:t>
      </w: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Title; Duties</w:t>
      </w:r>
      <w:r>
        <w:rPr>
          <w:rFonts w:ascii="Times New Roman" w:cs="Times New Roman" w:eastAsia="Times New Roman" w:hAnsi="Times New Roman"/>
          <w:sz w:val="21"/>
          <w:szCs w:val="21"/>
          <w:color w:val="auto"/>
        </w:rPr>
        <w:t>. Employee shall serve as the General Counsel and Chief Risk Officer. Employee shall report to Chief Executive Officer (“CEO”). Employee shall provide such management updates, division performance updates, personnel and operational updates, and any such other updates or business performance reports as reasonably requested by the CEO. Employee further agrees to devote substantially all of Employee’s working time and attention on a full time basis to such duties and responsibilities, except for PTO, absence for sickness or similar disability in accordance with the Company’s existing policies and practices, and reasonable amounts of time spent performing services for any charitable, religious, or community organizations, so long as such services do not interfere with the performance of Employee’s duties under this Agreement.</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Conflicting Commitments</w:t>
      </w:r>
      <w:r>
        <w:rPr>
          <w:rFonts w:ascii="Times New Roman" w:cs="Times New Roman" w:eastAsia="Times New Roman" w:hAnsi="Times New Roman"/>
          <w:sz w:val="22"/>
          <w:szCs w:val="22"/>
          <w:color w:val="auto"/>
        </w:rPr>
        <w:t>. Employee will not enter into any employment or consulting agreement that, in the opinion of the Board, conflicts with the Company’s interests or that might impair the performance of Employee’s duties as an employee of the Company consistent with the terms of this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56"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79"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Salary &amp; Bonus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60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shall pay Employee for Employee’s services hereunder a base salary at the initial annual rate of Three Hundred Seventy-Five Thousand Dollars ($375,000), payable in regular installments in accordance with the Company’s usual payment practices and subject to annual review and increase. Such amount (as it may be increased from time to time) shall be referred to herein as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will review the Base Salary of Employee at least annually and may increase (but not decrease other than pursuant to across-the-board reductions for all or substantially all employees or personnel similarly situated) the Base Salary based upon the past and projected performance of the Company.</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59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Beginning with calendar years commencing on and after January 1, 2022, Employee will be eligible to receive an annual bonus during the Employment Term (“Bonus”). The target Bonus for each calendar year shall be in the range of twenty five percent (25%) to fifty percent (50%) of Employee’s Base Salary with the actual amount to be based on the level of achievement of individual and Company performance criteria established by the Board for such calendar year and paid out as approved by the Board. Employee will not be eligible to receive any Bonus if Employee is not employed on the last day of the calendar year for which the Bonus is to be paid, except as provided in Section 5 below. The Bonus will be subject to all applicable withholdings and will be paid no later than sixty (60) days after the end of the applicable calendar year.</w:t>
      </w:r>
    </w:p>
    <w:p>
      <w:pPr>
        <w:spacing w:after="0" w:line="156" w:lineRule="exact"/>
        <w:rPr>
          <w:rFonts w:ascii="Times New Roman" w:cs="Times New Roman" w:eastAsia="Times New Roman" w:hAnsi="Times New Roman"/>
          <w:sz w:val="22"/>
          <w:szCs w:val="22"/>
          <w:color w:val="auto"/>
        </w:rPr>
      </w:pPr>
    </w:p>
    <w:p>
      <w:pPr>
        <w:ind w:left="740" w:right="80" w:firstLine="1212"/>
        <w:spacing w:after="0" w:line="212" w:lineRule="auto"/>
        <w:tabs>
          <w:tab w:leader="none" w:pos="26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Incentive</w:t>
      </w:r>
      <w:r>
        <w:rPr>
          <w:rFonts w:ascii="Times New Roman" w:cs="Times New Roman" w:eastAsia="Times New Roman" w:hAnsi="Times New Roman"/>
          <w:sz w:val="22"/>
          <w:szCs w:val="22"/>
          <w:color w:val="auto"/>
        </w:rPr>
        <w:t>. Employee has been awarded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and may be awarded in the future. Notwithstanding the foregoing or anything in this Agreement or the PRTH Equity Incentive Plan to the contrary, the unvested portion of any outstanding Restricted Stock Unit award granted to Employee under the PRTH Equity Incentive Plan shall immediately and automatically become one-hundred percent (100%) vested upon the closing of any go-private transaction that causes all of the equity to cease to be publicly traded on Nasdaq or any other public stock exchange or in the event of a Change of Control of the Company. For purposes of this definition, a “Change of Control” shall have such meaning as defined in the Company’s Credit and Guaranty Agreement with Truist Bank dated April 27, 2021, as amended from time to time (the “Truist Agreement”).</w:t>
      </w:r>
    </w:p>
    <w:p>
      <w:pPr>
        <w:spacing w:after="0" w:line="156"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Subject to any contributions therefor generally required of employees of the Company, Employee shall be entitled to receive such employee benefits (including fringe benefits, 401(k) plan participation, and life, health, dental, accident and short- and long-term disability insurance) that the Company may, in its sole and absolute discretion, make available generally to its employees or personnel similarly situated; provided that, Employee acknowledges and agrees that any such employee benefit plans may be altered, modified or terminated by the Company in accordance with their terms at any time in its sole discretion without recourse by Employee.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Employee shall be entitled to paid time off (“</w:t>
      </w:r>
      <w:r>
        <w:rPr>
          <w:rFonts w:ascii="Times New Roman" w:cs="Times New Roman" w:eastAsia="Times New Roman" w:hAnsi="Times New Roman"/>
          <w:sz w:val="22"/>
          <w:szCs w:val="22"/>
          <w:u w:val="single" w:color="auto"/>
          <w:color w:val="auto"/>
        </w:rPr>
        <w:t>PTO</w:t>
      </w:r>
      <w:r>
        <w:rPr>
          <w:rFonts w:ascii="Times New Roman" w:cs="Times New Roman" w:eastAsia="Times New Roman" w:hAnsi="Times New Roman"/>
          <w:sz w:val="22"/>
          <w:szCs w:val="22"/>
          <w:color w:val="auto"/>
        </w:rPr>
        <w:t>”), accrued in accordance with the Company’s existing policies and practices, provided that such PTO shall to be taken at such time or times as shall be mutually convenient for the Company and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Business Expenses and Perquisites</w:t>
      </w:r>
      <w:r>
        <w:rPr>
          <w:rFonts w:ascii="Times New Roman" w:cs="Times New Roman" w:eastAsia="Times New Roman" w:hAnsi="Times New Roman"/>
          <w:sz w:val="22"/>
          <w:szCs w:val="22"/>
          <w:color w:val="auto"/>
        </w:rPr>
        <w:t>. Upon delivery of adequate documentation of expenses incurred in accordance with the policies and practices of the Company as may from time to time be in effect, Employee shall be entitled to reimbursement by the Company for reasonable travel and other business expenses incurred by Employee in the performance of Employee’s duties hereunder.</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Certain Other Matters</w:t>
      </w:r>
      <w:r>
        <w:rPr>
          <w:rFonts w:ascii="Times New Roman" w:cs="Times New Roman" w:eastAsia="Times New Roman" w:hAnsi="Times New Roman"/>
          <w:sz w:val="22"/>
          <w:szCs w:val="22"/>
          <w:color w:val="auto"/>
        </w:rPr>
        <w:t>. In connection with this Agreement, Employee shall execute and deliver the Employee Confidentiality, Assignment of Inventions, and Non-Solicitation Agreement (the “</w:t>
      </w:r>
      <w:r>
        <w:rPr>
          <w:rFonts w:ascii="Times New Roman" w:cs="Times New Roman" w:eastAsia="Times New Roman" w:hAnsi="Times New Roman"/>
          <w:sz w:val="22"/>
          <w:szCs w:val="22"/>
          <w:u w:val="single" w:color="auto"/>
          <w:color w:val="auto"/>
        </w:rPr>
        <w:t>Non-Solicitation Agreement</w:t>
      </w:r>
      <w:r>
        <w:rPr>
          <w:rFonts w:ascii="Times New Roman" w:cs="Times New Roman" w:eastAsia="Times New Roman" w:hAnsi="Times New Roman"/>
          <w:sz w:val="22"/>
          <w:szCs w:val="22"/>
          <w:color w:val="auto"/>
        </w:rPr>
        <w:t xml:space="preserve">”) attached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All of Employee’s compensation, including, without limitation, the Base Salary and Bonus, shall be subject to withholding for all applicable federal, state and local employment-related taxes, including income, social security, and similar taxes.</w:t>
      </w:r>
    </w:p>
    <w:p>
      <w:pPr>
        <w:spacing w:after="0" w:line="152"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Termination by the Company</w:t>
      </w:r>
      <w:r>
        <w:rPr>
          <w:rFonts w:ascii="Times New Roman" w:cs="Times New Roman" w:eastAsia="Times New Roman" w:hAnsi="Times New Roman"/>
          <w:sz w:val="22"/>
          <w:szCs w:val="22"/>
          <w:color w:val="auto"/>
        </w:rPr>
        <w:t>. The Company may terminate Employee’s employment hereunder at any time with or without cause to be effective immediately upon delivery of notice thereof. The effective date of Employee’s termination shall be referred to herein as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If Employee’s employment is terminated by the Company pursuant to this Section 5.1, the Company shall pay Employee all earned but unpaid Base Salary prior to the Termination Date and, if consistent with the Company’s then-current policies and practices, the cash value of any accrued but unused PTO as of the Termination Date (collectively,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left="660" w:firstLine="1292"/>
        <w:spacing w:after="0" w:line="210" w:lineRule="auto"/>
        <w:tabs>
          <w:tab w:leader="none" w:pos="260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Cause Termination</w:t>
      </w:r>
      <w:r>
        <w:rPr>
          <w:rFonts w:ascii="Times New Roman" w:cs="Times New Roman" w:eastAsia="Times New Roman" w:hAnsi="Times New Roman"/>
          <w:sz w:val="22"/>
          <w:szCs w:val="22"/>
          <w:color w:val="auto"/>
        </w:rPr>
        <w:t>. In the event Employee’s employment is terminated during the initial term of this Agreement by the Company or surviving companies (i.e., if the Company is acquired), in addition to the Accrued Obligations, for reasons other than for cause pursuant to Section 5.1(b) below, the Company shall also pay Employee (in increments according to the Company’s normal payroll schedule) the Base Salary for a period of six (6) months following the Termination Date and the earned but unpaid portion of the Bonus for the calendar year preceding the calendar year in which the Termination Date occurs (collectively, the “</w:t>
      </w:r>
      <w:r>
        <w:rPr>
          <w:rFonts w:ascii="Times New Roman" w:cs="Times New Roman" w:eastAsia="Times New Roman" w:hAnsi="Times New Roman"/>
          <w:sz w:val="22"/>
          <w:szCs w:val="22"/>
          <w:u w:val="single" w:color="auto"/>
          <w:color w:val="auto"/>
        </w:rPr>
        <w:t>Severance Package</w:t>
      </w:r>
      <w:r>
        <w:rPr>
          <w:rFonts w:ascii="Times New Roman" w:cs="Times New Roman" w:eastAsia="Times New Roman" w:hAnsi="Times New Roman"/>
          <w:sz w:val="22"/>
          <w:szCs w:val="22"/>
          <w:color w:val="auto"/>
        </w:rPr>
        <w:t>”), provided that Employee satisfies the conditions set forth at the end of this paragraph (the “</w:t>
      </w:r>
      <w:r>
        <w:rPr>
          <w:rFonts w:ascii="Times New Roman" w:cs="Times New Roman" w:eastAsia="Times New Roman" w:hAnsi="Times New Roman"/>
          <w:sz w:val="22"/>
          <w:szCs w:val="22"/>
          <w:u w:val="single" w:color="auto"/>
          <w:color w:val="auto"/>
        </w:rPr>
        <w:t>Severance Conditions</w:t>
      </w:r>
      <w:r>
        <w:rPr>
          <w:rFonts w:ascii="Times New Roman" w:cs="Times New Roman" w:eastAsia="Times New Roman" w:hAnsi="Times New Roman"/>
          <w:sz w:val="22"/>
          <w:szCs w:val="22"/>
          <w:color w:val="auto"/>
        </w:rPr>
        <w:t xml:space="preserve">”). Employee shall not be eligible for the Severance Package unless and until twenty-eight (28) days (including a seven-day revocation period) after Employee has first satisfied and continues to satisfy the following Severance Conditions: (1) Employee is in compliance with the Non-Solicitation Agreement; (2) Employee is in compliance with all of Employee’s obligations under this Agreement; and (3) Employee executes and delivers a waiver and general release of claims in favor of the Company and its affiliates substantially in the form of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 Cause Termination</w:t>
      </w:r>
      <w:r>
        <w:rPr>
          <w:rFonts w:ascii="Times New Roman" w:cs="Times New Roman" w:eastAsia="Times New Roman" w:hAnsi="Times New Roman"/>
          <w:sz w:val="22"/>
          <w:szCs w:val="22"/>
          <w:color w:val="auto"/>
        </w:rPr>
        <w:t>. In the event Employee’s employment is terminated “for cause” (defined below) by the Company under this Section 5.1(b), the Company shall pay Employee only the Accrued Obligations. For purposes of this Agreement, “for cause” means: (i) Employee’s arbitrary, unreasonable or willful failure to perform, in any material respect, the duties and responsibilities required hereunder and assigned by the CEO from time to time (including, without limitation, continuous constructive collaboration with the Executive Chairman and other members of the management team) that is not cured by Employee within ten days after the first notice from the Company specifying the nature of the default in reasonable detail (i.e., how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79" w:lineRule="exact"/>
        <w:rPr>
          <w:sz w:val="20"/>
          <w:szCs w:val="20"/>
          <w:color w:val="auto"/>
        </w:rPr>
      </w:pPr>
    </w:p>
    <w:p>
      <w:pPr>
        <w:jc w:val="both"/>
        <w:ind w:left="660"/>
        <w:spacing w:after="0" w:line="209" w:lineRule="auto"/>
        <w:rPr>
          <w:sz w:val="20"/>
          <w:szCs w:val="20"/>
          <w:color w:val="auto"/>
        </w:rPr>
      </w:pPr>
      <w:r>
        <w:rPr>
          <w:rFonts w:ascii="Times New Roman" w:cs="Times New Roman" w:eastAsia="Times New Roman" w:hAnsi="Times New Roman"/>
          <w:sz w:val="22"/>
          <w:szCs w:val="22"/>
          <w:color w:val="auto"/>
        </w:rPr>
        <w:t>Employee has failed to perform or comply) or, if the default cannot be cured within such ten-day period, failure of Employee within such ten-day period to commence and pursue curative action with reasonable diligence; (ii) Employee’s gross negligence or willful misconduct in the performance of Employee’s duties under this Agreement; (iii) Employee’s commission of an act constituting fraud, embezzlement, breach of any fiduciary duty owed to the Company or its shareholders or other material dishonesty with respect to the Company; (iv) Employee’s conviction of, or the filing of a plea of nolo contendere or its equivalent, with respect to a felony or any other crime involving dishonesty or moral turpitude; (v) substance abuse (for the purposes of this agreement substance abuse is the use of alcohol or illegal substances including misuse of otherwise legally obtained medications that otherwise interferes with Employee’s ability to perform the functions of the position) that is materially injurious to the Company (whether from a monetary perspective or otherwise); or (vi) Employee’s material breach of Employee’s obligations under this Agreement or the Non-Solicitation Agreement that is not cured by Employee within ten days after the first notice from the Company specifying the nature of the default in reasonable detail (i.e., how Employee has failed to perform or comply) or, if the default cannot be cured within such ten-day period, failure of Employee within such ten-day period to commence and pursue curative action with reasonable diligence and to the reasonable satisfaction of the Company.</w:t>
      </w:r>
    </w:p>
    <w:p>
      <w:pPr>
        <w:spacing w:after="0" w:line="156"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Termination by Employee; Deemed Termination</w:t>
      </w:r>
      <w:r>
        <w:rPr>
          <w:rFonts w:ascii="Times New Roman" w:cs="Times New Roman" w:eastAsia="Times New Roman" w:hAnsi="Times New Roman"/>
          <w:sz w:val="22"/>
          <w:szCs w:val="22"/>
          <w:color w:val="auto"/>
        </w:rPr>
        <w:t>. Employee’s employment hereunder may be terminated by Employee at any time upon not less than ninety (90) days’ prior written notice from Employee to the Company. Employee agrees that such notice period is reasonable and necessary in light of the duties assumed by Employee pursuant to this Agreement and fair in light of the consideration Employee is receiving pursuant to this Agreement. In the event of such notice by Employee, the Company may limit the Employee’s activities during the notice period or the Company may impose any other restrictions it deems necessary and reasonable, including relieving Employee of all duties during the notice period.</w:t>
      </w:r>
    </w:p>
    <w:p>
      <w:pPr>
        <w:spacing w:after="0" w:line="152" w:lineRule="exact"/>
        <w:rPr>
          <w:sz w:val="20"/>
          <w:szCs w:val="20"/>
          <w:color w:val="auto"/>
        </w:rPr>
      </w:pPr>
    </w:p>
    <w:p>
      <w:pPr>
        <w:jc w:val="both"/>
        <w:ind w:left="660" w:firstLine="1292"/>
        <w:spacing w:after="0" w:line="209" w:lineRule="auto"/>
        <w:tabs>
          <w:tab w:leader="none" w:pos="260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Good Reason</w:t>
      </w:r>
      <w:r>
        <w:rPr>
          <w:rFonts w:ascii="Times New Roman" w:cs="Times New Roman" w:eastAsia="Times New Roman" w:hAnsi="Times New Roman"/>
          <w:sz w:val="22"/>
          <w:szCs w:val="22"/>
          <w:color w:val="auto"/>
        </w:rPr>
        <w:t>. Notwithstanding the foregoing, Employee shall be deemed to have terminated Employee’s employment with the Company for “good reason” and, in such case, in addition to the Accrued Obligations, Employee shall be entitled to the Severance Package (provided Employee satisfies the Severance Conditions) in the event any of the following occurs and Employee provides to the Company Notice of Termination (as defined in Section 5.3) during the time frame specified above or, if later, after any applicable cure period: (i) the Company reduces Employee’s Base Salary or benefits (other than in connection with a proportional reduction of the base salaries or benefits in excess of twenty percent (20%) of all executive employees of the Company); or (ii) the Company materially breaches any of Sections 4.1 through 4.4 hereof; provided that any of the events described in clauses (i) or (ii) of this Section 5.2(a) shall be deemed termination for “good reason” only if the Company fails to cure such event within ten days after a written notice is delivered by Employee to the Company specifically identifying the event that may be deemed termination for “good reason” pursuant to this Section 5.2(a) or, if the default cannot be cured within such ten-day period, failure of the Company within such ten-day period to commence and pursue curative action with reasonable diligence and to the reasonable satisfaction of Employee.</w:t>
      </w:r>
    </w:p>
    <w:p>
      <w:pPr>
        <w:spacing w:after="0" w:line="160"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Good Reason</w:t>
      </w:r>
      <w:r>
        <w:rPr>
          <w:rFonts w:ascii="Times New Roman" w:cs="Times New Roman" w:eastAsia="Times New Roman" w:hAnsi="Times New Roman"/>
          <w:sz w:val="22"/>
          <w:szCs w:val="22"/>
          <w:color w:val="auto"/>
        </w:rPr>
        <w:t>. In the event Employee terminates Employee’s employment with the Company without “good reason” (as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54"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defined in Section 5.2(a)), the Company shall only pay Employee the Accrued Obligations.</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employment by the Company or Employee shall be communicated by written Notice of Termination to the other Party in accordance with Section 9 hereof. For purposes of this Agreement,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means a notice that shall indicate the specific termination provision in this Agreement relied upon and shall set forth in reasonable detail the facts and circumstances claimed to provide a basis for termination of employment under the provision so indicated.</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Sections 4, 5, and 6 hereof and the Non-Solicitation Agreement shall survive the termination of this Agreement.</w:t>
      </w:r>
    </w:p>
    <w:p>
      <w:pPr>
        <w:spacing w:after="0" w:line="150" w:lineRule="exact"/>
        <w:rPr>
          <w:sz w:val="20"/>
          <w:szCs w:val="20"/>
          <w:color w:val="auto"/>
        </w:rPr>
      </w:pPr>
    </w:p>
    <w:p>
      <w:pPr>
        <w:ind w:firstLine="656"/>
        <w:spacing w:after="0" w:line="236" w:lineRule="auto"/>
        <w:tabs>
          <w:tab w:leader="none" w:pos="12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In connection with this Agreement, Employee has executed the Non-Solicitation Agreement, which is incorporated herein by reference and made a part of this Agreement.</w:t>
      </w:r>
    </w:p>
    <w:p>
      <w:pPr>
        <w:spacing w:after="0" w:line="150"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Employee agrees that upon termination of Employee’s employment hereunder, Employee shall return immediately to the Company any proprietary materials, any materials containing Confidential Information (as defined in the Non-Solicitation Agreement) and any other Company or Company affiliate’s property then in Employee’s possession or under Employee’s control, including without limitation all notes, customer, voluntary benefits carrier, employer, employee and broker lists and contact information, drawings, memoranda, magnetic disks or tapes, or other recording media containing such Confidential Information, whether alone or together with non-confidential information, all documents, reports, files, memoranda, records, software, credit cards, door and file keys, telephones, personal digital assistants, computers, tablet devices, computer access codes, disks and instructional manuals, or any other physical property that Employee received, had access to, prepared, or helped prepare in connection with Employee’s employment under this Agreement. Following termination, Employee shall not retain any copies, duplicates, reproductions, or excerpts of Confidential Information, nor shall Employee show or give any of the above to any third party. Employee further agrees that Employee shall not retain or use for Employee’s account at any time any trade name, trademark, service mark, logo or other proprietary business designation used or owned in connection with the business of the Company or any affiliate of the Company.</w:t>
      </w:r>
    </w:p>
    <w:p>
      <w:pPr>
        <w:spacing w:after="0" w:line="16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 Remedies</w:t>
      </w:r>
      <w:r>
        <w:rPr>
          <w:rFonts w:ascii="Times New Roman" w:cs="Times New Roman" w:eastAsia="Times New Roman" w:hAnsi="Times New Roman"/>
          <w:sz w:val="22"/>
          <w:szCs w:val="22"/>
          <w:color w:val="auto"/>
        </w:rPr>
        <w:t>. Employee agrees that, in the event of a breach or threatened breach of the Non-Solicitation Agreement, in addition to any remedies at law, the Company, without posting any bond, shall be entitled to obtain equitable relief in the form of specific performance, temporary restraining orders, temporary or permanent injunctions or any other equitable remedy that may then be available.</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hereunder by either Party to the other shall be given in writing by personal delivery, email (with confirmation from the receiving party), facsimile, overnight courier or certified mail, return receipt requested, addressed, if to the Company, to the attention of the CEO at the Company’s executive offices or to such other address as the Company may designate in writing at any time or from time to time to Employee with a copy (which shall not constitute notice) to the Company’s General Counsel at the Company’s executives offices, and if to Employee, to Employee’s most recent address and contact information on file with the Company. Notice shall be deemed given, if by personal delivery or by overnight courier, on the date of such delivery or, if by facsimile, on the business day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following receipt of delivery confirmation, if by email, on the date confirmation from the receiving Party is received by the Party providing notice, or, if by certified mail, on the date shown on the applicable return receipt.</w:t>
      </w:r>
    </w:p>
    <w:p>
      <w:pPr>
        <w:spacing w:after="0" w:line="150" w:lineRule="exact"/>
        <w:rPr>
          <w:sz w:val="20"/>
          <w:szCs w:val="20"/>
          <w:color w:val="auto"/>
        </w:rPr>
      </w:pPr>
    </w:p>
    <w:p>
      <w:pPr>
        <w:jc w:val="both"/>
        <w:ind w:firstLine="656"/>
        <w:spacing w:after="0" w:line="224" w:lineRule="auto"/>
        <w:tabs>
          <w:tab w:leader="none" w:pos="129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This Agreement shall inure to the benefit of the Company and its respective successors and assigns. This Agreement may not be assigned by either Party without the prior written consent of the other Party; provided that the Company may assign this Agreement without Employee’s consent to an affiliate of the Company (or its successor),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in the event of a sale of all or substantially all of the assets of the Company or any direct or indirect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division or subsidiary thereof to which employee’s employment primarily relates, the Company may provide that this Agreement will be assigned to, and assumed by, the acquiror of such assets, it being agreed that in such circumstances, Employee’s consent will not be required in connection therewith. This Agreement shall be binding on the Parties’ permitted successors and assigns.</w:t>
      </w:r>
    </w:p>
    <w:p>
      <w:pPr>
        <w:spacing w:after="0" w:line="150" w:lineRule="exact"/>
        <w:rPr>
          <w:rFonts w:ascii="Times New Roman" w:cs="Times New Roman" w:eastAsia="Times New Roman" w:hAnsi="Times New Roman"/>
          <w:sz w:val="21"/>
          <w:szCs w:val="21"/>
          <w:color w:val="auto"/>
        </w:rPr>
      </w:pPr>
    </w:p>
    <w:p>
      <w:pPr>
        <w:jc w:val="both"/>
        <w:ind w:firstLine="656"/>
        <w:spacing w:after="0" w:line="220" w:lineRule="auto"/>
        <w:tabs>
          <w:tab w:leader="none" w:pos="128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Non-Solicitation Agreement, and the Company’s policies and procedures as approved by the Company and in effect and as amended from time to time constitute the entire agreement between the Parties with respect to the subject matter hereof. To the extent there is any conflict between this Agreement and the Non-Solicitation Agreement, this Agreement shall prevail.</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Parties shall each pay their own respective expenses incident to the enforcement or interpretation of, or dispute resolution with respect to, this Agreement, including all fees and expenses of their counsel for all activities of such counsel undertaken pursuant to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(INCLUDING ANY CLAIM OR CONTROVERSY ARISING OUT OF OR RELATING TO THIS AGREEMENT) SHALL BE GOVERNED BY AND CONSTRUED IN ACCORDANCE WITH THE LAWS OF THE STATE OF GEORGIA, WITHOUT REGARD TO CONFLICT OF LAW PRINCIPLES THAT WOULD RESULT IN THE APPLICATION OF ANY LAW OTHER THAN THE LAWS OF THE STATE OF GEORGIA. ANY DISPUTE OR CLAIM ARISING OUT OF OR RELATING TO THIS AGREEMENT OR CLAIM OF BREACH HEREOF SHALL BE BROUGHT EXCLUSIVELY IN THE UNITED STATES DISTRICT COURT FOR THE NORTHERN DISTRICT OF GEORGIA, ATLANTA DIVISION, TO THE EXTENT FEDERAL JURISDICTION EXISTS, AND IN THE SUPERIOR COURT OF FULTON COUNTY, GEORGIA, BUT ONLY IN THE EVENT FEDERAL JURISDICTION DOES NOT EXIST, AND ANY APPLICABLE APPELLATE COURTS. BY EXECUTION OF THIS AGREEMENT, THE PARTIES HERETO, AND THEIR RESPECTIVE AFFILIATES, CONSENT TO THE EXCLUSIVE JURISDICTION OF SUCH COURTS, AND WAIVE ANY RIGHT TO CHALLENGE JURISDICTION OR VENUE IN SUCH COURT WITH REGARD TO ANY SUIT, ACTION, OR PROCEEDING UNDER OR IN CONNECTION WITH THIS AGREEMENT.</w:t>
      </w:r>
    </w:p>
    <w:p>
      <w:pPr>
        <w:spacing w:after="0" w:line="151"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HEREBY WAIVES, TO THE FULLEST EXTENT PERMITTED BY APPLICABLE LAW, ANY RIGHT SUCH PARTY MAY HAVE TO A TRIAL BY JURY IN ANY LEGAL PROCEEDING DIRECTLY OR INDIRECTLY ARISING OUT OF OR RELATING TO THIS AGREEMENT OR THE TRANSACTIONS CONTEMPLATED HEREBY (WHETHER BASED ON CONTRACT, TORT OR ANY OTHER THEORY). EACH PARTY</w:t>
      </w:r>
    </w:p>
    <w:p>
      <w:pPr>
        <w:spacing w:after="0" w:line="2" w:lineRule="exact"/>
        <w:rPr>
          <w:rFonts w:ascii="Times New Roman" w:cs="Times New Roman" w:eastAsia="Times New Roman" w:hAnsi="Times New Roman"/>
          <w:sz w:val="22"/>
          <w:szCs w:val="22"/>
          <w:color w:val="auto"/>
        </w:rPr>
      </w:pPr>
    </w:p>
    <w:p>
      <w:pPr>
        <w:ind w:firstLine="8"/>
        <w:spacing w:after="0" w:line="225" w:lineRule="auto"/>
        <w:tabs>
          <w:tab w:leader="none" w:pos="36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CERTIFIES THAT NO REPRESENTATIVE, AGENT OR ATTORNEY OF ANY OTHER PARTY HAS REPRESENTED, EXPRESSLY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5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OTHERWISE, THAT SUCH OTHER PARTY WOULD NOT, IN THE EVENT OF LITIGATION, SEEK TO ENFORCE THE FOREGOING WAIVER AND (B) ACKNOWLEDGES THAT IT AND THE OTHER PARTIES HAVE BEEN INDUCED TO ENTER INTO THIS AGREEMENT BY, AMONG OTHER THINGS, THE MUTUAL WAIVERS AND CERTIFICATIONS IN THIS SECTION.</w:t>
      </w:r>
    </w:p>
    <w:p>
      <w:pPr>
        <w:spacing w:after="0" w:line="152" w:lineRule="exact"/>
        <w:rPr>
          <w:sz w:val="20"/>
          <w:szCs w:val="20"/>
          <w:color w:val="auto"/>
        </w:rPr>
      </w:pPr>
    </w:p>
    <w:p>
      <w:pPr>
        <w:jc w:val="both"/>
        <w:ind w:firstLine="656"/>
        <w:spacing w:after="0" w:line="212"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Further Agreements</w:t>
      </w:r>
      <w:r>
        <w:rPr>
          <w:rFonts w:ascii="Times New Roman" w:cs="Times New Roman" w:eastAsia="Times New Roman" w:hAnsi="Times New Roman"/>
          <w:sz w:val="22"/>
          <w:szCs w:val="22"/>
          <w:color w:val="auto"/>
        </w:rPr>
        <w:t>. Any waiver of any terms or conditions of this Agreement shall not operate as a waiver of any other breach of such terms or conditions or any other term or condition, nor shall any failure to enforce any provision hereof operate as a waiver of such provision or of any other provision hereof; provided, that no such written waiver, unless it, by its own terms, explicitly provides to the contrary, shall be construed to effect a continuing waiver of the provision being waived and no such waiver in any instance shall constitute a waiver in any other instance or for any other purpose or impair the right of the Party against whom such waiver is claimed in all other instances or for all other purposes to require full compliance with such provision. Each Party agrees to execute all such further instruments and documents and to take all such further action as the other Party may reasonably request to effectuate the terms and purposes of this Agreement.</w:t>
      </w:r>
    </w:p>
    <w:p>
      <w:pPr>
        <w:spacing w:after="0" w:line="156"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not be amended, nor shall any waiver, change, modification, consent or discharge be effected, except by an instrument in writing executed by both Parties.</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Headings</w:t>
      </w:r>
      <w:r>
        <w:rPr>
          <w:rFonts w:ascii="Times New Roman" w:cs="Times New Roman" w:eastAsia="Times New Roman" w:hAnsi="Times New Roman"/>
          <w:sz w:val="22"/>
          <w:szCs w:val="22"/>
          <w:color w:val="auto"/>
        </w:rPr>
        <w:t>. If any portion of this Agreement is held invalid or inoperative, the other portions of this Agreement shall be deemed valid and operative and, so far as is reasonable and possible, effect shall be given to the intent manifested by the portion held invalid or inoperative. The section headings are for reference purposes only and are not intended in any way to describe, interpret, define or limit the extent of the Agreement or of any part 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 This Agreement may be executed by facsimile and electronically transmitted signature (e.g., portable document format) and such signatures shall be deemed to be originals.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Advice</w:t>
      </w:r>
      <w:r>
        <w:rPr>
          <w:rFonts w:ascii="Times New Roman" w:cs="Times New Roman" w:eastAsia="Times New Roman" w:hAnsi="Times New Roman"/>
          <w:sz w:val="22"/>
          <w:szCs w:val="22"/>
          <w:color w:val="auto"/>
        </w:rPr>
        <w:t>. Employee acknowledges that Employee has been advised to seek the advice of independent legal counsel and has either obtained such advice or has voluntarily and without compulsion elected to enter into and be bound by the terms of this Agreement without such advice of independent legal counsel.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40"/>
          </w:cols>
          <w:pgMar w:left="320" w:top="144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duly executed and delivered this Employment Agreement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w:t>
      </w:r>
    </w:p>
    <w:p>
      <w:pPr>
        <w:spacing w:after="0" w:line="3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Bradley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-148590</wp:posOffset>
            </wp:positionV>
            <wp:extent cx="8229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Priority Technology Holdings, Inc.</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-5715</wp:posOffset>
            </wp:positionV>
            <wp:extent cx="6858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-5080</wp:posOffset>
            </wp:positionV>
            <wp:extent cx="8229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-29210</wp:posOffset>
            </wp:positionV>
            <wp:extent cx="6858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ectPr>
          <w:pgSz w:w="11900" w:h="16838" w:orient="portrait"/>
          <w:cols w:equalWidth="0" w:num="1">
            <w:col w:w="11240"/>
          </w:cols>
          <w:pgMar w:left="320" w:top="10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EMPLOYEE CONFIDENTIALITY, ASSIGNMENT OF INVENTIONS,</w:t>
      </w:r>
    </w:p>
    <w:p>
      <w:pPr>
        <w:jc w:val="center"/>
        <w:spacing w:after="0"/>
        <w:rPr>
          <w:sz w:val="20"/>
          <w:szCs w:val="20"/>
          <w:color w:val="auto"/>
        </w:rPr>
      </w:pPr>
      <w:r>
        <w:rPr>
          <w:rFonts w:ascii="Times New Roman" w:cs="Times New Roman" w:eastAsia="Times New Roman" w:hAnsi="Times New Roman"/>
          <w:sz w:val="22"/>
          <w:szCs w:val="22"/>
          <w:b w:val="1"/>
          <w:bCs w:val="1"/>
          <w:color w:val="auto"/>
        </w:rPr>
        <w:t>AND NON-SOLICITATION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Bradley J. Miller</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In consideration of my employment with and continued employment by </w:t>
      </w:r>
      <w:r>
        <w:rPr>
          <w:rFonts w:ascii="Times New Roman" w:cs="Times New Roman" w:eastAsia="Times New Roman" w:hAnsi="Times New Roman"/>
          <w:sz w:val="22"/>
          <w:szCs w:val="22"/>
          <w:b w:val="1"/>
          <w:bCs w:val="1"/>
          <w:color w:val="auto"/>
        </w:rPr>
        <w:t>Priority Technology Holdings, Inc., a Delaware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corporation </w:t>
      </w:r>
      <w:r>
        <w:rPr>
          <w:rFonts w:ascii="Times New Roman" w:cs="Times New Roman" w:eastAsia="Times New Roman" w:hAnsi="Times New Roman"/>
          <w:sz w:val="22"/>
          <w:szCs w:val="22"/>
          <w:color w:val="auto"/>
        </w:rPr>
        <w:t>(together with its affiliates,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for other valuable consideration, the receipt and sufficiency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is hereby acknowledged, I agree as follows:</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Confidentiality</w:t>
      </w:r>
    </w:p>
    <w:p>
      <w:pPr>
        <w:spacing w:after="0" w:line="183" w:lineRule="exact"/>
        <w:rPr>
          <w:sz w:val="20"/>
          <w:szCs w:val="20"/>
          <w:color w:val="auto"/>
        </w:rPr>
      </w:pPr>
    </w:p>
    <w:p>
      <w:pPr>
        <w:jc w:val="both"/>
        <w:ind w:firstLine="415"/>
        <w:spacing w:after="0" w:line="210" w:lineRule="auto"/>
        <w:rPr>
          <w:sz w:val="20"/>
          <w:szCs w:val="20"/>
          <w:color w:val="auto"/>
        </w:rPr>
      </w:pPr>
      <w:r>
        <w:rPr>
          <w:rFonts w:ascii="Times New Roman" w:cs="Times New Roman" w:eastAsia="Times New Roman" w:hAnsi="Times New Roman"/>
          <w:sz w:val="22"/>
          <w:szCs w:val="22"/>
          <w:color w:val="auto"/>
        </w:rPr>
        <w:t>I understand that the Company and its affiliates continually obtain and develop valuable proprietary and confidential information concerning their business, business relationships, and financial affairs, (the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that has or may become known to me in connection with my employment. By way of illustration but not limitation, Confidential Information shall include Inventions (as defined below), trade secrets, technical information, know-how, research and development activities, product, service and marketing plans, business plans, budgets and unpublished financial statements, licenses, prices and costs, customer and supplier information, information (including contact coordinates) for employers and employees, and information disclosed to the Company or to me by third parties of a proprietary or confidential nature or under an obligation of confidence. Confidential Information is contained in various media, including without limitation, patent applications, computer programs in object and source code, flow charts and other program documentation, manuals, plans, drawings, designs, technical specifications, supplier, customer, carrier and claimant lists, claimant case files, internal financial data and other documents and records of the Company.</w:t>
      </w:r>
    </w:p>
    <w:p>
      <w:pPr>
        <w:spacing w:after="0" w:line="15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Confidential Information shall not include information that I can demonstrate: (1) is or becomes generally known within the Company’s industry through no fault of mine or any other person with an obligation of confidentiality to the Company; (2) is lawfully and in good faith made available to me by a third party who did not derive it from the Company and who imposes no obligation of confidence on me; or (3)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 represent and warrant that: (1) I am not subject to any legal or contractual duty or agreement that would prevent or prohibit me from performing the duties contemplated by my employment agreement with the Company or otherwise contained herein, and (2) I am not in breach of any legal or contractual duty or agreement, including any agreement concerning trade secrets or confidential information owned by any other party.</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I agree that I will not: (1) use, disclose, or reverse engineer any Confidential Information for any purpose other than the Business (as defined below), except as authorized in writing by the Company; (2) during my employment with the Company, use, disclose, or reverse engineer (a) any confidential information or trade secrets of any former employer or third party or (b) any works of authorship developed in whole or in part by me during any former employment or for any other party, unless authorized in writing by the former employer or third party; or (3) upon my resignation or termination (a) retain any Confidential Information, including any copies</w:t>
      </w:r>
    </w:p>
    <w:p>
      <w:pPr>
        <w:sectPr>
          <w:pgSz w:w="11900" w:h="16838" w:orient="portrait"/>
          <w:cols w:equalWidth="0" w:num="1">
            <w:col w:w="11240"/>
          </w:cols>
          <w:pgMar w:left="320" w:top="100" w:right="339" w:bottom="1440" w:gutter="0" w:footer="0" w:header="0"/>
        </w:sectPr>
      </w:pPr>
    </w:p>
    <w:bookmarkStart w:id="114" w:name="page115"/>
    <w:bookmarkEnd w:id="114"/>
    <w:p>
      <w:pPr>
        <w:spacing w:after="0" w:line="2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existing in any form (including electronic form), which are in my possession, custody, or control, or (b) destroy, delete, or alter any Confidential Information without the Company’s written consent.</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 acknowledge that the confidentiality, property, and proprietary rights protections contained in this Agreement are in addition to, and not exclusive of, any and all other rights to which the Company may be entitled under federal and state law, including without limitation rights provided under copyright laws, trade secret and confidential information laws, and laws concerning fiduciary duties.</w:t>
      </w:r>
    </w:p>
    <w:p>
      <w:pPr>
        <w:spacing w:after="0" w:line="152" w:lineRule="exact"/>
        <w:rPr>
          <w:sz w:val="20"/>
          <w:szCs w:val="20"/>
          <w:color w:val="auto"/>
        </w:rPr>
      </w:pPr>
    </w:p>
    <w:p>
      <w:pPr>
        <w:jc w:val="both"/>
        <w:ind w:firstLine="380"/>
        <w:spacing w:after="0" w:line="225" w:lineRule="auto"/>
        <w:rPr>
          <w:sz w:val="20"/>
          <w:szCs w:val="20"/>
          <w:color w:val="auto"/>
        </w:rPr>
      </w:pPr>
      <w:r>
        <w:rPr>
          <w:rFonts w:ascii="Times New Roman" w:cs="Times New Roman" w:eastAsia="Times New Roman" w:hAnsi="Times New Roman"/>
          <w:sz w:val="22"/>
          <w:szCs w:val="22"/>
          <w:color w:val="auto"/>
        </w:rPr>
        <w:t>I acknowledge that all Confidential Information, whether or not in writing and whether or not labeled or identified as confidential or proprietary, is and shall remain the exclusive property of the Company or the third party providing such Confidential Information to myself or the Company.</w:t>
      </w:r>
    </w:p>
    <w:p>
      <w:pPr>
        <w:spacing w:after="0" w:line="152" w:lineRule="exact"/>
        <w:rPr>
          <w:sz w:val="20"/>
          <w:szCs w:val="20"/>
          <w:color w:val="auto"/>
        </w:rPr>
      </w:pPr>
    </w:p>
    <w:p>
      <w:pPr>
        <w:jc w:val="both"/>
        <w:ind w:firstLine="306"/>
        <w:spacing w:after="0" w:line="217" w:lineRule="auto"/>
        <w:rPr>
          <w:sz w:val="20"/>
          <w:szCs w:val="20"/>
          <w:color w:val="auto"/>
        </w:rPr>
      </w:pPr>
      <w:r>
        <w:rPr>
          <w:rFonts w:ascii="Times New Roman" w:cs="Times New Roman" w:eastAsia="Times New Roman" w:hAnsi="Times New Roman"/>
          <w:sz w:val="22"/>
          <w:szCs w:val="22"/>
          <w:color w:val="auto"/>
        </w:rPr>
        <w:t>I agree to exercise all reasonable precautions to protect the integrity and confidentiality of Confidential Information in my possession and not to remove any materials containing Confidential Information from the Company’s premises except to the extent necessary for my employment. Upon the termination of my employment, or at any time upon the Company’s request, I shall return immediately to the Company any and all materials containing any Confidential Information then in my possession or under my control.</w:t>
      </w:r>
    </w:p>
    <w:p>
      <w:pPr>
        <w:spacing w:after="0" w:line="152" w:lineRule="exact"/>
        <w:rPr>
          <w:sz w:val="20"/>
          <w:szCs w:val="20"/>
          <w:color w:val="auto"/>
        </w:rPr>
      </w:pPr>
    </w:p>
    <w:p>
      <w:pPr>
        <w:jc w:val="both"/>
        <w:ind w:firstLine="224"/>
        <w:spacing w:after="0" w:line="225" w:lineRule="auto"/>
        <w:rPr>
          <w:sz w:val="20"/>
          <w:szCs w:val="20"/>
          <w:color w:val="auto"/>
        </w:rPr>
      </w:pPr>
      <w:r>
        <w:rPr>
          <w:rFonts w:ascii="Times New Roman" w:cs="Times New Roman" w:eastAsia="Times New Roman" w:hAnsi="Times New Roman"/>
          <w:sz w:val="22"/>
          <w:szCs w:val="22"/>
          <w:color w:val="auto"/>
        </w:rPr>
        <w:t>Nothing contained herein or in my employment agreement with the Company is intended to or will be used in any way to limit your rights to communicate or cooperate with, or provide information to, a governmental agency or entity as provided for, protected under, or warranted by whistleblower or other provisions of applicable law or regulation.</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Assignment of Inventions</w:t>
      </w:r>
    </w:p>
    <w:p>
      <w:pPr>
        <w:spacing w:after="0" w:line="183" w:lineRule="exact"/>
        <w:rPr>
          <w:sz w:val="20"/>
          <w:szCs w:val="20"/>
          <w:color w:val="auto"/>
        </w:rPr>
      </w:pPr>
    </w:p>
    <w:p>
      <w:pPr>
        <w:jc w:val="both"/>
        <w:ind w:firstLine="255"/>
        <w:spacing w:after="0" w:line="215" w:lineRule="auto"/>
        <w:rPr>
          <w:sz w:val="20"/>
          <w:szCs w:val="20"/>
          <w:color w:val="auto"/>
        </w:rPr>
      </w:pPr>
      <w:r>
        <w:rPr>
          <w:rFonts w:ascii="Times New Roman" w:cs="Times New Roman" w:eastAsia="Times New Roman" w:hAnsi="Times New Roman"/>
          <w:sz w:val="22"/>
          <w:szCs w:val="22"/>
          <w:color w:val="auto"/>
        </w:rPr>
        <w:t>I agree promptly to disclose to the Company any and all discoveries, inventions, developments, original works of authorship, software programs, software and systems documentation, trade secrets, technical data, and know-how that are conceived, devised, invented, developed or reduced to practice or tangible medium by me, under my direction or jointly with others in the course and scope of my employment by the Company, whether or not during normal working hours or on the premises of the Company, which relate directly or indirectly to the business of the Company or its affiliates (collectively,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and arise out of my employment with the Company (hereinafter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234"/>
        <w:spacing w:after="0" w:line="213" w:lineRule="auto"/>
        <w:rPr>
          <w:sz w:val="20"/>
          <w:szCs w:val="20"/>
          <w:color w:val="auto"/>
        </w:rPr>
      </w:pPr>
      <w:r>
        <w:rPr>
          <w:rFonts w:ascii="Times New Roman" w:cs="Times New Roman" w:eastAsia="Times New Roman" w:hAnsi="Times New Roman"/>
          <w:sz w:val="22"/>
          <w:szCs w:val="22"/>
          <w:color w:val="auto"/>
        </w:rPr>
        <w:t>I hereby assign to the Company (or its designated affiliates) all of my right, title, and interest to the Inventions and any and all related patent rights, copyrights, and applications and registrations therefor. During and after my employment, I shall cooperate with the Company, at the Company’s expense, in obtaining proprietary protection for the Inventions, and I shall execute all documents that the Company shall reasonably request in order to perfect the Company’s (or its designated affiliates’) rights in the Inventions. I understand that, to the extent this Agreement shall be construed in accordance with the laws of any state which limits the assignability to the Company of certain employee inventions, this Agreement shall be interpreted not to apply to any such invention that a court rules or the Company agrees is subject to such state limitation.</w:t>
      </w:r>
    </w:p>
    <w:p>
      <w:pPr>
        <w:spacing w:after="0" w:line="156" w:lineRule="exact"/>
        <w:rPr>
          <w:sz w:val="20"/>
          <w:szCs w:val="20"/>
          <w:color w:val="auto"/>
        </w:rPr>
      </w:pPr>
    </w:p>
    <w:p>
      <w:pPr>
        <w:jc w:val="both"/>
        <w:ind w:firstLine="272"/>
        <w:spacing w:after="0" w:line="236" w:lineRule="auto"/>
        <w:rPr>
          <w:sz w:val="20"/>
          <w:szCs w:val="20"/>
          <w:color w:val="auto"/>
        </w:rPr>
      </w:pPr>
      <w:r>
        <w:rPr>
          <w:rFonts w:ascii="Times New Roman" w:cs="Times New Roman" w:eastAsia="Times New Roman" w:hAnsi="Times New Roman"/>
          <w:sz w:val="22"/>
          <w:szCs w:val="22"/>
          <w:color w:val="auto"/>
        </w:rPr>
        <w:t>I acknowledge that all original works of authorship made by me within the scope of my employment that are protectable by copyright are intended to be “works made for hire”, as that</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term is defined in Section 101 of the United States Copyright Act of 1976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shall be the property of the Company, and the Company shall be the sole author within the meaning of the Act. I hereby waive all claims to moral rights in any Inventions. I further represent that there are no inventions made, conceived or first reduced to practice by me, under my direction or jointly with others prior to my employment with the Company.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 acknowledge and agree that: (1) my position is a position of trust and responsibility with access to Confidential Information; (2) the Confidential Information, and the relationship between the Company, its affiliates, and the employees and customers of each, are valuable assets of the Company that may not be used for any purpose other than the Business; (3) the names of any customers of the Company or its affiliates are considered Confidential Information that constitutes valuable, special, and unique property of the Company; (4) customer lists and customer information that have been compiled by the Company or its affiliates represent a material investment of the Company’s time and money; (5) the Company will invest its time and money in the development of my skills in the Business; and (6) the restrictions contained in this herein, including without limitation the restrictive covenants set forth in this Agreement, are reasonable and necessary to protect the legitimate business interests of the Company and its affiliates, and they will not impair or infringe upon my right to work or earn a living when my employment with the Company ends.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 acknowledge that (1) the markets served by the Company are intended to be national in scope and not dependent on the geographic location of the executive personnel or the businesses by which they are employed, and (2) the below covenants are manifestly reasonable on their face. The Company and I expressly agree that such restrictions have been designed to be reasonable and no greater than is required for the protection of the Company and are a significant element of the consideration hereunder. If the final judgment of a court of competent jurisdiction declares that any term or provision contained herein is invalid or unenforceable, the Company and I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the covenants and agreements contained herein shall be enforceable as so modified to cover the maximum duration, scope, or area permitted by law.</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Non-Solicitation of Customers</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 agree that, while I am employed by the Company and for a period of two years following any termination or cessation of such employment (such period, the “</w:t>
      </w:r>
      <w:r>
        <w:rPr>
          <w:rFonts w:ascii="Times New Roman" w:cs="Times New Roman" w:eastAsia="Times New Roman" w:hAnsi="Times New Roman"/>
          <w:sz w:val="22"/>
          <w:szCs w:val="22"/>
          <w:u w:val="single" w:color="auto"/>
          <w:color w:val="auto"/>
        </w:rPr>
        <w:t>Non-Interference Period</w:t>
      </w:r>
      <w:r>
        <w:rPr>
          <w:rFonts w:ascii="Times New Roman" w:cs="Times New Roman" w:eastAsia="Times New Roman" w:hAnsi="Times New Roman"/>
          <w:sz w:val="22"/>
          <w:szCs w:val="22"/>
          <w:color w:val="auto"/>
        </w:rPr>
        <w:t>”), I shall not solicit, divert, or take away, or attempt to divert or take away, the business or patronage of any of the referral sources, clients, customers, or accounts of the Company for the purpose of selling or providing any products or services competitive with the Business.</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Non-Solicitation and Non-Hire of Employees</w:t>
      </w:r>
    </w:p>
    <w:p>
      <w:pPr>
        <w:spacing w:after="0" w:line="183" w:lineRule="exact"/>
        <w:rPr>
          <w:sz w:val="20"/>
          <w:szCs w:val="20"/>
          <w:color w:val="auto"/>
        </w:rPr>
      </w:pPr>
    </w:p>
    <w:p>
      <w:pPr>
        <w:jc w:val="both"/>
        <w:ind w:firstLine="226"/>
        <w:spacing w:after="0" w:line="220" w:lineRule="auto"/>
        <w:rPr>
          <w:sz w:val="20"/>
          <w:szCs w:val="20"/>
          <w:color w:val="auto"/>
        </w:rPr>
      </w:pPr>
      <w:r>
        <w:rPr>
          <w:rFonts w:ascii="Times New Roman" w:cs="Times New Roman" w:eastAsia="Times New Roman" w:hAnsi="Times New Roman"/>
          <w:sz w:val="22"/>
          <w:szCs w:val="22"/>
          <w:color w:val="auto"/>
        </w:rPr>
        <w:t>While I am employed by the Company and during the Non-Interference Period, I will not, directly or indirectly, for my benefit or for the benefit of any person other than the Company, (1) solicit or assist any person to solicit, recruit, or induce any officer, director, Executive Chairman, executive, employee or consultant of the Company or its affiliates to (a) terminate his or her employment or relationship with the Company or its affiliates, or (b) work for any other person,</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or (2) hire or cause to be hired any person who is then, or who will have been at any point in time during the Non-Interference Period, an officer, director, Executive Chairman, executive, employee, or consultant of the Company or its affiliates.</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Non-Competition</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While I am employed by the Company and during the Non-Interference Period, I will not engage or participate, directly or indirectly, as principal, agent, executive, director, proprietor, joint venturer, trustee, employee, employer, consultant, stockholder, partners, or in any other capacity whatsoever in the conduct or management of, or fund, invest in, lend to, own any stock or any other equity or debt investment in, or provide any services of any nature whatsoever to or in respect of any business that is competitive with or in the same line of business as the Business in the United States, provided that nothing in this Agreement shall prohibit me from being passive beneficial owner of less than two percent of the outstanding stock of any publicly-traded corporation.</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Separate Obligations</w:t>
      </w:r>
    </w:p>
    <w:p>
      <w:pPr>
        <w:spacing w:after="0" w:line="183" w:lineRule="exact"/>
        <w:rPr>
          <w:sz w:val="20"/>
          <w:szCs w:val="20"/>
          <w:color w:val="auto"/>
        </w:rPr>
      </w:pPr>
    </w:p>
    <w:p>
      <w:pPr>
        <w:jc w:val="both"/>
        <w:ind w:firstLine="235"/>
        <w:spacing w:after="0" w:line="225" w:lineRule="auto"/>
        <w:rPr>
          <w:sz w:val="20"/>
          <w:szCs w:val="20"/>
          <w:color w:val="auto"/>
        </w:rPr>
      </w:pPr>
      <w:r>
        <w:rPr>
          <w:rFonts w:ascii="Times New Roman" w:cs="Times New Roman" w:eastAsia="Times New Roman" w:hAnsi="Times New Roman"/>
          <w:sz w:val="22"/>
          <w:szCs w:val="22"/>
          <w:color w:val="auto"/>
        </w:rPr>
        <w:t>I hereby acknowledge that the foregoing obligations are separate and distinct (and that I have received or will receive separate consideration for the foregoing obligations) from and not in derogation of any obligations I have undertaken in connection with any other agreements between myself and the Company.</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Other Agreements</w:t>
      </w:r>
    </w:p>
    <w:p>
      <w:pPr>
        <w:spacing w:after="0" w:line="183" w:lineRule="exact"/>
        <w:rPr>
          <w:sz w:val="20"/>
          <w:szCs w:val="20"/>
          <w:color w:val="auto"/>
        </w:rPr>
      </w:pPr>
    </w:p>
    <w:p>
      <w:pPr>
        <w:jc w:val="both"/>
        <w:ind w:firstLine="387"/>
        <w:spacing w:after="0" w:line="220" w:lineRule="auto"/>
        <w:rPr>
          <w:sz w:val="20"/>
          <w:szCs w:val="20"/>
          <w:color w:val="auto"/>
        </w:rPr>
      </w:pPr>
      <w:r>
        <w:rPr>
          <w:rFonts w:ascii="Times New Roman" w:cs="Times New Roman" w:eastAsia="Times New Roman" w:hAnsi="Times New Roman"/>
          <w:sz w:val="22"/>
          <w:szCs w:val="22"/>
          <w:color w:val="auto"/>
        </w:rPr>
        <w:t xml:space="preserve">I hereby represent to the Company that I am not bound by any agreement or any other previous or existing business relationship that conflicts with or prevents the full performance of my duties and obligations to the Company (including my duties and obligations under this or any other agreement with the Company) during my employment. All existing business relationships and agreements that I have with persons other than the Company are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General</w:t>
      </w:r>
    </w:p>
    <w:p>
      <w:pPr>
        <w:spacing w:after="0" w:line="183" w:lineRule="exact"/>
        <w:rPr>
          <w:sz w:val="20"/>
          <w:szCs w:val="20"/>
          <w:color w:val="auto"/>
        </w:rPr>
      </w:pPr>
    </w:p>
    <w:p>
      <w:pPr>
        <w:jc w:val="both"/>
        <w:ind w:firstLine="229"/>
        <w:spacing w:after="0" w:line="213" w:lineRule="auto"/>
        <w:rPr>
          <w:sz w:val="20"/>
          <w:szCs w:val="20"/>
          <w:color w:val="auto"/>
        </w:rPr>
      </w:pPr>
      <w:r>
        <w:rPr>
          <w:rFonts w:ascii="Times New Roman" w:cs="Times New Roman" w:eastAsia="Times New Roman" w:hAnsi="Times New Roman"/>
          <w:sz w:val="22"/>
          <w:szCs w:val="22"/>
          <w:color w:val="auto"/>
        </w:rPr>
        <w:t>This Agreement may not be assigned by either party, except that the Company may assign this Agreement to its affiliates or in connection with the merger, consolidation or sale of all or substantially all of its business or assets. This Agreement shall be binding upon and shall inure to the benefit of the parties hereto and their respective successors and other legal representatives and, to the extent that any assignment hereof is permitted hereunder, their assignees. This Agreement may be executed in two or more counterparts, each of which shall be deemed an original, but all of which together shall constitute one and the same instrument. This Agreement may be executed by facsimile or electronically transmitted signature (e.g., portable document format), and such signatures shall be deemed to be originals.</w:t>
      </w:r>
    </w:p>
    <w:p>
      <w:pPr>
        <w:spacing w:after="0" w:line="156" w:lineRule="exact"/>
        <w:rPr>
          <w:sz w:val="20"/>
          <w:szCs w:val="20"/>
          <w:color w:val="auto"/>
        </w:rPr>
      </w:pPr>
    </w:p>
    <w:p>
      <w:pPr>
        <w:jc w:val="both"/>
        <w:ind w:firstLine="291"/>
        <w:spacing w:after="0" w:line="236" w:lineRule="auto"/>
        <w:rPr>
          <w:sz w:val="20"/>
          <w:szCs w:val="20"/>
          <w:color w:val="auto"/>
        </w:rPr>
      </w:pPr>
      <w:r>
        <w:rPr>
          <w:rFonts w:ascii="Times New Roman" w:cs="Times New Roman" w:eastAsia="Times New Roman" w:hAnsi="Times New Roman"/>
          <w:sz w:val="22"/>
          <w:szCs w:val="22"/>
          <w:color w:val="auto"/>
        </w:rPr>
        <w:t>This Agreement supersedes all prior agreements, written or oral, with respect to the subject matter of this Agreement. This Agreement may be changed only by a written instrument signed by both parties hereto.</w:t>
      </w:r>
    </w:p>
    <w:p>
      <w:pPr>
        <w:spacing w:after="0" w:line="150" w:lineRule="exact"/>
        <w:rPr>
          <w:sz w:val="20"/>
          <w:szCs w:val="20"/>
          <w:color w:val="auto"/>
        </w:rPr>
      </w:pPr>
    </w:p>
    <w:p>
      <w:pPr>
        <w:jc w:val="both"/>
        <w:ind w:firstLine="296"/>
        <w:spacing w:after="0" w:line="225" w:lineRule="auto"/>
        <w:rPr>
          <w:sz w:val="20"/>
          <w:szCs w:val="20"/>
          <w:color w:val="auto"/>
        </w:rPr>
      </w:pPr>
      <w:r>
        <w:rPr>
          <w:rFonts w:ascii="Times New Roman" w:cs="Times New Roman" w:eastAsia="Times New Roman" w:hAnsi="Times New Roman"/>
          <w:sz w:val="22"/>
          <w:szCs w:val="22"/>
          <w:color w:val="auto"/>
        </w:rPr>
        <w:t>In the event that any one or more of the provisions contained herein shall, for any reason, be held to be invalid, illegal, or unenforceable in any respect, such invalidity, illegality, or unenforceability shall not affect any other provisions of this Agreement, and all other provisions</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shall remain in full force and effect. If any of the provisions of this Agreement is held to be excessively broad, it shall be reformed and construed by limiting and reducing it so as to be enforceable to the maximum extent permitted by law. I agree that should I violate any obligation imposed on me in this Agreement, I shall continue to be bound by the obligation until a period equal to the term of such obligation has expired without violation of such obligation.</w:t>
      </w:r>
    </w:p>
    <w:p>
      <w:pPr>
        <w:spacing w:after="0" w:line="152" w:lineRule="exact"/>
        <w:rPr>
          <w:sz w:val="20"/>
          <w:szCs w:val="20"/>
          <w:color w:val="auto"/>
        </w:rPr>
      </w:pPr>
    </w:p>
    <w:p>
      <w:pPr>
        <w:jc w:val="both"/>
        <w:ind w:firstLine="285"/>
        <w:spacing w:after="0" w:line="225" w:lineRule="auto"/>
        <w:rPr>
          <w:sz w:val="20"/>
          <w:szCs w:val="20"/>
          <w:color w:val="auto"/>
        </w:rPr>
      </w:pPr>
      <w:r>
        <w:rPr>
          <w:rFonts w:ascii="Times New Roman" w:cs="Times New Roman" w:eastAsia="Times New Roman" w:hAnsi="Times New Roman"/>
          <w:sz w:val="22"/>
          <w:szCs w:val="22"/>
          <w:color w:val="auto"/>
        </w:rPr>
        <w:t>No delay or omission by the Company in exercising any right under this Agreement will operate as a waiver of that or any other right. A waiver or consent given by the Company on any occasion is effective only in that instance and will not be construed as a bar to or waiver of any right on any other occasion.</w:t>
      </w:r>
    </w:p>
    <w:p>
      <w:pPr>
        <w:spacing w:after="0" w:line="153" w:lineRule="exact"/>
        <w:rPr>
          <w:sz w:val="20"/>
          <w:szCs w:val="20"/>
          <w:color w:val="auto"/>
        </w:rPr>
      </w:pPr>
    </w:p>
    <w:p>
      <w:pPr>
        <w:jc w:val="both"/>
        <w:ind w:firstLine="218"/>
        <w:spacing w:after="0" w:line="222" w:lineRule="auto"/>
        <w:rPr>
          <w:sz w:val="20"/>
          <w:szCs w:val="20"/>
          <w:color w:val="auto"/>
        </w:rPr>
      </w:pPr>
      <w:r>
        <w:rPr>
          <w:rFonts w:ascii="Times New Roman" w:cs="Times New Roman" w:eastAsia="Times New Roman" w:hAnsi="Times New Roman"/>
          <w:sz w:val="21"/>
          <w:szCs w:val="21"/>
          <w:color w:val="auto"/>
        </w:rPr>
        <w:t>I acknowledge that the restrictions contained in this Agreement are necessary for the protection of the business and goodwill of the Company and the Company’s legitimate business interests, are reasonable for such purpose, and are reasonable and valid in geographical and temporal scope and in all other respects and not overly broad or unduly burdensome. I agree that any breach of this Agreement by me will cause irreparable damage to the Company and that, in the event of such breach, the prevailing party in any such enforcement action shall be entitled, in addition to monetary damages and any other remedies available to the prevailing party under this Agreement and at law, to equitable relief, including injunctive relief, and to payment of all costs incurred by the prevailing party in enforcing or defending the provisions of this Agreement, including reasonable attorneys’ fees and costs. I agree that should I violate any obligation imposed on me in this Agreement, I shall continue to be bound by the obligation until a period equal to the term of such obligation has expired without violation of such obligation.</w:t>
      </w:r>
    </w:p>
    <w:p>
      <w:pPr>
        <w:spacing w:after="0" w:line="150" w:lineRule="exact"/>
        <w:rPr>
          <w:sz w:val="20"/>
          <w:szCs w:val="20"/>
          <w:color w:val="auto"/>
        </w:rPr>
      </w:pPr>
    </w:p>
    <w:p>
      <w:pPr>
        <w:jc w:val="both"/>
        <w:ind w:firstLine="303"/>
        <w:spacing w:after="0" w:line="225" w:lineRule="auto"/>
        <w:rPr>
          <w:sz w:val="20"/>
          <w:szCs w:val="20"/>
          <w:color w:val="auto"/>
        </w:rPr>
      </w:pPr>
      <w:r>
        <w:rPr>
          <w:rFonts w:ascii="Times New Roman" w:cs="Times New Roman" w:eastAsia="Times New Roman" w:hAnsi="Times New Roman"/>
          <w:sz w:val="22"/>
          <w:szCs w:val="22"/>
          <w:color w:val="auto"/>
        </w:rPr>
        <w:t>This Agreement shall be construed as a sealed instrument and shall in all events and for all purposes be governed by, and construed in accordance with, the laws of the State of Georgia without regard to any choice of law principles that would dictate the application of the laws of another jurisdiction.</w:t>
      </w:r>
    </w:p>
    <w:p>
      <w:pPr>
        <w:spacing w:after="0" w:line="17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I HAVE READ ALL OF THE PROVISIONS OF THIS EMPLOYEE CONFIDENTIALITY, ASSIGNMENT OF INVENTIONS, AND NON-SOLICITATION AGREEMENT AND I UNDERSTAND AND AGREE TO EACH OF SUCH PROVISIONS EFFECTIVE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Bradley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486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Acknowledged and Agreed to by: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Priority Technology Holdings,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6858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-5080</wp:posOffset>
            </wp:positionV>
            <wp:extent cx="6858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-29210</wp:posOffset>
            </wp:positionV>
            <wp:extent cx="6858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Employee Confidentiality, Assignment of Inventions, and Non-Solicitation Agreement</w:t>
      </w:r>
    </w:p>
    <w:p>
      <w:pPr>
        <w:sectPr>
          <w:pgSz w:w="11900" w:h="16838" w:orient="portrait"/>
          <w:cols w:equalWidth="0" w:num="1">
            <w:col w:w="11240"/>
          </w:cols>
          <w:pgMar w:left="320" w:top="100" w:right="339" w:bottom="1440" w:gutter="0" w:footer="0" w:header="0"/>
        </w:sectPr>
      </w:pPr>
    </w:p>
    <w:bookmarkStart w:id="119" w:name="page120"/>
    <w:bookmarkEnd w:id="119"/>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Release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Technology Holdings, Inc.</w:t>
      </w:r>
    </w:p>
    <w:p>
      <w:pPr>
        <w:spacing w:after="0" w:line="204" w:lineRule="auto"/>
        <w:rPr>
          <w:sz w:val="20"/>
          <w:szCs w:val="20"/>
          <w:color w:val="auto"/>
        </w:rPr>
      </w:pPr>
      <w:r>
        <w:rPr>
          <w:rFonts w:ascii="Times New Roman" w:cs="Times New Roman" w:eastAsia="Times New Roman" w:hAnsi="Times New Roman"/>
          <w:sz w:val="22"/>
          <w:szCs w:val="22"/>
          <w:color w:val="auto"/>
        </w:rPr>
        <w:t>Attn: General Counsel</w:t>
      </w:r>
    </w:p>
    <w:p>
      <w:pPr>
        <w:spacing w:after="0" w:line="205"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205" w:lineRule="auto"/>
        <w:rPr>
          <w:sz w:val="20"/>
          <w:szCs w:val="20"/>
          <w:color w:val="auto"/>
        </w:rPr>
      </w:pPr>
      <w:r>
        <w:rPr>
          <w:rFonts w:ascii="Times New Roman" w:cs="Times New Roman" w:eastAsia="Times New Roman" w:hAnsi="Times New Roman"/>
          <w:sz w:val="22"/>
          <w:szCs w:val="22"/>
          <w:color w:val="auto"/>
        </w:rPr>
        <w:t>Alpharetta, GA 30004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(together with its affiliates,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Except as set forth in the Employment Agreement by and between myself (the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and the Company dated as of</w:t>
      </w:r>
    </w:p>
    <w:p>
      <w:pPr>
        <w:spacing w:after="0" w:line="214" w:lineRule="auto"/>
        <w:rPr>
          <w:sz w:val="20"/>
          <w:szCs w:val="20"/>
          <w:color w:val="auto"/>
        </w:rPr>
      </w:pPr>
      <w:r>
        <w:rPr>
          <w:rFonts w:ascii="Times New Roman" w:cs="Times New Roman" w:eastAsia="Times New Roman" w:hAnsi="Times New Roman"/>
          <w:sz w:val="21"/>
          <w:szCs w:val="21"/>
          <w:color w:val="auto"/>
        </w:rPr>
        <w:t>___________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I am entitled to no severance or termination payment or benefits. I acknowledge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the Company has no legal obligation to provide me with the benefits and consideration outlined in the Employment Agreement except as part of this release letter and in consideration for my signing of this release letter. I have been notified of my right to review this release letter with counsel, and I have received, if I so chose, legal advice concerning this release letter.</w:t>
      </w:r>
    </w:p>
    <w:p>
      <w:pPr>
        <w:spacing w:after="0" w:line="17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General Release. </w:t>
      </w:r>
      <w:r>
        <w:rPr>
          <w:rFonts w:ascii="Times New Roman" w:cs="Times New Roman" w:eastAsia="Times New Roman" w:hAnsi="Times New Roman"/>
          <w:sz w:val="21"/>
          <w:szCs w:val="21"/>
          <w:color w:val="auto"/>
        </w:rPr>
        <w:t>Employee acknowledges that the Company has no legal obligation to provide Employee with these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part of the Employment Agreement and in consideration for Employee signing this release letter and the waiver and release of claims contained herein. In return for these benefits, Employee irrevocably and unconditionally releases the Company and all affiliated companies, predecessors and successors of each and each such entity’s officers, directors, employees, agents, attorneys or insurers in their individual and representative capacities (collectively referred to as the “</w:t>
      </w:r>
      <w:r>
        <w:rPr>
          <w:rFonts w:ascii="Times New Roman" w:cs="Times New Roman" w:eastAsia="Times New Roman" w:hAnsi="Times New Roman"/>
          <w:sz w:val="21"/>
          <w:szCs w:val="21"/>
          <w:u w:val="single" w:color="auto"/>
          <w:color w:val="auto"/>
        </w:rPr>
        <w:t>Company Parties</w:t>
      </w:r>
      <w:r>
        <w:rPr>
          <w:rFonts w:ascii="Times New Roman" w:cs="Times New Roman" w:eastAsia="Times New Roman" w:hAnsi="Times New Roman"/>
          <w:sz w:val="21"/>
          <w:szCs w:val="21"/>
          <w:color w:val="auto"/>
        </w:rPr>
        <w:t>”) from any and all claims, causes of action, complaints, damages, liabilities and expenses whatsoever, whether known or unknown, direct or indirect, at law or in equity and whether sounding in contract, tort or other theory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that Employee may have now, have had in the past or have in the future for or by reason of any matter, cause or thing whatsoever that has happened, developed or occurred on or before the date hereof, including without limitation in connection with Employee’s employment or termination of employment with the Company. This release of the Company includes any Claims that Employee might have for re-employment or for additional compensation or benefits (except as specifically stated below), and applies to Claims that Employee might have under federal, state or local law or ordinance dealing with employment, contract, wage and hour, tort, or civil rights matters, including, but not limited to, applicable local and state civil rights matters, including, but not limited to, applicable local and state civil rights laws or wage payment laws, Employee Retirement Income Security Act, Title VII of the Civil Rights Act of 1964, the Civil Rights Acts (42 USC § 1981-1988), the Civil Rights Act of 1991, the Age Discrimination in Employment Act of 1967 (the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Section 806 of the Sarbanes Oxley Act of 2002 and any other Claims alleging retaliation of any nature, the Vietnam Era Veterans Readjustment Assistance Act, the Uniformed Services Employment and Reemployment Rights Act of 1994, the Older Workers Benefit Protection Act, the Equal Pay Act of 1963, the Rehabilitation Act of 1973, the Americans with Disabilities Act of 1990, the Equal Pay Act of 1963, the Fair Labor Standards Act, sections 503 and 504 of the Vocational Rehabilitation Act, the Family and Medical Leave Act, Executive Order 11246, and the Consolidated Omnibus Budget Reconciliation Act of 1985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xml:space="preserve"> ”), all as amended from time to time, together with all laws and regulations promulgated thereunder. Employee represents that there are no claims, complaints or charges pending against the Company in which Employee is a party or complainant, or any unasserted Workers’ Compensation claims.</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Employee further agrees not to institute any Claim to challenge the validity of this release or the circumstances surrounding its execution. This is a general release, including a waiver of Claims for age discrimination under federal and state statutes, such as the ADEA. Employee understands the waiver and release of claims does not affect rights or claims arising under the ADEA or the Older Workers Benefit Protection Act after the date of the execution of this release letter.</w:t>
      </w:r>
    </w:p>
    <w:p>
      <w:pPr>
        <w:spacing w:after="0" w:line="175"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Covenant Not to Sue. </w:t>
      </w:r>
      <w:r>
        <w:rPr>
          <w:rFonts w:ascii="Times New Roman" w:cs="Times New Roman" w:eastAsia="Times New Roman" w:hAnsi="Times New Roman"/>
          <w:sz w:val="22"/>
          <w:szCs w:val="22"/>
          <w:color w:val="auto"/>
        </w:rPr>
        <w:t>Employee represents and warrants that Employee has not filed any Claims against the Company 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Parties with any local, state or federal court or administrative agency. Employee agrees and covenants not to sue or bring any Claims against the Company or any of the Company Parties with respect to any matters arising out of or relating to Employee’s employment with the Company or separation from the Company, or any Claims that as a matter of law cannot be released, such as under workers’ compensation, for unemployment benefits or any Claims related to the Company’s future involvement with, if any, Employee’s 401(k)/retirement plans with the Company. Except as set forth herein, in the event that Employee on Employee’s behalf institutes any such action, that Claim shall be dismissed upon presentation of this release letter, and Employee shall reimburse the Company for all legal fees and expenses incurred in defending such Claim and obtaining its dismissal.</w:t>
      </w:r>
    </w:p>
    <w:p>
      <w:pPr>
        <w:spacing w:after="0" w:line="17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Exclusion. </w:t>
      </w:r>
      <w:r>
        <w:rPr>
          <w:rFonts w:ascii="Times New Roman" w:cs="Times New Roman" w:eastAsia="Times New Roman" w:hAnsi="Times New Roman"/>
          <w:sz w:val="22"/>
          <w:szCs w:val="22"/>
          <w:color w:val="auto"/>
        </w:rPr>
        <w:t>Nothing in this release letter shall preclude Employee from filing a charge or complaint, including a challenge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validity of this release letter, with the Equal Employment Opportunity Commission or any state anti-discrimination agency or from participating or cooperating in any investigation or proceeding conducted by any of such agencies. In the event that a charge or complaint is filed with any administrative agency by Employee or in the event of an authorized investigation, charge or lawsuit filed by any administrative agency, Employee expressly waives and shall not accept any monetary awards or damages, costs or attorneys’ fees of any sort therefrom against the Company or any of the Releasees.</w:t>
      </w:r>
    </w:p>
    <w:p>
      <w:pPr>
        <w:spacing w:after="0" w:line="17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Waiting Period. </w:t>
      </w:r>
      <w:r>
        <w:rPr>
          <w:rFonts w:ascii="Times New Roman" w:cs="Times New Roman" w:eastAsia="Times New Roman" w:hAnsi="Times New Roman"/>
          <w:sz w:val="22"/>
          <w:szCs w:val="22"/>
          <w:color w:val="auto"/>
        </w:rPr>
        <w:t>I understand I have a period of up to 21 days to consider this release letter and that I have been advised to speak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 attorney. I agree this release letter is written in a manner that I understand what I am releasing. I understand that this release must be signed no later than 21 days from the date first set forth above for me to be entitled to the benefits of the Severance Package (as defined in the Employment Agreement). I agree that upon signing this release letter I become bound by its terms unless I revoke the release contained herein. I understand I may revoke the release contained herein within seven days after signing it; and that, unless I so revoke it, the release contained herein will be fully effective seven days after I have signed it. Once this release letter is fully effective, the Severance Package will be forwarded by U.S. mail according to the schedule in the terms of the Employment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truly,</w:t>
      </w: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-29210</wp:posOffset>
            </wp:positionV>
            <wp:extent cx="274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1276985</wp:posOffset>
            </wp:positionH>
            <wp:positionV relativeFrom="paragraph">
              <wp:posOffset>-29210</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22"/>
          <w:szCs w:val="22"/>
          <w:color w:val="auto"/>
        </w:rPr>
        <w:t xml:space="preserve">Print Name: </w:t>
      </w:r>
      <w:r>
        <w:rPr>
          <w:rFonts w:ascii="Times New Roman" w:cs="Times New Roman" w:eastAsia="Times New Roman" w:hAnsi="Times New Roman"/>
          <w:sz w:val="22"/>
          <w:szCs w:val="22"/>
          <w:u w:val="single" w:color="auto"/>
          <w:color w:val="auto"/>
        </w:rPr>
        <w:t>Bradley J. Miller</w:t>
      </w:r>
    </w:p>
    <w:p>
      <w:pPr>
        <w:sectPr>
          <w:pgSz w:w="11900" w:h="16838" w:orient="portrait"/>
          <w:cols w:equalWidth="0" w:num="1">
            <w:col w:w="11240"/>
          </w:cols>
          <w:pgMar w:left="320" w:top="1440" w:right="339" w:bottom="1440" w:gutter="0" w:footer="0" w:header="0"/>
        </w:sectPr>
      </w:pPr>
    </w:p>
    <w:bookmarkStart w:id="121" w:name="page122"/>
    <w:bookmarkEnd w:id="1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Execution Version</w:t>
      </w:r>
    </w:p>
    <w:p>
      <w:pPr>
        <w:spacing w:after="0" w:line="16"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18"/>
          <w:szCs w:val="18"/>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200" w:lineRule="exact"/>
        <w:rPr>
          <w:sz w:val="20"/>
          <w:szCs w:val="20"/>
          <w:color w:val="auto"/>
        </w:rPr>
      </w:pPr>
    </w:p>
    <w:p>
      <w:pPr>
        <w:spacing w:after="0" w:line="2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PRIORITY TECHNOLOGY HOLDINGS, INC.</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Timothy O’Leary</w:t>
      </w:r>
    </w:p>
    <w:p>
      <w:pPr>
        <w:spacing w:after="0" w:line="200" w:lineRule="exact"/>
        <w:rPr>
          <w:sz w:val="20"/>
          <w:szCs w:val="20"/>
          <w:color w:val="auto"/>
        </w:rPr>
      </w:pPr>
    </w:p>
    <w:p>
      <w:pPr>
        <w:spacing w:after="0" w:line="2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September 19, 2022</w:t>
      </w:r>
    </w:p>
    <w:p>
      <w:pPr>
        <w:sectPr>
          <w:pgSz w:w="11900" w:h="16838" w:orient="portrait"/>
          <w:cols w:equalWidth="0" w:num="1">
            <w:col w:w="10139"/>
          </w:cols>
          <w:pgMar w:left="320" w:top="100" w:right="1440" w:bottom="1440" w:gutter="0" w:footer="0" w:header="0"/>
        </w:sectPr>
      </w:pPr>
    </w:p>
    <w:bookmarkStart w:id="123" w:name="page124"/>
    <w:bookmarkEnd w:id="123"/>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87" w:lineRule="exact"/>
        <w:rPr>
          <w:sz w:val="20"/>
          <w:szCs w:val="20"/>
          <w:color w:val="auto"/>
        </w:rPr>
      </w:pPr>
    </w:p>
    <w:p>
      <w:pPr>
        <w:jc w:val="both"/>
        <w:ind w:firstLine="212"/>
        <w:spacing w:after="0" w:line="212"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EXECUTIVE EMPLOYMENT AGREEMENT</w:t>
      </w:r>
      <w:r>
        <w:rPr>
          <w:rFonts w:ascii="Times New Roman" w:cs="Times New Roman" w:eastAsia="Times New Roman" w:hAnsi="Times New Roman"/>
          <w:sz w:val="22"/>
          <w:szCs w:val="22"/>
          <w:color w:val="auto"/>
        </w:rPr>
        <w:t xml:space="preserve"> (the “Agreement”) by and among Priority Technology Holdings, Inc., a Delaware corporation with its principal place of business located at 2001 Westside Parkway, Suite 155, Alpharetta, Georgia 30004 (“PRTH”), and </w:t>
      </w:r>
      <w:r>
        <w:rPr>
          <w:rFonts w:ascii="Times New Roman" w:cs="Times New Roman" w:eastAsia="Times New Roman" w:hAnsi="Times New Roman"/>
          <w:sz w:val="22"/>
          <w:szCs w:val="22"/>
          <w:b w:val="1"/>
          <w:bCs w:val="1"/>
          <w:color w:val="auto"/>
        </w:rPr>
        <w:t>Timothy O’Leary</w:t>
      </w:r>
      <w:r>
        <w:rPr>
          <w:rFonts w:ascii="Times New Roman" w:cs="Times New Roman" w:eastAsia="Times New Roman" w:hAnsi="Times New Roman"/>
          <w:sz w:val="22"/>
          <w:szCs w:val="22"/>
          <w:color w:val="auto"/>
        </w:rPr>
        <w:t>, an individual resident of Fulton County, Georgia (“Employee”) is entered into and effective as of the 19th day of September, 2022 (the “Effective Date”). PRTH and You are collectively referred to herein as the “Parties”. Further, for purposes of this Agreement, the services provided pursuant to this Agreement are to be performed for the benefit of PRTH and its Subsidiary Affiliates, which are collectively referred to herein as the “Company”, as applicable. “Subsidiary Affiliate” means, with respect to PRTH, any corporation, limited liability company, partnership, firm, joint venture, association, joint-stock company, trust, unincorporated organization, governmental body or other entity that is, directly or indirectly, controlled by or under common control with PRTH.</w:t>
      </w:r>
    </w:p>
    <w:p>
      <w:pPr>
        <w:spacing w:after="0" w:line="149" w:lineRule="exact"/>
        <w:rPr>
          <w:sz w:val="20"/>
          <w:szCs w:val="20"/>
          <w:color w:val="auto"/>
        </w:rPr>
      </w:pPr>
    </w:p>
    <w:p>
      <w:pPr>
        <w:jc w:val="both"/>
        <w:ind w:right="20" w:firstLine="243"/>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PRTH desires to continue to employ Employee on and after the Effective Date and to enter into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Employee embodying the terms of such employment; and</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Employee desires to continue to accept such employment by entering into this Agreement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w:t>
      </w:r>
    </w:p>
    <w:p>
      <w:pPr>
        <w:spacing w:after="0" w:line="146" w:lineRule="exact"/>
        <w:rPr>
          <w:sz w:val="20"/>
          <w:szCs w:val="20"/>
          <w:color w:val="auto"/>
        </w:rPr>
      </w:pPr>
    </w:p>
    <w:p>
      <w:pPr>
        <w:jc w:val="both"/>
        <w:ind w:right="20" w:firstLine="243"/>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promises contained herein,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agree as follows:</w:t>
      </w:r>
    </w:p>
    <w:p>
      <w:pPr>
        <w:spacing w:after="0" w:line="150" w:lineRule="exact"/>
        <w:rPr>
          <w:sz w:val="20"/>
          <w:szCs w:val="20"/>
          <w:color w:val="auto"/>
        </w:rPr>
      </w:pPr>
    </w:p>
    <w:p>
      <w:pPr>
        <w:jc w:val="both"/>
        <w:ind w:firstLine="656"/>
        <w:spacing w:after="0" w:line="217"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Employment</w:t>
      </w:r>
      <w:r>
        <w:rPr>
          <w:rFonts w:ascii="Times New Roman" w:cs="Times New Roman" w:eastAsia="Times New Roman" w:hAnsi="Times New Roman"/>
          <w:sz w:val="22"/>
          <w:szCs w:val="22"/>
          <w:color w:val="auto"/>
        </w:rPr>
        <w:t>. Employee is employed by the Company as its Chief Financial Officer as of the Effective Date. PRTH hereby agrees to employ Employee, and Employee hereby accepts such employment with PRTH, upon the terms and subject to the conditions set forth in this Agreement, for a period commencing on the Effective Date and continuing for an initial term of three (3) years with automatic successive one-year extension terms thereafter unless earlier terminated in accordance with the provisions of Section 5 (the “</w:t>
      </w: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Duties</w:t>
      </w:r>
      <w:r>
        <w:rPr>
          <w:rFonts w:ascii="Times New Roman" w:cs="Times New Roman" w:eastAsia="Times New Roman" w:hAnsi="Times New Roman"/>
          <w:sz w:val="22"/>
          <w:szCs w:val="22"/>
          <w:color w:val="auto"/>
        </w:rPr>
        <w:t>. Employee shall serve as the Chief Financial Officer. Employee shall report to Chief Executive Officer (“CEO”). Employee shall provide such management updates, division performance updates, personnel and operational updates, and any such other updates or business performance reports as reasonably requested by the CEO. Employee further agrees to devote substantially all of Employee’s working time and attention on a full time basis to such duties and responsibilities, except for PTO, absence for sickness or similar disability in accordance with the Company’s existing policies and practices, and reasonable amounts of time spent performing services for any charitable, religious, or community organizations, so long as such services do not interfere with the performance of Employee’s duties under this Agreement.</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Conflicting Commitments</w:t>
      </w:r>
      <w:r>
        <w:rPr>
          <w:rFonts w:ascii="Times New Roman" w:cs="Times New Roman" w:eastAsia="Times New Roman" w:hAnsi="Times New Roman"/>
          <w:sz w:val="22"/>
          <w:szCs w:val="22"/>
          <w:color w:val="auto"/>
        </w:rPr>
        <w:t>. Employee will not enter into any employment or consulting agreement that, in the opinion of the Board, conflicts with the Company’s interests or that might impair the performance of Employee’s duties as an employee of the Company consistent with the terms of this Agreement.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7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Salary &amp; Bonus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1292"/>
        <w:spacing w:after="0" w:line="213" w:lineRule="auto"/>
        <w:tabs>
          <w:tab w:leader="none" w:pos="260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shall pay Employee for Employee’s services hereunder a base salary at the initial annual rate of Four Hundred Thousand Dollars ($400,000), payable in regular installments in accordance with the Company’s usual payment practices and subject to annual review and increase. Such amount (as it may be increased from time to time) shall be referred to herein as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will review the Base Salary of Employee at least annually and may increase (but not decrease other than pursuant to across-the-board reductions for all or substantially all employees or personnel similarly situated) the Base Salary based upon the past and projected performance of the Company.</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24" w:lineRule="auto"/>
        <w:tabs>
          <w:tab w:leader="none" w:pos="259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Beginning with calendar years commencing on and after January 1, 2022, Employee will be eligible to receive an annual bonus during the Employment Term (“Bonus”). The target Bonus for each calendar year shall be sixty five percent (65%) of Employee’s Base Salary with the actual amount to be based on the level of achievement of individual and Company performance criteria established by the Board for such calendar year and paid out as approved by the Board. Employee will not be eligible to receive any Bonus if Employee is not employed on the last day of the calendar year for which the Bonus is to be paid, except as provided in Section 5 below. The Bonus will be subject to all applicable withholdings and will be paid no later than sixty (60) days after the end of the applicable calendar year.</w:t>
      </w:r>
    </w:p>
    <w:p>
      <w:pPr>
        <w:spacing w:after="0" w:line="150" w:lineRule="exact"/>
        <w:rPr>
          <w:rFonts w:ascii="Times New Roman" w:cs="Times New Roman" w:eastAsia="Times New Roman" w:hAnsi="Times New Roman"/>
          <w:sz w:val="21"/>
          <w:szCs w:val="21"/>
          <w:color w:val="auto"/>
        </w:rPr>
      </w:pPr>
    </w:p>
    <w:p>
      <w:pPr>
        <w:ind w:left="740" w:right="80" w:firstLine="1212"/>
        <w:spacing w:after="0" w:line="211" w:lineRule="auto"/>
        <w:tabs>
          <w:tab w:leader="none" w:pos="26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Incentive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Equity Incentive</w:t>
      </w:r>
      <w:r>
        <w:rPr>
          <w:rFonts w:ascii="Times New Roman" w:cs="Times New Roman" w:eastAsia="Times New Roman" w:hAnsi="Times New Roman"/>
          <w:sz w:val="22"/>
          <w:szCs w:val="22"/>
          <w:color w:val="auto"/>
        </w:rPr>
        <w:t xml:space="preserve">. During the Employment Term, Employee shall be eligible to participate in the PRTH Equity Incentive Plan, under the terms and conditions set forth in the PRTH Equity Incentive Plan. The Company and the Employee shall enter into a restricted stock unit (RSU) award agreement (the “Award Agreement”) pursuant to which the Employee receives the right to earn up to Six Hundred Thousand Dollars ($600,000) worth of Restricted Stock Units annually (based on current market value of the Company’s shares on each grant date), with each annual issuance of Restricted Stock Units subject to a three (3) year vesting schedule as set forth in the Award Agreement (such shares, the “Restricted Stock Unit Award”). Employee and the Company will negotiate in good faith to resolve and execute any applicable PRTH Equity Incentive Plan documents, including any applicable Restricted Stock Unit Award Agreements, within ninety (90) days of the execution of this Agreement. Any Restricted Stock Unit Award Agreement will be in substantially the form as that attached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ind w:left="740" w:right="80" w:firstLine="1212"/>
        <w:spacing w:after="0" w:line="213" w:lineRule="auto"/>
        <w:tabs>
          <w:tab w:leader="none" w:pos="265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or anything in this Agreement or the PRTH Equity Incentive Plan to the contrary, the unvested portion of any outstanding Restricted Stock Unit award granted to Employee under the PRTH Equity Incentive Plan shall immediately and automatically become one-hundred percent (100%) vested upon the closing of any go-private transaction that causes all of the equity to cease to be publicly traded on Nasdaq or any other public stock exchange or in the event of a Change of Control of the Company. For purposes of this definition, a “Change of Control” shall have such meaning as defined in the Company’s Credit and Guaranty Agreement with Truist Bank dated April 27, 2021, as amended from time to time (the “Truist Agreement”).</w:t>
      </w:r>
    </w:p>
    <w:p>
      <w:pPr>
        <w:spacing w:after="0" w:line="156"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Subject to any contributions therefor generally required of employees of the Company, Employee shall be entitled to receive such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benefits (including fringe benefits, 401(k) plan participation, and life, health, dental, accident and short- and long-term disability insurance) that the Company may, in its sole and absolute discretion, make available generally to its employees or personnel similarly situated; provided that, Employee acknowledges and agrees that any such employee benefit plans may be altered, modified or terminated by the Company in accordance with their terms at any time in its sole discretion without recourse by Employee.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Employee shall be entitled to paid time off (“</w:t>
      </w:r>
      <w:r>
        <w:rPr>
          <w:rFonts w:ascii="Times New Roman" w:cs="Times New Roman" w:eastAsia="Times New Roman" w:hAnsi="Times New Roman"/>
          <w:sz w:val="22"/>
          <w:szCs w:val="22"/>
          <w:u w:val="single" w:color="auto"/>
          <w:color w:val="auto"/>
        </w:rPr>
        <w:t>PTO</w:t>
      </w:r>
      <w:r>
        <w:rPr>
          <w:rFonts w:ascii="Times New Roman" w:cs="Times New Roman" w:eastAsia="Times New Roman" w:hAnsi="Times New Roman"/>
          <w:sz w:val="22"/>
          <w:szCs w:val="22"/>
          <w:color w:val="auto"/>
        </w:rPr>
        <w:t>”), accrued in accordance with the Company’s existing policies and practices, provided that such PTO shall to be taken at such time or times as shall be mutually convenient for the Company and Employee.</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Business Expenses and Perquisites</w:t>
      </w:r>
      <w:r>
        <w:rPr>
          <w:rFonts w:ascii="Times New Roman" w:cs="Times New Roman" w:eastAsia="Times New Roman" w:hAnsi="Times New Roman"/>
          <w:sz w:val="22"/>
          <w:szCs w:val="22"/>
          <w:color w:val="auto"/>
        </w:rPr>
        <w:t>. Upon delivery of adequate documentation of expenses incurred in accordance with the policies and practices of the Company as may from time to time be in effect, Employee shall be entitled to reimbursement by the Company for reasonable travel and other business expenses incurred by Employee in the performance of Employee’s duties hereunder.</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Certain Other Matters</w:t>
      </w:r>
      <w:r>
        <w:rPr>
          <w:rFonts w:ascii="Times New Roman" w:cs="Times New Roman" w:eastAsia="Times New Roman" w:hAnsi="Times New Roman"/>
          <w:sz w:val="22"/>
          <w:szCs w:val="22"/>
          <w:color w:val="auto"/>
        </w:rPr>
        <w:t>. In connection with this Agreement, Employee shall execute and deliver the Employee Confidentiality, Assignment of Inventions, and Non-Solicitation Agreement (the “</w:t>
      </w:r>
      <w:r>
        <w:rPr>
          <w:rFonts w:ascii="Times New Roman" w:cs="Times New Roman" w:eastAsia="Times New Roman" w:hAnsi="Times New Roman"/>
          <w:sz w:val="22"/>
          <w:szCs w:val="22"/>
          <w:u w:val="single" w:color="auto"/>
          <w:color w:val="auto"/>
        </w:rPr>
        <w:t>Non-Solicitation Agreement</w:t>
      </w:r>
      <w:r>
        <w:rPr>
          <w:rFonts w:ascii="Times New Roman" w:cs="Times New Roman" w:eastAsia="Times New Roman" w:hAnsi="Times New Roman"/>
          <w:sz w:val="22"/>
          <w:szCs w:val="22"/>
          <w:color w:val="auto"/>
        </w:rPr>
        <w:t xml:space="preserve">”) attached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All of Employee’s compensation, including, without limitation, the Base Salary and Bonus, shall be subject to withholding for all applicable federal, state and local employment-related taxes, including income, social security, and similar taxes.</w:t>
      </w:r>
    </w:p>
    <w:p>
      <w:pPr>
        <w:spacing w:after="0" w:line="152"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Termination by the Company</w:t>
      </w:r>
      <w:r>
        <w:rPr>
          <w:rFonts w:ascii="Times New Roman" w:cs="Times New Roman" w:eastAsia="Times New Roman" w:hAnsi="Times New Roman"/>
          <w:sz w:val="22"/>
          <w:szCs w:val="22"/>
          <w:color w:val="auto"/>
        </w:rPr>
        <w:t>. The Company may terminate Employee’s employment hereunder at any time with or without cause to be effective immediately upon delivery of notice thereof. The effective date of Employee’s termination shall be referred to herein as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If Employee’s employment is terminated by the Company pursuant to this Section 5.1, the Company shall pay Employee all earned but unpaid Base Salary prior to the Termination Date and, if consistent with the Company’s then-current policies and practices, the cash value of any accrued but unused PTO as of the Termination Date (collectively,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left="660" w:firstLine="1292"/>
        <w:spacing w:after="0" w:line="210" w:lineRule="auto"/>
        <w:tabs>
          <w:tab w:leader="none" w:pos="260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Cause Termination</w:t>
      </w:r>
      <w:r>
        <w:rPr>
          <w:rFonts w:ascii="Times New Roman" w:cs="Times New Roman" w:eastAsia="Times New Roman" w:hAnsi="Times New Roman"/>
          <w:sz w:val="22"/>
          <w:szCs w:val="22"/>
          <w:color w:val="auto"/>
        </w:rPr>
        <w:t>. In the event Employee’s employment is terminated during the initial term of this Agreement by the Company or surviving companies (i.e., if the Company is acquired), in addition to the Accrued Obligations, for reasons other than for cause pursuant to Section 5.1(b) below, the Company shall also pay Employee (in increments according to the Company’s normal payroll schedule) the Base Salary for a period of six (6) months following the Termination Date and the earned but unpaid portion of the Bonus for the calendar year preceding the calendar year in which the Termination Date occurs (collectively, the “</w:t>
      </w:r>
      <w:r>
        <w:rPr>
          <w:rFonts w:ascii="Times New Roman" w:cs="Times New Roman" w:eastAsia="Times New Roman" w:hAnsi="Times New Roman"/>
          <w:sz w:val="22"/>
          <w:szCs w:val="22"/>
          <w:u w:val="single" w:color="auto"/>
          <w:color w:val="auto"/>
        </w:rPr>
        <w:t>Severance Package</w:t>
      </w:r>
      <w:r>
        <w:rPr>
          <w:rFonts w:ascii="Times New Roman" w:cs="Times New Roman" w:eastAsia="Times New Roman" w:hAnsi="Times New Roman"/>
          <w:sz w:val="22"/>
          <w:szCs w:val="22"/>
          <w:color w:val="auto"/>
        </w:rPr>
        <w:t>”), provided that Employee satisfies the conditions set forth at the end of this paragraph (the “</w:t>
      </w:r>
      <w:r>
        <w:rPr>
          <w:rFonts w:ascii="Times New Roman" w:cs="Times New Roman" w:eastAsia="Times New Roman" w:hAnsi="Times New Roman"/>
          <w:sz w:val="22"/>
          <w:szCs w:val="22"/>
          <w:u w:val="single" w:color="auto"/>
          <w:color w:val="auto"/>
        </w:rPr>
        <w:t>Severance Conditions</w:t>
      </w:r>
      <w:r>
        <w:rPr>
          <w:rFonts w:ascii="Times New Roman" w:cs="Times New Roman" w:eastAsia="Times New Roman" w:hAnsi="Times New Roman"/>
          <w:sz w:val="22"/>
          <w:szCs w:val="22"/>
          <w:color w:val="auto"/>
        </w:rPr>
        <w:t>”). Employee shall not be eligible for the Severance Package unless and until twenty-eight (28) days (including a seven-day revocation period) after Employee has first satisfied and continues to satisfy the following Severance Conditions: (1) Employee is in compliance with the Non-Solicitation Agreement; (2) Employee is in compliance with all of Employee’s obligations under this Agreement; and (3)</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1"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79" w:lineRule="exact"/>
        <w:rPr>
          <w:sz w:val="20"/>
          <w:szCs w:val="20"/>
          <w:color w:val="auto"/>
        </w:rPr>
      </w:pPr>
    </w:p>
    <w:p>
      <w:pPr>
        <w:ind w:left="660" w:right="20"/>
        <w:spacing w:after="0" w:line="236" w:lineRule="auto"/>
        <w:rPr>
          <w:sz w:val="20"/>
          <w:szCs w:val="20"/>
          <w:color w:val="auto"/>
        </w:rPr>
      </w:pPr>
      <w:r>
        <w:rPr>
          <w:rFonts w:ascii="Times New Roman" w:cs="Times New Roman" w:eastAsia="Times New Roman" w:hAnsi="Times New Roman"/>
          <w:sz w:val="22"/>
          <w:szCs w:val="22"/>
          <w:color w:val="auto"/>
        </w:rPr>
        <w:t xml:space="preserve">Employee executes and delivers a waiver and general release of claims in favor of the Company and its affiliates substantially in the form of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left="660" w:firstLine="1292"/>
        <w:spacing w:after="0" w:line="216" w:lineRule="auto"/>
        <w:tabs>
          <w:tab w:leader="none" w:pos="2599"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 Cause Termination</w:t>
      </w:r>
      <w:r>
        <w:rPr>
          <w:rFonts w:ascii="Times New Roman" w:cs="Times New Roman" w:eastAsia="Times New Roman" w:hAnsi="Times New Roman"/>
          <w:sz w:val="21"/>
          <w:szCs w:val="21"/>
          <w:color w:val="auto"/>
        </w:rPr>
        <w:t>. In the event Employee’s employment is terminated “for cause” (defined below) by the Company under this Section 5.1(b), the Company shall pay Employee only the Accrued Obligations. For purposes of this Agreement, “for cause” means: (i) Employee’s arbitrary, unreasonable or willful failure to perform, in any material respect, the duties and responsibilities required hereunder and assigned by the CEO from time to time (including, without limitation, continuous constructive collaboration with the Executive Chairman and other members of the management team) that is not cured by Employee within ten days after the first notice from the Company specifying the nature of the default in reasonable detail (i.e., how Employee has failed to perform or comply) or, if the default cannot be cured within such ten-day period, failure of Employee within such ten-day period to commence and pursue curative action with reasonable diligence; (ii) Employee’s gross negligence or willful misconduct in the performance of Employee’s duties under this Agreement; (iii) Employee’s commission of an act constituting fraud, embezzlement, breach of any fiduciary duty owed to the Company or its shareholders or other material dishonesty with respect to the Company;</w:t>
      </w:r>
    </w:p>
    <w:p>
      <w:pPr>
        <w:spacing w:after="0" w:line="9" w:lineRule="exact"/>
        <w:rPr>
          <w:rFonts w:ascii="Times New Roman" w:cs="Times New Roman" w:eastAsia="Times New Roman" w:hAnsi="Times New Roman"/>
          <w:sz w:val="21"/>
          <w:szCs w:val="21"/>
          <w:color w:val="auto"/>
        </w:rPr>
      </w:pPr>
    </w:p>
    <w:p>
      <w:pPr>
        <w:jc w:val="both"/>
        <w:ind w:left="660" w:hanging="4"/>
        <w:spacing w:after="0" w:line="219" w:lineRule="auto"/>
        <w:tabs>
          <w:tab w:leader="none" w:pos="103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conviction of, or the filing of a plea of nolo contendere or its equivalent, with respect to a felony or any other crime involving dishonesty or moral turpitude; (v) substance abuse (for the purposes of this agreement substance abuse is the use of alcohol or illegal substances including misuse of otherwise legally obtained medications that otherwise interferes with Employee’s ability to perform the functions of the position) that is materially injurious to the Company (whether from a monetary perspective or otherwise); or (vi) Employee’s material breach of Employee’s obligations under this Agreement or the Non-Solicitation Agreement that is not cured by Employee within ten days after the first notice from the Company specifying the nature of the default in reasonable detail (i.e., how Employee has failed to perform or comply) or, if the default cannot be cured within such ten-day period, failure of Employee within such ten-day period to commence and pursue curative action with reasonable diligence and to the reasonable satisfaction of the Company.</w:t>
      </w:r>
    </w:p>
    <w:p>
      <w:pPr>
        <w:spacing w:after="0" w:line="15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Termination by Employee; Deemed Termination</w:t>
      </w:r>
      <w:r>
        <w:rPr>
          <w:rFonts w:ascii="Times New Roman" w:cs="Times New Roman" w:eastAsia="Times New Roman" w:hAnsi="Times New Roman"/>
          <w:sz w:val="22"/>
          <w:szCs w:val="22"/>
          <w:color w:val="auto"/>
        </w:rPr>
        <w:t>. Employee’s employment hereunder may be terminated by Employee at any time upon not less than ninety (90) days’ prior written notice from Employee to the Company. Employee agrees that such notice period is reasonable and necessary in light of the duties assumed by Employee pursuant to this Agreement and fair in light of the consideration Employee is receiving pursuant to this Agreement. In the event of such notice by Employee, the Company may limit the Employee’s activities during the notice period or the Company may impose any other restrictions it deems necessary and reasonable, including relieving Employee of all duties during the notice period.</w:t>
      </w:r>
    </w:p>
    <w:p>
      <w:pPr>
        <w:spacing w:after="0" w:line="152" w:lineRule="exact"/>
        <w:rPr>
          <w:sz w:val="20"/>
          <w:szCs w:val="20"/>
          <w:color w:val="auto"/>
        </w:rPr>
      </w:pPr>
    </w:p>
    <w:p>
      <w:pPr>
        <w:jc w:val="both"/>
        <w:ind w:left="660" w:firstLine="1292"/>
        <w:spacing w:after="0" w:line="212" w:lineRule="auto"/>
        <w:tabs>
          <w:tab w:leader="none" w:pos="260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Good Reason</w:t>
      </w:r>
      <w:r>
        <w:rPr>
          <w:rFonts w:ascii="Times New Roman" w:cs="Times New Roman" w:eastAsia="Times New Roman" w:hAnsi="Times New Roman"/>
          <w:sz w:val="22"/>
          <w:szCs w:val="22"/>
          <w:color w:val="auto"/>
        </w:rPr>
        <w:t>. Notwithstanding the foregoing, Employee shall be deemed to have terminated Employee’s employment with the Company for “good reason” and, in such case, in addition to the Accrued Obligations, Employee shall be entitled to the Severance Package (provided Employee satisfies the Severance Conditions) in the event any of the following occurs and Employee provides to the Company Notice of Termination (as defined in Section 5.3) during the time frame specified above or, if later, after any applicable cure period: (i) the Company reduces Employee’s Base Salary or benefits (other than in connection with a proportional reduction of the base salaries or benefits in excess of twenty percent (20%) of all executive employees of the Company); or (ii) the Company materially breaches any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79"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Sections 4.1 through 4.4 hereof; provided that any of the events described in clauses (i) or (ii) of this Section 5.2(a) shall be deemed termination for “good reason” only if the Company fails to cure such event within ten days after a written notice is delivered by Employee to the Company specifically identifying the event that may be deemed termination for “good reason” pursuant to this Section 5.2(a) or, if the default cannot be cured within such ten-day period, failure of the Company within such ten-day period to commence and pursue curative action with reasonable diligence and to the reasonable satisfaction of Employee.</w:t>
      </w:r>
    </w:p>
    <w:p>
      <w:pPr>
        <w:spacing w:after="0" w:line="152" w:lineRule="exact"/>
        <w:rPr>
          <w:sz w:val="20"/>
          <w:szCs w:val="20"/>
          <w:color w:val="auto"/>
        </w:rPr>
      </w:pPr>
    </w:p>
    <w:p>
      <w:pPr>
        <w:jc w:val="both"/>
        <w:ind w:left="660" w:firstLine="1292"/>
        <w:spacing w:after="0" w:line="225" w:lineRule="auto"/>
        <w:tabs>
          <w:tab w:leader="none" w:pos="259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Good Reason</w:t>
      </w:r>
      <w:r>
        <w:rPr>
          <w:rFonts w:ascii="Times New Roman" w:cs="Times New Roman" w:eastAsia="Times New Roman" w:hAnsi="Times New Roman"/>
          <w:sz w:val="22"/>
          <w:szCs w:val="22"/>
          <w:color w:val="auto"/>
        </w:rPr>
        <w:t>. In the event Employee terminates Employee’s employment with the Company without “good reason” (as defined in Section 5.2(a)), the Company shall only pay Employee the Accrued Obligations.</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employment by the Company or Employee shall be communicated by written Notice of Termination to the other Party in accordance with Section 9 hereof. For purposes of this Agreement,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means a notice that shall indicate the specific termination provision in this Agreement relied upon and shall set forth in reasonable detail the facts and circumstances claimed to provide a basis for termination of employment under the provision so indicated.</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Sections 4, 5, and 6 hereof and the Non-Solicitation Agreement shall survive the termination of this Agreement.</w:t>
      </w:r>
    </w:p>
    <w:p>
      <w:pPr>
        <w:spacing w:after="0" w:line="150" w:lineRule="exact"/>
        <w:rPr>
          <w:sz w:val="20"/>
          <w:szCs w:val="20"/>
          <w:color w:val="auto"/>
        </w:rPr>
      </w:pPr>
    </w:p>
    <w:p>
      <w:pPr>
        <w:ind w:firstLine="656"/>
        <w:spacing w:after="0" w:line="236"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In connection with this Agreement, Employee has executed the Non-Solicitation Agreement, which is incorporated herein by reference and made a part of this Agreement.</w:t>
      </w:r>
    </w:p>
    <w:p>
      <w:pPr>
        <w:spacing w:after="0" w:line="150"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Employee agrees that upon termination of Employee’s employment hereunder, Employee shall return immediately to the Company any proprietary materials, any materials containing Confidential Information (as defined in the Non-Solicitation Agreement) and any other Company or Company affiliate’s property then in Employee’s possession or under Employee’s control, including without limitation all notes, customer, voluntary benefits carrier, employer, employee and broker lists and contact information, drawings, memoranda, magnetic disks or tapes, or other recording media containing such Confidential Information, whether alone or together with non-confidential information, all documents, reports, files, memoranda, records, software, credit cards, door and file keys, telephones, personal digital assistants, computers, tablet devices, computer access codes, disks and instructional manuals, or any other physical property that Employee received, had access to, prepared, or helped prepare in connection with Employee’s employment under this Agreement. Following termination, Employee shall not retain any copies, duplicates, reproductions, or excerpts of Confidential Information, nor shall Employee show or give any of the above to any third party. Employee further agrees that Employee shall not retain or use for Employee’s account at any time any trade name, trademark, service mark, logo or other proprietary business designation used or owned in connection with the business of the Company or any affiliate of the Company.</w:t>
      </w:r>
    </w:p>
    <w:p>
      <w:pPr>
        <w:spacing w:after="0" w:line="16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 Remedies</w:t>
      </w:r>
      <w:r>
        <w:rPr>
          <w:rFonts w:ascii="Times New Roman" w:cs="Times New Roman" w:eastAsia="Times New Roman" w:hAnsi="Times New Roman"/>
          <w:sz w:val="22"/>
          <w:szCs w:val="22"/>
          <w:color w:val="auto"/>
        </w:rPr>
        <w:t>. Employee agrees that, in the event of a breach or threatened breach of the Non-Solicitation Agreement, in addition to any remedies at law, the Company, without posting any bond, shall be entitled to obtain equitable relief in the form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56"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specific performance, temporary restraining orders, temporary or permanent injunctions or any other equitable remedy that may then be available.</w:t>
      </w:r>
    </w:p>
    <w:p>
      <w:pPr>
        <w:spacing w:after="0" w:line="150" w:lineRule="exact"/>
        <w:rPr>
          <w:sz w:val="20"/>
          <w:szCs w:val="20"/>
          <w:color w:val="auto"/>
        </w:rPr>
      </w:pPr>
    </w:p>
    <w:p>
      <w:pPr>
        <w:jc w:val="both"/>
        <w:ind w:firstLine="656"/>
        <w:spacing w:after="0" w:line="211"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hereunder by either Party to the other shall be given in writing by personal delivery, email (with confirmation from the receiving party), facsimile, overnight courier or certified mail, return receipt requested, addressed, if to the Company, to the attention of the CEO at the Company’s executive offices or to such other address as the Company may designate in writing at any time or from time to time to Employee with a copy (which shall not constitute notice) to the Company’s General Counsel at the Company’s executives offices, and if to Employee, to Employee’s most recent address and contact information on file with the Company. Notice shall be deemed given, if by personal delivery or by overnight courier, on the date of such delivery or, if by facsimile, on the business day following receipt of delivery confirmation, if by email, on the date confirmation from the receiving Party is received by the Party providing notice, or, if by certified mail, on the date shown on the applicable return receipt.</w:t>
      </w:r>
    </w:p>
    <w:p>
      <w:pPr>
        <w:spacing w:after="0" w:line="158"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This Agreement shall inure to the benefit of the Company and its respective successors and assigns. This Agreement may not be assigned by either Party without the prior written consent of the other Party; provided that the Company may assign this Agreement without Employee’s consent to an affiliate of the Company (or its successor),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in the event of a sale of all or substantially all of the assets of the Company or any direct or indirect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division or subsidiary thereof to which employee’s employment primarily relates, the Company may provide that this Agreement will be assigned to, and assumed by, the acquiror of such assets, it being agreed that in such circumstances, Employee’s consent will not be required in connection therewith. This Agreement shall be binding on the Parties’ permitted successors and assigns.</w:t>
      </w:r>
    </w:p>
    <w:p>
      <w:pPr>
        <w:spacing w:after="0" w:line="150" w:lineRule="exact"/>
        <w:rPr>
          <w:rFonts w:ascii="Times New Roman" w:cs="Times New Roman" w:eastAsia="Times New Roman" w:hAnsi="Times New Roman"/>
          <w:sz w:val="21"/>
          <w:szCs w:val="21"/>
          <w:color w:val="auto"/>
        </w:rPr>
      </w:pPr>
    </w:p>
    <w:p>
      <w:pPr>
        <w:jc w:val="both"/>
        <w:ind w:firstLine="656"/>
        <w:spacing w:after="0" w:line="220" w:lineRule="auto"/>
        <w:tabs>
          <w:tab w:leader="none" w:pos="128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Non-Solicitation Agreement, and the Company’s policies and procedures as approved by the Company and in effect and as amended from time to time constitute the entire agreement between the Parties with respect to the subject matter hereof. To the extent there is any conflict between this Agreement and the Non-Solicitation Agreement, this Agreement shall prevail.</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Parties shall each pay their own respective expenses incident to the enforcement or interpretation of, or dispute resolution with respect to, this Agreement, including all fees and expenses of their counsel for all activities of such counsel undertaken pursuant to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(INCLUDING ANY CLAIM OR CONTROVERSY ARISING OUT OF OR RELATING TO THIS AGREEMENT) SHALL BE GOVERNED BY AND CONSTRUED IN ACCORDANCE WITH THE LAWS OF THE STATE OF GEORGIA, WITHOUT REGARD TO CONFLICT OF LAW PRINCIPLES THAT WOULD RESULT IN THE APPLICATION OF ANY LAW OTHER THAN THE LAWS OF THE STATE OF GEORGIA. ANY DISPUTE OR CLAIM ARISING OUT OF OR RELATING TO THIS AGREEMENT OR CLAIM OF BREACH HEREOF SHALL BE BROUGHT EXCLUSIVELY IN THE UNITED STATES DISTRICT COURT FOR THE NORTHERN DISTRICT OF GEORGIA, ATLANTA DIVISION, TO THE EXTENT FEDERAL JURISDICTION EXISTS, AND IN THE SUPERIOR COURT OF FULTON COUNTY, GEORGIA, BUT ONLY IN THE EVENT FEDERAL JURISDICTION DOES NOT EXIST, AND ANY APPLICABLE APPELLATE COURTS. BY EXECUTION OF THIS AGREEMENT, THE PARTIES HERETO, AND THEIR RESPECTIVE AFFILIATES,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55"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CONSENT TO THE EXCLUSIVE JURISDICTION OF SUCH COURTS, AND WAIVE ANY RIGHT TO CHALLENGE JURISDICTION OR VENUE IN SUCH COURT WITH REGARD TO ANY SUIT, ACTION, OR PROCEEDING UNDER OR IN CONNECTION WITH THIS AGREEMENT.</w:t>
      </w:r>
    </w:p>
    <w:p>
      <w:pPr>
        <w:spacing w:after="0" w:line="152" w:lineRule="exact"/>
        <w:rPr>
          <w:sz w:val="20"/>
          <w:szCs w:val="20"/>
          <w:color w:val="auto"/>
        </w:rPr>
      </w:pPr>
    </w:p>
    <w:p>
      <w:pPr>
        <w:jc w:val="both"/>
        <w:ind w:firstLine="656"/>
        <w:spacing w:after="0" w:line="210" w:lineRule="auto"/>
        <w:tabs>
          <w:tab w:leader="none" w:pos="129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HEREBY WAIVES, TO THE FULLEST EXTENT PERMITTED BY APPLICABLE LAW, ANY RIGHT SUCH PARTY MAY HAVE TO A TRIAL BY JURY IN ANY LEGAL PROCEEDING DIRECTLY OR INDIRECTLY ARISING OUT OF OR RELATING TO THIS AGREEMENT OR THE TRANSACTIONS CONTEMPLATED HEREBY (WHETHER BASED ON CONTRACT, TORT OR ANY OTHER THEORY). EACH PARTY</w:t>
      </w:r>
    </w:p>
    <w:p>
      <w:pPr>
        <w:spacing w:after="0" w:line="2" w:lineRule="exact"/>
        <w:rPr>
          <w:rFonts w:ascii="Times New Roman" w:cs="Times New Roman" w:eastAsia="Times New Roman" w:hAnsi="Times New Roman"/>
          <w:sz w:val="22"/>
          <w:szCs w:val="22"/>
          <w:color w:val="auto"/>
        </w:rPr>
      </w:pPr>
    </w:p>
    <w:p>
      <w:pPr>
        <w:jc w:val="both"/>
        <w:ind w:firstLine="8"/>
        <w:spacing w:after="0" w:line="212" w:lineRule="auto"/>
        <w:tabs>
          <w:tab w:leader="none" w:pos="36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CERTIFIES THAT NO REPRESENTATIVE, AGENT OR ATTORNEY OF ANY OTHER PARTY HAS REPRESENTED, EXPRESSLY OR OTHERWISE, THAT SUCH OTHER PARTY WOULD NOT, IN THE EVENT OF LITIGATION, SEEK TO ENFORCE THE FOREGOING WAIVER AND (B) ACKNOWLEDGES THAT IT AND THE OTHER PARTIES HAVE BEEN INDUCED TO ENTER INTO THIS AGREEMENT BY, AMONG OTHER THINGS, THE MUTUAL WAIVERS AND CERTIFICATIONS IN THIS SECTION.</w:t>
      </w:r>
    </w:p>
    <w:p>
      <w:pPr>
        <w:spacing w:after="0" w:line="154"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Further Agreements</w:t>
      </w:r>
      <w:r>
        <w:rPr>
          <w:rFonts w:ascii="Times New Roman" w:cs="Times New Roman" w:eastAsia="Times New Roman" w:hAnsi="Times New Roman"/>
          <w:sz w:val="22"/>
          <w:szCs w:val="22"/>
          <w:color w:val="auto"/>
        </w:rPr>
        <w:t>. Any waiver of any terms or conditions of this Agreement shall not operate as a waiver of any other breach of such terms or conditions or any other term or condition, nor shall any failure to enforce any provision hereof operate as a waiver of such provision or of any other provision hereof; provided, that no such written waiver, unless it, by its own terms, explicitly provides to the contrary, shall be construed to effect a continuing waiver of the provision being waived and no such waiver in any instance shall constitute a waiver in any other instance or for any other purpose or impair the right of the Party against whom such waiver is claimed in all other instances or for all other purposes to require full compliance with such provision. Each Party agrees to execute all such further instruments and documents and to take all such further action as the other Party may reasonably request to effectuate the terms and purposes of this Agreement.</w:t>
      </w:r>
    </w:p>
    <w:p>
      <w:pPr>
        <w:spacing w:after="0" w:line="156"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not be amended, nor shall any waiver, change, modification, consent or discharge be effected, except by an instrument in writing executed by both Parties.</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Headings</w:t>
      </w:r>
      <w:r>
        <w:rPr>
          <w:rFonts w:ascii="Times New Roman" w:cs="Times New Roman" w:eastAsia="Times New Roman" w:hAnsi="Times New Roman"/>
          <w:sz w:val="22"/>
          <w:szCs w:val="22"/>
          <w:color w:val="auto"/>
        </w:rPr>
        <w:t>. If any portion of this Agreement is held invalid or inoperative, the other portions of this Agreement shall be deemed valid and operative and, so far as is reasonable and possible, effect shall be given to the intent manifested by the portion held invalid or inoperative. The section headings are for reference purposes only and are not intended in any way to describe, interpret, define or limit the extent of the Agreement or of any part 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 This Agreement may be executed by facsimile and electronically transmitted signature (e.g., portable document format) and such signatures shall be deemed to be originals.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Advice</w:t>
      </w:r>
      <w:r>
        <w:rPr>
          <w:rFonts w:ascii="Times New Roman" w:cs="Times New Roman" w:eastAsia="Times New Roman" w:hAnsi="Times New Roman"/>
          <w:sz w:val="22"/>
          <w:szCs w:val="22"/>
          <w:color w:val="auto"/>
        </w:rPr>
        <w:t>. Employee acknowledges that Employee has been advised to seek the advice of independent legal counsel and has either obtained such advice or has voluntarily and without compulsion elected to enter into and be bound by the terms of this Agreement without such advice of independent legal counsel.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56"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- 9 -</w:t>
      </w:r>
    </w:p>
    <w:p>
      <w:pPr>
        <w:sectPr>
          <w:pgSz w:w="11900" w:h="16838" w:orient="portrait"/>
          <w:cols w:equalWidth="0" w:num="1">
            <w:col w:w="9019"/>
          </w:cols>
          <w:pgMar w:left="1440" w:top="1440" w:right="1440"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duly executed and delivered this Employment Agreement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w:t>
      </w:r>
    </w:p>
    <w:p>
      <w:pPr>
        <w:spacing w:after="0" w:line="3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Timothy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-148590</wp:posOffset>
            </wp:positionV>
            <wp:extent cx="8229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Priority Technology Holdings, Inc.</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-5715</wp:posOffset>
            </wp:positionV>
            <wp:extent cx="6858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-5080</wp:posOffset>
            </wp:positionV>
            <wp:extent cx="8229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-29210</wp:posOffset>
            </wp:positionV>
            <wp:extent cx="6858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ectPr>
          <w:pgSz w:w="11900" w:h="16838" w:orient="portrait"/>
          <w:cols w:equalWidth="0" w:num="1">
            <w:col w:w="11240"/>
          </w:cols>
          <w:pgMar w:left="320" w:top="10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EMPLOYEE CONFIDENTIALITY, ASSIGNMENT OF INVENTIONS,</w:t>
      </w:r>
    </w:p>
    <w:p>
      <w:pPr>
        <w:jc w:val="center"/>
        <w:spacing w:after="0"/>
        <w:rPr>
          <w:sz w:val="20"/>
          <w:szCs w:val="20"/>
          <w:color w:val="auto"/>
        </w:rPr>
      </w:pPr>
      <w:r>
        <w:rPr>
          <w:rFonts w:ascii="Times New Roman" w:cs="Times New Roman" w:eastAsia="Times New Roman" w:hAnsi="Times New Roman"/>
          <w:sz w:val="22"/>
          <w:szCs w:val="22"/>
          <w:b w:val="1"/>
          <w:bCs w:val="1"/>
          <w:color w:val="auto"/>
        </w:rPr>
        <w:t>AND NON-SOLICITATION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Timothy O’Leary</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In consideration of my employment with and continued employment by </w:t>
      </w:r>
      <w:r>
        <w:rPr>
          <w:rFonts w:ascii="Times New Roman" w:cs="Times New Roman" w:eastAsia="Times New Roman" w:hAnsi="Times New Roman"/>
          <w:sz w:val="22"/>
          <w:szCs w:val="22"/>
          <w:b w:val="1"/>
          <w:bCs w:val="1"/>
          <w:color w:val="auto"/>
        </w:rPr>
        <w:t>Priority Technology Holdings, Inc., a Delaware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corporation </w:t>
      </w:r>
      <w:r>
        <w:rPr>
          <w:rFonts w:ascii="Times New Roman" w:cs="Times New Roman" w:eastAsia="Times New Roman" w:hAnsi="Times New Roman"/>
          <w:sz w:val="22"/>
          <w:szCs w:val="22"/>
          <w:color w:val="auto"/>
        </w:rPr>
        <w:t>(together with its affiliates,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for other valuable consideration, the receipt and sufficiency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is hereby acknowledged, I agree as follows:</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Confidentiality</w:t>
      </w:r>
    </w:p>
    <w:p>
      <w:pPr>
        <w:spacing w:after="0" w:line="183" w:lineRule="exact"/>
        <w:rPr>
          <w:sz w:val="20"/>
          <w:szCs w:val="20"/>
          <w:color w:val="auto"/>
        </w:rPr>
      </w:pPr>
    </w:p>
    <w:p>
      <w:pPr>
        <w:jc w:val="both"/>
        <w:ind w:firstLine="415"/>
        <w:spacing w:after="0" w:line="210" w:lineRule="auto"/>
        <w:rPr>
          <w:sz w:val="20"/>
          <w:szCs w:val="20"/>
          <w:color w:val="auto"/>
        </w:rPr>
      </w:pPr>
      <w:r>
        <w:rPr>
          <w:rFonts w:ascii="Times New Roman" w:cs="Times New Roman" w:eastAsia="Times New Roman" w:hAnsi="Times New Roman"/>
          <w:sz w:val="22"/>
          <w:szCs w:val="22"/>
          <w:color w:val="auto"/>
        </w:rPr>
        <w:t>I understand that the Company and its affiliates continually obtain and develop valuable proprietary and confidential information concerning their business, business relationships, and financial affairs, (the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that has or may become known to me in connection with my employment. By way of illustration but not limitation, Confidential Information shall include Inventions (as defined below), trade secrets, technical information, know-how, research and development activities, product, service and marketing plans, business plans, budgets and unpublished financial statements, licenses, prices and costs, customer and supplier information, information (including contact coordinates) for employers and employees, and information disclosed to the Company or to me by third parties of a proprietary or confidential nature or under an obligation of confidence. Confidential Information is contained in various media, including without limitation, patent applications, computer programs in object and source code, flow charts and other program documentation, manuals, plans, drawings, designs, technical specifications, supplier, customer, carrier and claimant lists, claimant case files, internal financial data and other documents and records of the Company.</w:t>
      </w:r>
    </w:p>
    <w:p>
      <w:pPr>
        <w:spacing w:after="0" w:line="15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Confidential Information shall not include information that I can demonstrate: (1) is or becomes generally known within the Company’s industry through no fault of mine or any other person with an obligation of confidentiality to the Company; (2) is lawfully and in good faith made available to me by a third party who did not derive it from the Company and who imposes no obligation of confidence on me; or (3)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 represent and warrant that: (1) I am not subject to any legal or contractual duty or agreement that would prevent or prohibit me from performing the duties contemplated by my employment agreement with the Company or otherwise contained herein, and (2) I am not in breach of any legal or contractual duty or agreement, including any agreement concerning trade secrets or confidential information owned by any other party.</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I agree that I will not: (1) use, disclose, or reverse engineer any Confidential Information for any purpose other than the Business (as defined below), except as authorized in writing by the Company; (2) during my employment with the Company, use, disclose, or reverse engineer (a) any confidential information or trade secrets of any former employer or third party or (b) any works of authorship developed in whole or in part by me during any former employment or for any other party, unless authorized in writing by the former employer or third party; or (3) upon my resignation or termination (a) retain any Confidential Information, including any copies</w:t>
      </w:r>
    </w:p>
    <w:p>
      <w:pPr>
        <w:sectPr>
          <w:pgSz w:w="11900" w:h="16838" w:orient="portrait"/>
          <w:cols w:equalWidth="0" w:num="1">
            <w:col w:w="11240"/>
          </w:cols>
          <w:pgMar w:left="320" w:top="100" w:right="339" w:bottom="1440" w:gutter="0" w:footer="0" w:header="0"/>
        </w:sectPr>
      </w:pPr>
    </w:p>
    <w:bookmarkStart w:id="133" w:name="page134"/>
    <w:bookmarkEnd w:id="133"/>
    <w:p>
      <w:pPr>
        <w:spacing w:after="0" w:line="2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existing in any form (including electronic form), which are in my possession, custody, or control, or (b) destroy, delete, or alter any Confidential Information without the Company’s written consent.</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 acknowledge that the confidentiality, property, and proprietary rights protections contained in this Agreement are in addition to, and not exclusive of, any and all other rights to which the Company may be entitled under federal and state law, including without limitation rights provided under copyright laws, trade secret and confidential information laws, and laws concerning fiduciary duties.</w:t>
      </w:r>
    </w:p>
    <w:p>
      <w:pPr>
        <w:spacing w:after="0" w:line="152" w:lineRule="exact"/>
        <w:rPr>
          <w:sz w:val="20"/>
          <w:szCs w:val="20"/>
          <w:color w:val="auto"/>
        </w:rPr>
      </w:pPr>
    </w:p>
    <w:p>
      <w:pPr>
        <w:jc w:val="both"/>
        <w:ind w:firstLine="380"/>
        <w:spacing w:after="0" w:line="225" w:lineRule="auto"/>
        <w:rPr>
          <w:sz w:val="20"/>
          <w:szCs w:val="20"/>
          <w:color w:val="auto"/>
        </w:rPr>
      </w:pPr>
      <w:r>
        <w:rPr>
          <w:rFonts w:ascii="Times New Roman" w:cs="Times New Roman" w:eastAsia="Times New Roman" w:hAnsi="Times New Roman"/>
          <w:sz w:val="22"/>
          <w:szCs w:val="22"/>
          <w:color w:val="auto"/>
        </w:rPr>
        <w:t>I acknowledge that all Confidential Information, whether or not in writing and whether or not labeled or identified as confidential or proprietary, is and shall remain the exclusive property of the Company or the third party providing such Confidential Information to myself or the Company.</w:t>
      </w:r>
    </w:p>
    <w:p>
      <w:pPr>
        <w:spacing w:after="0" w:line="153" w:lineRule="exact"/>
        <w:rPr>
          <w:sz w:val="20"/>
          <w:szCs w:val="20"/>
          <w:color w:val="auto"/>
        </w:rPr>
      </w:pPr>
    </w:p>
    <w:p>
      <w:pPr>
        <w:jc w:val="both"/>
        <w:ind w:firstLine="306"/>
        <w:spacing w:after="0" w:line="217" w:lineRule="auto"/>
        <w:rPr>
          <w:sz w:val="20"/>
          <w:szCs w:val="20"/>
          <w:color w:val="auto"/>
        </w:rPr>
      </w:pPr>
      <w:r>
        <w:rPr>
          <w:rFonts w:ascii="Times New Roman" w:cs="Times New Roman" w:eastAsia="Times New Roman" w:hAnsi="Times New Roman"/>
          <w:sz w:val="22"/>
          <w:szCs w:val="22"/>
          <w:color w:val="auto"/>
        </w:rPr>
        <w:t>I agree to exercise all reasonable precautions to protect the integrity and confidentiality of Confidential Information in my possession and not to remove any materials containing Confidential Information from the Company’s premises except to the extent necessary for my employment. Upon the termination of my employment, or at any time upon the Company’s request, I shall return immediately to the Company any and all materials containing any Confidential Information then in my possession or under my control.</w:t>
      </w:r>
    </w:p>
    <w:p>
      <w:pPr>
        <w:spacing w:after="0" w:line="152" w:lineRule="exact"/>
        <w:rPr>
          <w:sz w:val="20"/>
          <w:szCs w:val="20"/>
          <w:color w:val="auto"/>
        </w:rPr>
      </w:pPr>
    </w:p>
    <w:p>
      <w:pPr>
        <w:jc w:val="both"/>
        <w:ind w:firstLine="224"/>
        <w:spacing w:after="0" w:line="225" w:lineRule="auto"/>
        <w:rPr>
          <w:sz w:val="20"/>
          <w:szCs w:val="20"/>
          <w:color w:val="auto"/>
        </w:rPr>
      </w:pPr>
      <w:r>
        <w:rPr>
          <w:rFonts w:ascii="Times New Roman" w:cs="Times New Roman" w:eastAsia="Times New Roman" w:hAnsi="Times New Roman"/>
          <w:sz w:val="22"/>
          <w:szCs w:val="22"/>
          <w:color w:val="auto"/>
        </w:rPr>
        <w:t>Nothing contained herein or in my employment agreement with the Company is intended to or will be used in any way to limit your rights to communicate or cooperate with, or provide information to, a governmental agency or entity as provided for, protected under, or warranted by whistleblower or other provisions of applicable law or regulation.</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Assignment of Inventions</w:t>
      </w:r>
    </w:p>
    <w:p>
      <w:pPr>
        <w:spacing w:after="0" w:line="183" w:lineRule="exact"/>
        <w:rPr>
          <w:sz w:val="20"/>
          <w:szCs w:val="20"/>
          <w:color w:val="auto"/>
        </w:rPr>
      </w:pPr>
    </w:p>
    <w:p>
      <w:pPr>
        <w:jc w:val="both"/>
        <w:ind w:firstLine="255"/>
        <w:spacing w:after="0" w:line="215" w:lineRule="auto"/>
        <w:rPr>
          <w:sz w:val="20"/>
          <w:szCs w:val="20"/>
          <w:color w:val="auto"/>
        </w:rPr>
      </w:pPr>
      <w:r>
        <w:rPr>
          <w:rFonts w:ascii="Times New Roman" w:cs="Times New Roman" w:eastAsia="Times New Roman" w:hAnsi="Times New Roman"/>
          <w:sz w:val="22"/>
          <w:szCs w:val="22"/>
          <w:color w:val="auto"/>
        </w:rPr>
        <w:t>I agree promptly to disclose to the Company any and all discoveries, inventions, developments, original works of authorship, software programs, software and systems documentation, trade secrets, technical data, and know-how that are conceived, devised, invented, developed or reduced to practice or tangible medium by me, under my direction or jointly with others in the course and scope of my employment by the Company, whether or not during normal working hours or on the premises of the Company, which relate directly or indirectly to the business of the Company or its affiliates (collectively,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and arise out of my employment with the Company (hereinafter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234"/>
        <w:spacing w:after="0" w:line="213" w:lineRule="auto"/>
        <w:rPr>
          <w:sz w:val="20"/>
          <w:szCs w:val="20"/>
          <w:color w:val="auto"/>
        </w:rPr>
      </w:pPr>
      <w:r>
        <w:rPr>
          <w:rFonts w:ascii="Times New Roman" w:cs="Times New Roman" w:eastAsia="Times New Roman" w:hAnsi="Times New Roman"/>
          <w:sz w:val="22"/>
          <w:szCs w:val="22"/>
          <w:color w:val="auto"/>
        </w:rPr>
        <w:t>I hereby assign to the Company (or its designated affiliates) all of my right, title, and interest to the Inventions and any and all related patent rights, copyrights, and applications and registrations therefor. During and after my employment, I shall cooperate with the Company, at the Company’s expense, in obtaining proprietary protection for the Inventions, and I shall execute all documents that the Company shall reasonably request in order to perfect the Company’s (or its designated affiliates’) rights in the Inventions. I understand that, to the extent this Agreement shall be construed in accordance with the laws of any state which limits the assignability to the Company of certain employee inventions, this Agreement shall be interpreted not to apply to any such invention that a court rules or the Company agrees is subject to such state limitation.</w:t>
      </w:r>
    </w:p>
    <w:p>
      <w:pPr>
        <w:spacing w:after="0" w:line="156" w:lineRule="exact"/>
        <w:rPr>
          <w:sz w:val="20"/>
          <w:szCs w:val="20"/>
          <w:color w:val="auto"/>
        </w:rPr>
      </w:pPr>
    </w:p>
    <w:p>
      <w:pPr>
        <w:jc w:val="both"/>
        <w:ind w:firstLine="272"/>
        <w:spacing w:after="0" w:line="236" w:lineRule="auto"/>
        <w:rPr>
          <w:sz w:val="20"/>
          <w:szCs w:val="20"/>
          <w:color w:val="auto"/>
        </w:rPr>
      </w:pPr>
      <w:r>
        <w:rPr>
          <w:rFonts w:ascii="Times New Roman" w:cs="Times New Roman" w:eastAsia="Times New Roman" w:hAnsi="Times New Roman"/>
          <w:sz w:val="22"/>
          <w:szCs w:val="22"/>
          <w:color w:val="auto"/>
        </w:rPr>
        <w:t>I acknowledge that all original works of authorship made by me within the scope of my employment that are protectable by copyright are intended to be “works made for hire”, as that</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term is defined in Section 101 of the United States Copyright Act of 1976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shall be the property of the Company, and the Company shall be the sole author within the meaning of the Act. I hereby waive all claims to moral rights in any Inventions. I further represent that there are no inventions made, conceived or first reduced to practice by me, under my direction or jointly with others prior to my employment with the Company.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 acknowledge and agree that: (1) my position is a position of trust and responsibility with access to Confidential Information; (2) the Confidential Information, and the relationship between the Company, its affiliates, and the employees and customers of each, are valuable assets of the Company that may not be used for any purpose other than the Business; (3) the names of any customers of the Company or its affiliates are considered Confidential Information that constitutes valuable, special, and unique property of the Company; (4) customer lists and customer information that have been compiled by the Company or its affiliates represent a material investment of the Company’s time and money; (5) the Company will invest its time and money in the development of my skills in the Business; and (6) the restrictions contained in this herein, including without limitation the restrictive covenants set forth in this Agreement, are reasonable and necessary to protect the legitimate business interests of the Company and its affiliates, and they will not impair or infringe upon my right to work or earn a living when my employment with the Company ends.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 acknowledge that (1) the markets served by the Company are intended to be national in scope and not dependent on the geographic location of the executive personnel or the businesses by which they are employed, and (2) the below covenants are manifestly reasonable on their face. The Company and I expressly agree that such restrictions have been designed to be reasonable and no greater than is required for the protection of the Company and are a significant element of the consideration hereunder. If the final judgment of a court of competent jurisdiction declares that any term or provision contained herein is invalid or unenforceable, the Company and I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the covenants and agreements contained herein shall be enforceable as so modified to cover the maximum duration, scope, or area permitted by law.</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Non-Solicitation of Customers</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 agree that, while I am employed by the Company and for a period of two years following any termination or cessation of such employment (such period, the “</w:t>
      </w:r>
      <w:r>
        <w:rPr>
          <w:rFonts w:ascii="Times New Roman" w:cs="Times New Roman" w:eastAsia="Times New Roman" w:hAnsi="Times New Roman"/>
          <w:sz w:val="22"/>
          <w:szCs w:val="22"/>
          <w:u w:val="single" w:color="auto"/>
          <w:color w:val="auto"/>
        </w:rPr>
        <w:t>Non-Interference Period</w:t>
      </w:r>
      <w:r>
        <w:rPr>
          <w:rFonts w:ascii="Times New Roman" w:cs="Times New Roman" w:eastAsia="Times New Roman" w:hAnsi="Times New Roman"/>
          <w:sz w:val="22"/>
          <w:szCs w:val="22"/>
          <w:color w:val="auto"/>
        </w:rPr>
        <w:t>”), I shall not solicit, divert, or take away, or attempt to divert or take away, the business or patronage of any of the referral sources, clients, customers, or accounts of the Company for the purpose of selling or providing any products or services competitive with the Business.</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Non-Solicitation and Non-Hire of Employees</w:t>
      </w:r>
    </w:p>
    <w:p>
      <w:pPr>
        <w:spacing w:after="0" w:line="183" w:lineRule="exact"/>
        <w:rPr>
          <w:sz w:val="20"/>
          <w:szCs w:val="20"/>
          <w:color w:val="auto"/>
        </w:rPr>
      </w:pPr>
    </w:p>
    <w:p>
      <w:pPr>
        <w:jc w:val="both"/>
        <w:ind w:firstLine="226"/>
        <w:spacing w:after="0" w:line="220" w:lineRule="auto"/>
        <w:rPr>
          <w:sz w:val="20"/>
          <w:szCs w:val="20"/>
          <w:color w:val="auto"/>
        </w:rPr>
      </w:pPr>
      <w:r>
        <w:rPr>
          <w:rFonts w:ascii="Times New Roman" w:cs="Times New Roman" w:eastAsia="Times New Roman" w:hAnsi="Times New Roman"/>
          <w:sz w:val="22"/>
          <w:szCs w:val="22"/>
          <w:color w:val="auto"/>
        </w:rPr>
        <w:t>While I am employed by the Company and during the Non-Interference Period, I will not, directly or indirectly, for my benefit or for the benefit of any person other than the Company, (1) solicit or assist any person to solicit, recruit, or induce any officer, director, Executive Chairman, executive, employee or consultant of the Company or its affiliates to (a) terminate his or her employment or relationship with the Company or its affiliates, or (b) work for any other person,</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or (2) hire or cause to be hired any person who is then, or who will have been at any point in time during the Non-Interference Period, an officer, director, Executive Chairman, executive, employee, or consultant of the Company or its affiliates.</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Non-Competition</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While I am employed by the Company and during the Non-Interference Period, I will not engage or participate, directly or indirectly, as principal, agent, executive, director, proprietor, joint venturer, trustee, employee, employer, consultant, stockholder, partners, or in any other capacity whatsoever in the conduct or management of, or fund, invest in, lend to, own any stock or any other equity or debt investment in, or provide any services of any nature whatsoever to or in respect of any business that is competitive with or in the same line of business as the Business in the United States, provided that nothing in this Agreement shall prohibit me from being passive beneficial owner of less than two percent of the outstanding stock of any publicly-traded corporation.</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Separate Obligations</w:t>
      </w:r>
    </w:p>
    <w:p>
      <w:pPr>
        <w:spacing w:after="0" w:line="183" w:lineRule="exact"/>
        <w:rPr>
          <w:sz w:val="20"/>
          <w:szCs w:val="20"/>
          <w:color w:val="auto"/>
        </w:rPr>
      </w:pPr>
    </w:p>
    <w:p>
      <w:pPr>
        <w:jc w:val="both"/>
        <w:ind w:firstLine="235"/>
        <w:spacing w:after="0" w:line="225" w:lineRule="auto"/>
        <w:rPr>
          <w:sz w:val="20"/>
          <w:szCs w:val="20"/>
          <w:color w:val="auto"/>
        </w:rPr>
      </w:pPr>
      <w:r>
        <w:rPr>
          <w:rFonts w:ascii="Times New Roman" w:cs="Times New Roman" w:eastAsia="Times New Roman" w:hAnsi="Times New Roman"/>
          <w:sz w:val="22"/>
          <w:szCs w:val="22"/>
          <w:color w:val="auto"/>
        </w:rPr>
        <w:t>I hereby acknowledge that the foregoing obligations are separate and distinct (and that I have received or will receive separate consideration for the foregoing obligations) from and not in derogation of any obligations I have undertaken in connection with any other agreements between myself and the Company.</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Other Agreements</w:t>
      </w:r>
    </w:p>
    <w:p>
      <w:pPr>
        <w:spacing w:after="0" w:line="183" w:lineRule="exact"/>
        <w:rPr>
          <w:sz w:val="20"/>
          <w:szCs w:val="20"/>
          <w:color w:val="auto"/>
        </w:rPr>
      </w:pPr>
    </w:p>
    <w:p>
      <w:pPr>
        <w:jc w:val="both"/>
        <w:ind w:firstLine="387"/>
        <w:spacing w:after="0" w:line="220" w:lineRule="auto"/>
        <w:rPr>
          <w:sz w:val="20"/>
          <w:szCs w:val="20"/>
          <w:color w:val="auto"/>
        </w:rPr>
      </w:pPr>
      <w:r>
        <w:rPr>
          <w:rFonts w:ascii="Times New Roman" w:cs="Times New Roman" w:eastAsia="Times New Roman" w:hAnsi="Times New Roman"/>
          <w:sz w:val="22"/>
          <w:szCs w:val="22"/>
          <w:color w:val="auto"/>
        </w:rPr>
        <w:t xml:space="preserve">I hereby represent to the Company that I am not bound by any agreement or any other previous or existing business relationship that conflicts with or prevents the full performance of my duties and obligations to the Company (including my duties and obligations under this or any other agreement with the Company) during my employment. All existing business relationships and agreements that I have with persons other than the Company are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General</w:t>
      </w:r>
    </w:p>
    <w:p>
      <w:pPr>
        <w:spacing w:after="0" w:line="183" w:lineRule="exact"/>
        <w:rPr>
          <w:sz w:val="20"/>
          <w:szCs w:val="20"/>
          <w:color w:val="auto"/>
        </w:rPr>
      </w:pPr>
    </w:p>
    <w:p>
      <w:pPr>
        <w:jc w:val="both"/>
        <w:ind w:firstLine="229"/>
        <w:spacing w:after="0" w:line="213" w:lineRule="auto"/>
        <w:rPr>
          <w:sz w:val="20"/>
          <w:szCs w:val="20"/>
          <w:color w:val="auto"/>
        </w:rPr>
      </w:pPr>
      <w:r>
        <w:rPr>
          <w:rFonts w:ascii="Times New Roman" w:cs="Times New Roman" w:eastAsia="Times New Roman" w:hAnsi="Times New Roman"/>
          <w:sz w:val="22"/>
          <w:szCs w:val="22"/>
          <w:color w:val="auto"/>
        </w:rPr>
        <w:t>This Agreement may not be assigned by either party, except that the Company may assign this Agreement to its affiliates or in connection with the merger, consolidation or sale of all or substantially all of its business or assets. This Agreement shall be binding upon and shall inure to the benefit of the parties hereto and their respective successors and other legal representatives and, to the extent that any assignment hereof is permitted hereunder, their assignees. This Agreement may be executed in two or more counterparts, each of which shall be deemed an original, but all of which together shall constitute one and the same instrument. This Agreement may be executed by facsimile or electronically transmitted signature (e.g., portable document format), and such signatures shall be deemed to be originals.</w:t>
      </w:r>
    </w:p>
    <w:p>
      <w:pPr>
        <w:spacing w:after="0" w:line="156" w:lineRule="exact"/>
        <w:rPr>
          <w:sz w:val="20"/>
          <w:szCs w:val="20"/>
          <w:color w:val="auto"/>
        </w:rPr>
      </w:pPr>
    </w:p>
    <w:p>
      <w:pPr>
        <w:jc w:val="both"/>
        <w:ind w:firstLine="291"/>
        <w:spacing w:after="0" w:line="236" w:lineRule="auto"/>
        <w:rPr>
          <w:sz w:val="20"/>
          <w:szCs w:val="20"/>
          <w:color w:val="auto"/>
        </w:rPr>
      </w:pPr>
      <w:r>
        <w:rPr>
          <w:rFonts w:ascii="Times New Roman" w:cs="Times New Roman" w:eastAsia="Times New Roman" w:hAnsi="Times New Roman"/>
          <w:sz w:val="22"/>
          <w:szCs w:val="22"/>
          <w:color w:val="auto"/>
        </w:rPr>
        <w:t>This Agreement supersedes all prior agreements, written or oral, with respect to the subject matter of this Agreement. This Agreement may be changed only by a written instrument signed by both parties hereto.</w:t>
      </w:r>
    </w:p>
    <w:p>
      <w:pPr>
        <w:spacing w:after="0" w:line="150" w:lineRule="exact"/>
        <w:rPr>
          <w:sz w:val="20"/>
          <w:szCs w:val="20"/>
          <w:color w:val="auto"/>
        </w:rPr>
      </w:pPr>
    </w:p>
    <w:p>
      <w:pPr>
        <w:jc w:val="both"/>
        <w:ind w:firstLine="296"/>
        <w:spacing w:after="0" w:line="225" w:lineRule="auto"/>
        <w:rPr>
          <w:sz w:val="20"/>
          <w:szCs w:val="20"/>
          <w:color w:val="auto"/>
        </w:rPr>
      </w:pPr>
      <w:r>
        <w:rPr>
          <w:rFonts w:ascii="Times New Roman" w:cs="Times New Roman" w:eastAsia="Times New Roman" w:hAnsi="Times New Roman"/>
          <w:sz w:val="22"/>
          <w:szCs w:val="22"/>
          <w:color w:val="auto"/>
        </w:rPr>
        <w:t>In the event that any one or more of the provisions contained herein shall, for any reason, be held to be invalid, illegal, or unenforceable in any respect, such invalidity, illegality, or unenforceability shall not affect any other provisions of this Agreement, and all other provisions</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shall remain in full force and effect. If any of the provisions of this Agreement is held to be excessively broad, it shall be reformed and construed by limiting and reducing it so as to be enforceable to the maximum extent permitted by law. I agree that should I violate any obligation imposed on me in this Agreement, I shall continue to be bound by the obligation until a period equal to the term of such obligation has expired without violation of such obligation.</w:t>
      </w:r>
    </w:p>
    <w:p>
      <w:pPr>
        <w:spacing w:after="0" w:line="152" w:lineRule="exact"/>
        <w:rPr>
          <w:sz w:val="20"/>
          <w:szCs w:val="20"/>
          <w:color w:val="auto"/>
        </w:rPr>
      </w:pPr>
    </w:p>
    <w:p>
      <w:pPr>
        <w:jc w:val="both"/>
        <w:ind w:firstLine="285"/>
        <w:spacing w:after="0" w:line="225" w:lineRule="auto"/>
        <w:rPr>
          <w:sz w:val="20"/>
          <w:szCs w:val="20"/>
          <w:color w:val="auto"/>
        </w:rPr>
      </w:pPr>
      <w:r>
        <w:rPr>
          <w:rFonts w:ascii="Times New Roman" w:cs="Times New Roman" w:eastAsia="Times New Roman" w:hAnsi="Times New Roman"/>
          <w:sz w:val="22"/>
          <w:szCs w:val="22"/>
          <w:color w:val="auto"/>
        </w:rPr>
        <w:t>No delay or omission by the Company in exercising any right under this Agreement will operate as a waiver of that or any other right. A waiver or consent given by the Company on any occasion is effective only in that instance and will not be construed as a bar to or waiver of any right on any other occasion.</w:t>
      </w:r>
    </w:p>
    <w:p>
      <w:pPr>
        <w:spacing w:after="0" w:line="153" w:lineRule="exact"/>
        <w:rPr>
          <w:sz w:val="20"/>
          <w:szCs w:val="20"/>
          <w:color w:val="auto"/>
        </w:rPr>
      </w:pPr>
    </w:p>
    <w:p>
      <w:pPr>
        <w:jc w:val="both"/>
        <w:ind w:firstLine="218"/>
        <w:spacing w:after="0" w:line="222" w:lineRule="auto"/>
        <w:rPr>
          <w:sz w:val="20"/>
          <w:szCs w:val="20"/>
          <w:color w:val="auto"/>
        </w:rPr>
      </w:pPr>
      <w:r>
        <w:rPr>
          <w:rFonts w:ascii="Times New Roman" w:cs="Times New Roman" w:eastAsia="Times New Roman" w:hAnsi="Times New Roman"/>
          <w:sz w:val="21"/>
          <w:szCs w:val="21"/>
          <w:color w:val="auto"/>
        </w:rPr>
        <w:t>I acknowledge that the restrictions contained in this Agreement are necessary for the protection of the business and goodwill of the Company and the Company’s legitimate business interests, are reasonable for such purpose, and are reasonable and valid in geographical and temporal scope and in all other respects and not overly broad or unduly burdensome. I agree that any breach of this Agreement by me will cause irreparable damage to the Company and that, in the event of such breach, the prevailing party in any such enforcement action shall be entitled, in addition to monetary damages and any other remedies available to the prevailing party under this Agreement and at law, to equitable relief, including injunctive relief, and to payment of all costs incurred by the prevailing party in enforcing or defending the provisions of this Agreement, including reasonable attorneys’ fees and costs. I agree that should I violate any obligation imposed on me in this Agreement, I shall continue to be bound by the obligation until a period equal to the term of such obligation has expired without violation of such obligation.</w:t>
      </w:r>
    </w:p>
    <w:p>
      <w:pPr>
        <w:spacing w:after="0" w:line="150" w:lineRule="exact"/>
        <w:rPr>
          <w:sz w:val="20"/>
          <w:szCs w:val="20"/>
          <w:color w:val="auto"/>
        </w:rPr>
      </w:pPr>
    </w:p>
    <w:p>
      <w:pPr>
        <w:jc w:val="both"/>
        <w:ind w:firstLine="303"/>
        <w:spacing w:after="0" w:line="225" w:lineRule="auto"/>
        <w:rPr>
          <w:sz w:val="20"/>
          <w:szCs w:val="20"/>
          <w:color w:val="auto"/>
        </w:rPr>
      </w:pPr>
      <w:r>
        <w:rPr>
          <w:rFonts w:ascii="Times New Roman" w:cs="Times New Roman" w:eastAsia="Times New Roman" w:hAnsi="Times New Roman"/>
          <w:sz w:val="22"/>
          <w:szCs w:val="22"/>
          <w:color w:val="auto"/>
        </w:rPr>
        <w:t>This Agreement shall be construed as a sealed instrument and shall in all events and for all purposes be governed by, and construed in accordance with, the laws of the State of Georgia without regard to any choice of law principles that would dictate the application of the laws of another jurisdiction.</w:t>
      </w:r>
    </w:p>
    <w:p>
      <w:pPr>
        <w:spacing w:after="0" w:line="1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I HAVE READ ALL OF THE PROVISIONS OF THIS EMPLOYEE CONFIDENTIALITY, ASSIGNMENT OF INVENTIONS, AND NON-SOLICITATION AGREEMENT AND I UNDERSTAND AND AGREE TO EACH OF SUCH PROVISIONS EFFECTIVE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Timothy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486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Acknowledged and Agreed to by: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Priority Technology Holdings,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6858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-5080</wp:posOffset>
            </wp:positionV>
            <wp:extent cx="6858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-29210</wp:posOffset>
            </wp:positionV>
            <wp:extent cx="6858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Employee Confidentiality, Assignment of Inventions, and Non-Solicitation Agreement</w:t>
      </w:r>
    </w:p>
    <w:p>
      <w:pPr>
        <w:sectPr>
          <w:pgSz w:w="11900" w:h="16838" w:orient="portrait"/>
          <w:cols w:equalWidth="0" w:num="1">
            <w:col w:w="11240"/>
          </w:cols>
          <w:pgMar w:left="320" w:top="100" w:right="339" w:bottom="1440" w:gutter="0" w:footer="0" w:header="0"/>
        </w:sectPr>
      </w:pPr>
    </w:p>
    <w:bookmarkStart w:id="138" w:name="page139"/>
    <w:bookmarkEnd w:id="138"/>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Release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Technology Holdings, Inc.</w:t>
      </w:r>
    </w:p>
    <w:p>
      <w:pPr>
        <w:spacing w:after="0" w:line="204" w:lineRule="auto"/>
        <w:rPr>
          <w:sz w:val="20"/>
          <w:szCs w:val="20"/>
          <w:color w:val="auto"/>
        </w:rPr>
      </w:pPr>
      <w:r>
        <w:rPr>
          <w:rFonts w:ascii="Times New Roman" w:cs="Times New Roman" w:eastAsia="Times New Roman" w:hAnsi="Times New Roman"/>
          <w:sz w:val="22"/>
          <w:szCs w:val="22"/>
          <w:color w:val="auto"/>
        </w:rPr>
        <w:t>Attn: General Counsel</w:t>
      </w:r>
    </w:p>
    <w:p>
      <w:pPr>
        <w:spacing w:after="0" w:line="205"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205" w:lineRule="auto"/>
        <w:rPr>
          <w:sz w:val="20"/>
          <w:szCs w:val="20"/>
          <w:color w:val="auto"/>
        </w:rPr>
      </w:pPr>
      <w:r>
        <w:rPr>
          <w:rFonts w:ascii="Times New Roman" w:cs="Times New Roman" w:eastAsia="Times New Roman" w:hAnsi="Times New Roman"/>
          <w:sz w:val="22"/>
          <w:szCs w:val="22"/>
          <w:color w:val="auto"/>
        </w:rPr>
        <w:t>Alpharetta, GA 30004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(together with its affiliates,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Except as set forth in the Employment Agreement by and between myself (the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and the Company dated as of</w:t>
      </w:r>
    </w:p>
    <w:p>
      <w:pPr>
        <w:spacing w:after="0" w:line="214" w:lineRule="auto"/>
        <w:rPr>
          <w:sz w:val="20"/>
          <w:szCs w:val="20"/>
          <w:color w:val="auto"/>
        </w:rPr>
      </w:pPr>
      <w:r>
        <w:rPr>
          <w:rFonts w:ascii="Times New Roman" w:cs="Times New Roman" w:eastAsia="Times New Roman" w:hAnsi="Times New Roman"/>
          <w:sz w:val="21"/>
          <w:szCs w:val="21"/>
          <w:color w:val="auto"/>
        </w:rPr>
        <w:t>___________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I am entitled to no severance or termination payment or benefits. I acknowledge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the Company has no legal obligation to provide me with the benefits and consideration outlined in the Employment Agreement except as part of this release letter and in consideration for my signing of this release letter. I have been notified of my right to review this release letter with counsel, and I have received, if I so chose, legal advice concerning this release letter.</w:t>
      </w:r>
    </w:p>
    <w:p>
      <w:pPr>
        <w:spacing w:after="0" w:line="17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General Release. </w:t>
      </w:r>
      <w:r>
        <w:rPr>
          <w:rFonts w:ascii="Times New Roman" w:cs="Times New Roman" w:eastAsia="Times New Roman" w:hAnsi="Times New Roman"/>
          <w:sz w:val="21"/>
          <w:szCs w:val="21"/>
          <w:color w:val="auto"/>
        </w:rPr>
        <w:t>Employee acknowledges that the Company has no legal obligation to provide Employee with these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part of the Employment Agreement and in consideration for Employee signing this release letter and the waiver and release of claims contained herein. In return for these benefits, Employee irrevocably and unconditionally releases the Company and all affiliated companies, predecessors and successors of each and each such entity’s officers, directors, employees, agents, attorneys or insurers in their individual and representative capacities (collectively referred to as the “</w:t>
      </w:r>
      <w:r>
        <w:rPr>
          <w:rFonts w:ascii="Times New Roman" w:cs="Times New Roman" w:eastAsia="Times New Roman" w:hAnsi="Times New Roman"/>
          <w:sz w:val="21"/>
          <w:szCs w:val="21"/>
          <w:u w:val="single" w:color="auto"/>
          <w:color w:val="auto"/>
        </w:rPr>
        <w:t>Company Parties</w:t>
      </w:r>
      <w:r>
        <w:rPr>
          <w:rFonts w:ascii="Times New Roman" w:cs="Times New Roman" w:eastAsia="Times New Roman" w:hAnsi="Times New Roman"/>
          <w:sz w:val="21"/>
          <w:szCs w:val="21"/>
          <w:color w:val="auto"/>
        </w:rPr>
        <w:t>”) from any and all claims, causes of action, complaints, damages, liabilities and expenses whatsoever, whether known or unknown, direct or indirect, at law or in equity and whether sounding in contract, tort or other theory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that Employee may have now, have had in the past or have in the future for or by reason of any matter, cause or thing whatsoever that has happened, developed or occurred on or before the date hereof, including without limitation in connection with Employee’s employment or termination of employment with the Company. This release of the Company includes any Claims that Employee might have for re-employment or for additional compensation or benefits (except as specifically stated below), and applies to Claims that Employee might have under federal, state or local law or ordinance dealing with employment, contract, wage and hour, tort, or civil rights matters, including, but not limited to, applicable local and state civil rights matters, including, but not limited to, applicable local and state civil rights laws or wage payment laws, Employee Retirement Income Security Act, Title VII of the Civil Rights Act of 1964, the Civil Rights Acts (42 USC § 1981-1988), the Civil Rights Act of 1991, the Age Discrimination in Employment Act of 1967 (the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Section 806 of the Sarbanes Oxley Act of 2002 and any other Claims alleging retaliation of any nature, the Vietnam Era Veterans Readjustment Assistance Act, the Uniformed Services Employment and Reemployment Rights Act of 1994, the Older Workers Benefit Protection Act, the Equal Pay Act of 1963, the Rehabilitation Act of 1973, the Americans with Disabilities Act of 1990, the Equal Pay Act of 1963, the Fair Labor Standards Act, sections 503 and 504 of the Vocational Rehabilitation Act, the Family and Medical Leave Act, Executive Order 11246, and the Consolidated Omnibus Budget Reconciliation Act of 1985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xml:space="preserve"> ”), all as amended from time to time, together with all laws and regulations promulgated thereunder. Employee represents that there are no claims, complaints or charges pending against the Company in which Employee is a party or complainant, or any unasserted Workers’ Compensation claims.</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Employee further agrees not to institute any Claim to challenge the validity of this release or the circumstances surrounding its execution. This is a general release, including a waiver of Claims for age discrimination under federal and state statutes, such as the ADEA. Employee understands the waiver and release of claims does not affect rights or claims arising under the ADEA or the Older Workers Benefit Protection Act after the date of the execution of this release letter.</w:t>
      </w:r>
    </w:p>
    <w:p>
      <w:pPr>
        <w:spacing w:after="0" w:line="175"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Covenant Not to Sue. </w:t>
      </w:r>
      <w:r>
        <w:rPr>
          <w:rFonts w:ascii="Times New Roman" w:cs="Times New Roman" w:eastAsia="Times New Roman" w:hAnsi="Times New Roman"/>
          <w:sz w:val="22"/>
          <w:szCs w:val="22"/>
          <w:color w:val="auto"/>
        </w:rPr>
        <w:t>Employee represents and warrants that Employee has not filed any Claims against the Company 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Parties with any local, state or federal court or administrative agency. Employee agrees and covenants not to sue or bring any Claims against the Company or any of the Company Parties with respect to any matters arising out of or relating to Employee’s employment with the Company or separation from the Company, or any Claims that as a matter of law cannot be released, such as under workers’ compensation, for unemployment benefits or any Claims related to the Company’s future involvement with, if any, Employee’s 401(k)/retirement plans with the Company. Except as set forth herein, in the event that Employee on Employee’s behalf institutes any such action, that Claim shall be dismissed upon presentation of this release letter, and Employee shall reimburse the Company for all legal fees and expenses incurred in defending such Claim and obtaining its dismissal.</w:t>
      </w:r>
    </w:p>
    <w:p>
      <w:pPr>
        <w:spacing w:after="0" w:line="17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Exclusion. </w:t>
      </w:r>
      <w:r>
        <w:rPr>
          <w:rFonts w:ascii="Times New Roman" w:cs="Times New Roman" w:eastAsia="Times New Roman" w:hAnsi="Times New Roman"/>
          <w:sz w:val="22"/>
          <w:szCs w:val="22"/>
          <w:color w:val="auto"/>
        </w:rPr>
        <w:t>Nothing in this release letter shall preclude Employee from filing a charge or complaint, including a challenge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validity of this release letter, with the Equal Employment Opportunity Commission or any state anti-discrimination agency or from participating or cooperating in any investigation or proceeding conducted by any of such agencies. In the event that a charge or complaint is filed with any administrative agency by Employee or in the event of an authorized investigation, charge or lawsuit filed by any administrative agency, Employee expressly waives and shall not accept any monetary awards or damages, costs or attorneys’ fees of any sort therefrom against the Company or any of the Releasees.</w:t>
      </w:r>
    </w:p>
    <w:p>
      <w:pPr>
        <w:spacing w:after="0" w:line="17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Waiting Period. </w:t>
      </w:r>
      <w:r>
        <w:rPr>
          <w:rFonts w:ascii="Times New Roman" w:cs="Times New Roman" w:eastAsia="Times New Roman" w:hAnsi="Times New Roman"/>
          <w:sz w:val="22"/>
          <w:szCs w:val="22"/>
          <w:color w:val="auto"/>
        </w:rPr>
        <w:t>I understand I have a period of up to 21 days to consider this release letter and that I have been advised to speak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 attorney. I agree this release letter is written in a manner that I understand what I am releasing. I understand that this release must be signed no later than 21 days from the date first set forth above for me to be entitled to the benefits of the Severance Package (as defined in the Employment Agreement). I agree that upon signing this release letter I become bound by its terms unless I revoke the release contained herein. I understand I may revoke the release contained herein within seven days after signing it; and that, unless I so revoke it, the release contained herein will be fully effective seven days after I have signed it. Once this release letter is fully effective, the Severance Package will be forwarded by U.S. mail according to the schedule in the terms of the Employment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truly,</w:t>
      </w: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-29210</wp:posOffset>
            </wp:positionV>
            <wp:extent cx="274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1276985</wp:posOffset>
            </wp:positionH>
            <wp:positionV relativeFrom="paragraph">
              <wp:posOffset>-29210</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22"/>
          <w:szCs w:val="22"/>
          <w:color w:val="auto"/>
        </w:rPr>
        <w:t>Print Name: Timothy O’Leary</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Form of Restricted Stock Unit Award Agreement</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be attached]</w:t>
      </w:r>
    </w:p>
    <w:p>
      <w:pPr>
        <w:sectPr>
          <w:pgSz w:w="11900" w:h="16838" w:orient="portrait"/>
          <w:cols w:equalWidth="0" w:num="1">
            <w:col w:w="9019"/>
          </w:cols>
          <w:pgMar w:left="1440" w:top="1440"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Subsidiaries of Priority Technology Holdings,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Technology Holdings,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Holdings,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Commercial Payments,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Integrated Partner Holdings,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Hospitality Technology,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Payright Health Solutions,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Real Estate Technology,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Payment Systems,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Finance,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Newco,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Tech Ventures,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Ovvi,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Wave,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Build,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Property Rev,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Account Administration Services,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Finxera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Finxera Intermediate,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Finxera,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Finxera India Private Limited (India Plc)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Enhanced Capital RETC Fund XXI, LLC</w:t>
      </w:r>
    </w:p>
    <w:p>
      <w:pPr>
        <w:sectPr>
          <w:pgSz w:w="11900" w:h="16838" w:orient="portrait"/>
          <w:cols w:equalWidth="0" w:num="1">
            <w:col w:w="11240"/>
          </w:cols>
          <w:pgMar w:left="320" w:top="594"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28"/>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308" w:hanging="308"/>
        <w:spacing w:after="0"/>
        <w:tabs>
          <w:tab w:leader="none" w:pos="3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333-226713) of Priority Technology Holdings, Inc.,</w:t>
      </w:r>
    </w:p>
    <w:p>
      <w:pPr>
        <w:spacing w:after="0" w:line="27"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333-230620) of Priority Technology Holdings, Inc.,</w:t>
      </w:r>
    </w:p>
    <w:p>
      <w:pPr>
        <w:spacing w:after="0" w:line="9"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333-264064) of Priority Technology Holdings, Inc.,</w:t>
      </w:r>
    </w:p>
    <w:p>
      <w:pPr>
        <w:spacing w:after="0" w:line="9"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333-268918 of Priority Technology Holdings, Inc., and</w:t>
      </w:r>
    </w:p>
    <w:p>
      <w:pPr>
        <w:spacing w:after="0" w:line="9"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333-268919) of Priority Technology Holdings, Inc.;</w:t>
      </w:r>
    </w:p>
    <w:p>
      <w:pPr>
        <w:spacing w:after="0" w:line="200" w:lineRule="exact"/>
        <w:rPr>
          <w:sz w:val="20"/>
          <w:szCs w:val="20"/>
          <w:color w:val="auto"/>
        </w:rPr>
      </w:pPr>
    </w:p>
    <w:p>
      <w:pPr>
        <w:spacing w:after="0" w:line="250" w:lineRule="exact"/>
        <w:rPr>
          <w:sz w:val="20"/>
          <w:szCs w:val="20"/>
          <w:color w:val="auto"/>
        </w:rPr>
      </w:pPr>
    </w:p>
    <w:p>
      <w:pPr>
        <w:ind w:left="8" w:right="40"/>
        <w:spacing w:after="0" w:line="282" w:lineRule="auto"/>
        <w:rPr>
          <w:sz w:val="20"/>
          <w:szCs w:val="20"/>
          <w:color w:val="auto"/>
        </w:rPr>
      </w:pPr>
      <w:r>
        <w:rPr>
          <w:rFonts w:ascii="Times New Roman" w:cs="Times New Roman" w:eastAsia="Times New Roman" w:hAnsi="Times New Roman"/>
          <w:sz w:val="18"/>
          <w:szCs w:val="18"/>
          <w:color w:val="auto"/>
        </w:rPr>
        <w:t>of our report dated March 23, 2023, with respect to the consolidated financial statements of Priority Technology Holdings, Inc. included in this Annual Report (Form 10-K) of Priority Technology Holdings, Inc.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March 23, 2023</w:t>
      </w:r>
    </w:p>
    <w:p>
      <w:pPr>
        <w:sectPr>
          <w:pgSz w:w="11900" w:h="16838" w:orient="portrait"/>
          <w:cols w:equalWidth="0" w:num="1">
            <w:col w:w="10908"/>
          </w:cols>
          <w:pgMar w:left="652" w:top="850"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 AS ADOPTED PURSUANT TO SECTION 303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60"/>
        <w:spacing w:after="0"/>
        <w:tabs>
          <w:tab w:leader="none" w:pos="8560" w:val="left"/>
        </w:tabs>
        <w:rPr>
          <w:sz w:val="20"/>
          <w:szCs w:val="20"/>
          <w:color w:val="auto"/>
        </w:rPr>
      </w:pPr>
      <w:r>
        <w:rPr>
          <w:rFonts w:ascii="Times New Roman" w:cs="Times New Roman" w:eastAsia="Times New Roman" w:hAnsi="Times New Roman"/>
          <w:sz w:val="18"/>
          <w:szCs w:val="18"/>
          <w:color w:val="auto"/>
        </w:rPr>
        <w:t>March 23, 2023</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17145</wp:posOffset>
            </wp:positionV>
            <wp:extent cx="24345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2434590" cy="17145"/>
                    </a:xfrm>
                    <a:prstGeom prst="rect">
                      <a:avLst/>
                    </a:prstGeom>
                    <a:noFill/>
                  </pic:spPr>
                </pic:pic>
              </a:graphicData>
            </a:graphic>
          </wp:anchor>
        </w:drawing>
      </w:r>
    </w:p>
    <w:p>
      <w:pPr>
        <w:spacing w:after="0" w:line="30"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23"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60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399" w:lineRule="exact"/>
        <w:rPr>
          <w:sz w:val="20"/>
          <w:szCs w:val="20"/>
          <w:color w:val="auto"/>
        </w:rPr>
      </w:pPr>
    </w:p>
    <w:p>
      <w:pPr>
        <w:jc w:val="center"/>
        <w:ind w:left="340" w:right="26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O'Leary, certify that:</w:t>
      </w:r>
    </w:p>
    <w:p>
      <w:pPr>
        <w:spacing w:after="0" w:line="252"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2" w:lineRule="exact"/>
        <w:rPr>
          <w:sz w:val="20"/>
          <w:szCs w:val="20"/>
          <w:color w:val="auto"/>
        </w:rPr>
      </w:pPr>
    </w:p>
    <w:p>
      <w:pPr>
        <w:ind w:left="160"/>
        <w:spacing w:after="0"/>
        <w:tabs>
          <w:tab w:leader="none" w:pos="8000" w:val="left"/>
        </w:tabs>
        <w:rPr>
          <w:sz w:val="20"/>
          <w:szCs w:val="20"/>
          <w:color w:val="auto"/>
        </w:rPr>
      </w:pPr>
      <w:r>
        <w:rPr>
          <w:rFonts w:ascii="Times New Roman" w:cs="Times New Roman" w:eastAsia="Times New Roman" w:hAnsi="Times New Roman"/>
          <w:sz w:val="18"/>
          <w:szCs w:val="18"/>
          <w:color w:val="auto"/>
        </w:rPr>
        <w:t>March 23, 2023</w:t>
      </w:r>
      <w:r>
        <w:rPr>
          <w:sz w:val="20"/>
          <w:szCs w:val="20"/>
          <w:color w:val="auto"/>
        </w:rPr>
        <w:tab/>
      </w:r>
      <w:r>
        <w:rPr>
          <w:rFonts w:ascii="Times New Roman" w:cs="Times New Roman" w:eastAsia="Times New Roman" w:hAnsi="Times New Roman"/>
          <w:sz w:val="17"/>
          <w:szCs w:val="17"/>
          <w:color w:val="auto"/>
        </w:rPr>
        <w:t>/s/ Timothy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0600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Timothy O'Leary</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50"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Priority Technology Holdings, Inc. (the "Company") for the year ended 12/31/2022 as filed with the Securities and Exchange Commission (the "Report"), each of the undersigned, on the dates indicated below, hereby certifies pursuant to 18 U.S.C. Section 1350, as adopted pursuant to Section 906 of the Sarbanes-Oxley Act of 2002, that:</w:t>
      </w:r>
    </w:p>
    <w:p>
      <w:pPr>
        <w:spacing w:after="0" w:line="203"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March 23, 2023</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March 23, 2023</w:t>
      </w:r>
      <w:r>
        <w:rPr>
          <w:sz w:val="20"/>
          <w:szCs w:val="20"/>
          <w:color w:val="auto"/>
        </w:rPr>
        <w:tab/>
      </w:r>
      <w:r>
        <w:rPr>
          <w:rFonts w:ascii="Times New Roman" w:cs="Times New Roman" w:eastAsia="Times New Roman" w:hAnsi="Times New Roman"/>
          <w:sz w:val="17"/>
          <w:szCs w:val="17"/>
          <w:color w:val="auto"/>
        </w:rPr>
        <w:t>/s/ Timothy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Timothy O'Leary</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10-K or as a separate disclosure document.</w:t>
      </w:r>
    </w:p>
    <w:sectPr>
      <w:pgSz w:w="11900" w:h="16838" w:orient="portrait"/>
      <w:cols w:equalWidth="0" w:num="1">
        <w:col w:w="11240"/>
      </w:cols>
      <w:pgMar w:left="32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lvl w:ilvl="1">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2"/>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decimal"/>
      <w:start w:val="2"/>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3"/>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1"/>
    </w:lvl>
    <w:lvl w:ilvl="1">
      <w:lvlJc w:val="left"/>
      <w:lvlText w:val="(%2)"/>
      <w:numFmt w:val="decimal"/>
      <w:start w:val="1"/>
    </w:lvl>
  </w:abstractNum>
  <w:abstractNum w:abstractNumId="22">
    <w:nsid w:val="7644A45C"/>
    <w:multiLevelType w:val="hybridMultilevel"/>
    <w:lvl w:ilvl="0">
      <w:lvlJc w:val="left"/>
      <w:lvlText w:val="%1."/>
      <w:numFmt w:val="decimal"/>
      <w:start w:val="6"/>
    </w:lvl>
    <w:lvl w:ilvl="1">
      <w:lvlJc w:val="left"/>
      <w:lvlText w:val="%2"/>
      <w:numFmt w:val="decimal"/>
      <w:start w:val="1"/>
    </w:lvl>
  </w:abstractNum>
  <w:abstractNum w:abstractNumId="23">
    <w:nsid w:val="32FFF902"/>
    <w:multiLevelType w:val="hybridMultilevel"/>
    <w:lvl w:ilvl="0">
      <w:lvlJc w:val="left"/>
      <w:lvlText w:val="%1."/>
      <w:numFmt w:val="decimal"/>
      <w:start w:val="8"/>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1."/>
      <w:numFmt w:val="decimal"/>
      <w:start w:val="15"/>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decimal"/>
      <w:start w:val="2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lowerLetter"/>
      <w:start w:val="1"/>
    </w:lvl>
  </w:abstractNum>
  <w:abstractNum w:abstractNumId="40">
    <w:nsid w:val="1CF10FD8"/>
    <w:multiLevelType w:val="hybridMultilevel"/>
    <w:lvl w:ilvl="0">
      <w:lvlJc w:val="left"/>
      <w:lvlText w:val="(%1)"/>
      <w:numFmt w:val="lowerLetter"/>
      <w:start w:val="2"/>
    </w:lvl>
  </w:abstractNum>
  <w:abstractNum w:abstractNumId="41">
    <w:nsid w:val="180115BE"/>
    <w:multiLevelType w:val="hybridMultilevel"/>
    <w:lvl w:ilvl="0">
      <w:lvlJc w:val="left"/>
      <w:lvlText w:val="(%1)"/>
      <w:numFmt w:val="lowerRoman"/>
      <w:start w:val="1"/>
    </w:lvl>
  </w:abstractNum>
  <w:abstractNum w:abstractNumId="42">
    <w:nsid w:val="235BA861"/>
    <w:multiLevelType w:val="hybridMultilevel"/>
    <w:lvl w:ilvl="0">
      <w:lvlJc w:val="left"/>
      <w:lvlText w:val="(%1)"/>
      <w:numFmt w:val="lowerLetter"/>
      <w:start w:val="3"/>
    </w:lvl>
  </w:abstractNum>
  <w:abstractNum w:abstractNumId="43">
    <w:nsid w:val="47398C89"/>
    <w:multiLevelType w:val="hybridMultilevel"/>
    <w:lvl w:ilvl="0">
      <w:lvlJc w:val="left"/>
      <w:lvlText w:val="(%1)"/>
      <w:numFmt w:val="lowerLetter"/>
      <w:start w:val="4"/>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1."/>
      <w:numFmt w:val="decimal"/>
      <w:start w:val="1"/>
    </w:lvl>
    <w:lvl w:ilvl="1">
      <w:lvlJc w:val="left"/>
      <w:lvlText w:val="-"/>
      <w:numFmt w:val="bullet"/>
      <w:start w:val="1"/>
    </w:lvl>
  </w:abstractNum>
  <w:abstractNum w:abstractNumId="49">
    <w:nsid w:val="3F6AB60F"/>
    <w:multiLevelType w:val="hybridMultilevel"/>
    <w:lvl w:ilvl="0">
      <w:lvlJc w:val="left"/>
      <w:lvlText w:val="%1."/>
      <w:numFmt w:val="decimal"/>
      <w:start w:val="4"/>
    </w:lvl>
    <w:lvl w:ilvl="1">
      <w:lvlJc w:val="left"/>
      <w:lvlText w:val="(%2)"/>
      <w:numFmt w:val="lowerLetter"/>
      <w:start w:val="1"/>
    </w:lvl>
  </w:abstractNum>
  <w:abstractNum w:abstractNumId="50">
    <w:nsid w:val="61574095"/>
    <w:multiLevelType w:val="hybridMultilevel"/>
    <w:lvl w:ilvl="0">
      <w:lvlJc w:val="left"/>
      <w:lvlText w:val="%1."/>
      <w:numFmt w:val="decimal"/>
      <w:start w:val="5"/>
    </w:lvl>
  </w:abstractNum>
  <w:abstractNum w:abstractNumId="51">
    <w:nsid w:val="7E0C57B1"/>
    <w:multiLevelType w:val="hybridMultilevel"/>
    <w:lvl w:ilvl="0">
      <w:lvlJc w:val="left"/>
      <w:lvlText w:val="(%1)"/>
      <w:numFmt w:val="lowerLetter"/>
      <w:start w:val="1"/>
    </w:lvl>
    <w:lvl w:ilvl="1">
      <w:lvlJc w:val="left"/>
      <w:lvlText w:val="-"/>
      <w:numFmt w:val="bullet"/>
      <w:start w:val="1"/>
    </w:lvl>
  </w:abstractNum>
  <w:abstractNum w:abstractNumId="52">
    <w:nsid w:val="77AE35EB"/>
    <w:multiLevelType w:val="hybridMultilevel"/>
    <w:lvl w:ilvl="0">
      <w:lvlJc w:val="left"/>
      <w:lvlText w:val="(%1)"/>
      <w:numFmt w:val="lowerLetter"/>
      <w:start w:val="1"/>
    </w:lvl>
    <w:lvl w:ilvl="1">
      <w:lvlJc w:val="left"/>
      <w:lvlText w:val="-"/>
      <w:numFmt w:val="bullet"/>
      <w:start w:val="1"/>
    </w:lvl>
  </w:abstractNum>
  <w:abstractNum w:abstractNumId="53">
    <w:nsid w:val="579BE4F1"/>
    <w:multiLevelType w:val="hybridMultilevel"/>
    <w:lvl w:ilvl="0">
      <w:lvlJc w:val="left"/>
      <w:lvlText w:val="%1."/>
      <w:numFmt w:val="decimal"/>
      <w:start w:val="6"/>
    </w:lvl>
    <w:lvl w:ilvl="1">
      <w:lvlJc w:val="left"/>
      <w:lvlText w:val="-"/>
      <w:numFmt w:val="bullet"/>
      <w:start w:val="1"/>
    </w:lvl>
  </w:abstractNum>
  <w:abstractNum w:abstractNumId="54">
    <w:nsid w:val="310C50B3"/>
    <w:multiLevelType w:val="hybridMultilevel"/>
    <w:lvl w:ilvl="0">
      <w:lvlJc w:val="left"/>
      <w:lvlText w:val="%1"/>
      <w:numFmt w:val="upperLetter"/>
      <w:start w:val="1"/>
    </w:lvl>
    <w:lvl w:ilvl="1">
      <w:lvlJc w:val="left"/>
      <w:lvlText w:val="%2."/>
      <w:numFmt w:val="decimal"/>
      <w:start w:val="10"/>
    </w:lvl>
    <w:lvl w:ilvl="2">
      <w:lvlJc w:val="left"/>
      <w:lvlText w:val="-"/>
      <w:numFmt w:val="bullet"/>
      <w:start w:val="1"/>
    </w:lvl>
  </w:abstractNum>
  <w:abstractNum w:abstractNumId="55">
    <w:nsid w:val="5FF87E05"/>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56">
    <w:nsid w:val="2F305DEF"/>
    <w:multiLevelType w:val="hybridMultilevel"/>
    <w:lvl w:ilvl="0">
      <w:lvlJc w:val="left"/>
      <w:lvlText w:val="%1."/>
      <w:numFmt w:val="decimal"/>
      <w:start w:val="15"/>
    </w:lvl>
  </w:abstractNum>
  <w:abstractNum w:abstractNumId="57">
    <w:nsid w:val="25A70BF7"/>
    <w:multiLevelType w:val="hybridMultilevel"/>
    <w:lvl w:ilvl="0">
      <w:lvlJc w:val="left"/>
      <w:lvlText w:val="%1."/>
      <w:numFmt w:val="decimal"/>
      <w:start w:val="1"/>
    </w:lvl>
    <w:lvl w:ilvl="1">
      <w:lvlJc w:val="left"/>
      <w:lvlText w:val="-"/>
      <w:numFmt w:val="bullet"/>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decimal"/>
      <w:start w:val="5"/>
    </w:lvl>
  </w:abstractNum>
  <w:abstractNum w:abstractNumId="60">
    <w:nsid w:val="1F48EAA1"/>
    <w:multiLevelType w:val="hybridMultilevel"/>
    <w:lvl w:ilvl="0">
      <w:lvlJc w:val="left"/>
      <w:lvlText w:val="(%1)"/>
      <w:numFmt w:val="lowerLetter"/>
      <w:start w:val="1"/>
    </w:lvl>
    <w:lvl w:ilvl="1">
      <w:lvlJc w:val="left"/>
      <w:lvlText w:val="-"/>
      <w:numFmt w:val="bullet"/>
      <w:start w:val="1"/>
    </w:lvl>
  </w:abstractNum>
  <w:abstractNum w:abstractNumId="61">
    <w:nsid w:val="1381823A"/>
    <w:multiLevelType w:val="hybridMultilevel"/>
    <w:lvl w:ilvl="0">
      <w:lvlJc w:val="left"/>
      <w:lvlText w:val="%1"/>
      <w:numFmt w:val="lowerRoman"/>
      <w:start w:val="1"/>
    </w:lvl>
    <w:lvl w:ilvl="1">
      <w:lvlJc w:val="left"/>
      <w:lvlText w:val="(%2)"/>
      <w:numFmt w:val="lowerLetter"/>
      <w:start w:val="2"/>
    </w:lvl>
  </w:abstractNum>
  <w:abstractNum w:abstractNumId="62">
    <w:nsid w:val="5DB70AE5"/>
    <w:multiLevelType w:val="hybridMultilevel"/>
    <w:lvl w:ilvl="0">
      <w:lvlJc w:val="left"/>
      <w:lvlText w:val="(%1)"/>
      <w:numFmt w:val="lowerRoman"/>
      <w:start w:val="4"/>
    </w:lvl>
    <w:lvl w:ilvl="1">
      <w:lvlJc w:val="left"/>
      <w:lvlText w:val="%2"/>
      <w:numFmt w:val="lowerLetter"/>
      <w:start w:val="1"/>
    </w:lvl>
  </w:abstractNum>
  <w:abstractNum w:abstractNumId="63">
    <w:nsid w:val="100F8FCA"/>
    <w:multiLevelType w:val="hybridMultilevel"/>
    <w:lvl w:ilvl="0">
      <w:lvlJc w:val="left"/>
      <w:lvlText w:val="(%1)"/>
      <w:numFmt w:val="lowerLetter"/>
      <w:start w:val="1"/>
    </w:lvl>
    <w:lvl w:ilvl="1">
      <w:lvlJc w:val="left"/>
      <w:lvlText w:val="-"/>
      <w:numFmt w:val="bullet"/>
      <w:start w:val="1"/>
    </w:lvl>
  </w:abstractNum>
  <w:abstractNum w:abstractNumId="64">
    <w:nsid w:val="6590700B"/>
    <w:multiLevelType w:val="hybridMultilevel"/>
    <w:lvl w:ilvl="0">
      <w:lvlJc w:val="left"/>
      <w:lvlText w:val="(%1)"/>
      <w:numFmt w:val="lowerLetter"/>
      <w:start w:val="2"/>
    </w:lvl>
  </w:abstractNum>
  <w:abstractNum w:abstractNumId="65">
    <w:nsid w:val="15014ACB"/>
    <w:multiLevelType w:val="hybridMultilevel"/>
    <w:lvl w:ilvl="0">
      <w:lvlJc w:val="left"/>
      <w:lvlText w:val="%1."/>
      <w:numFmt w:val="decimal"/>
      <w:start w:val="6"/>
    </w:lvl>
    <w:lvl w:ilvl="1">
      <w:lvlJc w:val="left"/>
      <w:lvlText w:val="-"/>
      <w:numFmt w:val="bullet"/>
      <w:start w:val="1"/>
    </w:lvl>
  </w:abstractNum>
  <w:abstractNum w:abstractNumId="66">
    <w:nsid w:val="5F5E7FD0"/>
    <w:multiLevelType w:val="hybridMultilevel"/>
    <w:lvl w:ilvl="0">
      <w:lvlJc w:val="left"/>
      <w:lvlText w:val="%1."/>
      <w:numFmt w:val="decimal"/>
      <w:start w:val="9"/>
    </w:lvl>
    <w:lvl w:ilvl="1">
      <w:lvlJc w:val="left"/>
      <w:lvlText w:val="-"/>
      <w:numFmt w:val="bullet"/>
      <w:start w:val="1"/>
    </w:lvl>
  </w:abstractNum>
  <w:abstractNum w:abstractNumId="67">
    <w:nsid w:val="98A3148"/>
    <w:multiLevelType w:val="hybridMultilevel"/>
    <w:lvl w:ilvl="0">
      <w:lvlJc w:val="left"/>
      <w:lvlText w:val="%1"/>
      <w:numFmt w:val="upperLetter"/>
      <w:start w:val="1"/>
    </w:lvl>
    <w:lvl w:ilvl="1">
      <w:lvlJc w:val="left"/>
      <w:lvlText w:val="%2."/>
      <w:numFmt w:val="decimal"/>
      <w:start w:val="14"/>
    </w:lvl>
    <w:lvl w:ilvl="2">
      <w:lvlJc w:val="left"/>
      <w:lvlText w:val="-"/>
      <w:numFmt w:val="bullet"/>
      <w:start w:val="1"/>
    </w:lvl>
  </w:abstractNum>
  <w:abstractNum w:abstractNumId="68">
    <w:nsid w:val="799D0247"/>
    <w:multiLevelType w:val="hybridMultilevel"/>
    <w:lvl w:ilvl="0">
      <w:lvlJc w:val="left"/>
      <w:lvlText w:val="(%1)"/>
      <w:numFmt w:val="upperLetter"/>
      <w:start w:val="1"/>
    </w:lvl>
    <w:lvl w:ilvl="1">
      <w:lvlJc w:val="left"/>
      <w:lvlText w:val="%2."/>
      <w:numFmt w:val="decimal"/>
      <w:start w:val="15"/>
    </w:lvl>
    <w:lvl w:ilvl="2">
      <w:lvlJc w:val="left"/>
      <w:lvlText w:val="-"/>
      <w:numFmt w:val="bullet"/>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54"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43" Type="http://schemas.openxmlformats.org/officeDocument/2006/relationships/hyperlink" Target="https://www.sec.gov/ix?doc=/Archives/edgar/data/1653558/000165355822000028/prth-20211231.htm" TargetMode="External"/><Relationship Id="rId142" Type="http://schemas.openxmlformats.org/officeDocument/2006/relationships/hyperlink" Target="https://www.sec.gov/Archives/edgar/data/1653558/000161577418006226/s111183_defm14a.htm" TargetMode="External"/><Relationship Id="rId143" Type="http://schemas.openxmlformats.org/officeDocument/2006/relationships/hyperlink" Target="https://www.sec.gov/Archives/edgar/data/1653558/000165355821000031/projectwarriorfinxera-merg.htm" TargetMode="External"/><Relationship Id="rId144" Type="http://schemas.openxmlformats.org/officeDocument/2006/relationships/hyperlink" Target="https://www.sec.gov/Archives/edgar/data/1653558/000165355821000060/annex1certificateofamendme.htm" TargetMode="External"/><Relationship Id="rId145" Type="http://schemas.openxmlformats.org/officeDocument/2006/relationships/hyperlink" Target="https://www.sec.gov/Archives/edgar/data/0001653558/000165355821000031/projectwarriorfinxera-merg.htm" TargetMode="External"/><Relationship Id="rId146" Type="http://schemas.openxmlformats.org/officeDocument/2006/relationships/hyperlink" Target="http://www.sec.gov/Archives/edgar/data/1653558/000161577418007231/s111606_ex3-1.htm" TargetMode="External"/><Relationship Id="rId147" Type="http://schemas.openxmlformats.org/officeDocument/2006/relationships/hyperlink" Target="http://www.sec.gov/Archives/edgar/data/1653558/000161577418007231/s111606_ex3-2.htm" TargetMode="External"/><Relationship Id="rId148" Type="http://schemas.openxmlformats.org/officeDocument/2006/relationships/hyperlink" Target="https://www.sec.gov/Archives/edgar/data/0001653558/000165355821000065/exhibit31-priorityxcertifi.htm" TargetMode="External"/><Relationship Id="rId149" Type="http://schemas.openxmlformats.org/officeDocument/2006/relationships/hyperlink" Target="http://www.sec.gov/Archives/edgar/data/1653558/000161577416006436/s103712_ex4-1.htm" TargetMode="External"/><Relationship Id="rId150" Type="http://schemas.openxmlformats.org/officeDocument/2006/relationships/hyperlink" Target="http://www.sec.gov/Archives/edgar/data/1653558/000161577416006436/s103712_ex4-2.htm" TargetMode="External"/><Relationship Id="rId151" Type="http://schemas.openxmlformats.org/officeDocument/2006/relationships/hyperlink" Target="http://www.sec.gov/Archives/edgar/data/1653558/000161577416006436/s103712_ex4-3.htm" TargetMode="External"/><Relationship Id="rId152" Type="http://schemas.openxmlformats.org/officeDocument/2006/relationships/hyperlink" Target="http://www.sec.gov/Archives/edgar/data/1653558/000161577416007233/s104127_ex4-1.htm" TargetMode="External"/><Relationship Id="rId153" Type="http://schemas.openxmlformats.org/officeDocument/2006/relationships/hyperlink" Target="https://www.sec.gov/Archives/edgar/data/0001653558/000165355821000065/exhibit41-priorityxwarrant.htm" TargetMode="External"/><Relationship Id="rId155" Type="http://schemas.openxmlformats.org/officeDocument/2006/relationships/hyperlink" Target="http://www.sec.gov/Archives/edgar/data/1653558/000161577418007231/s111606_ex10-1.htm" TargetMode="External"/><Relationship Id="rId156" Type="http://schemas.openxmlformats.org/officeDocument/2006/relationships/hyperlink" Target="http://www.sec.gov/Archives/edgar/data/1653558/000161577418007231/s111606_ex10-2.htm" TargetMode="External"/><Relationship Id="rId157" Type="http://schemas.openxmlformats.org/officeDocument/2006/relationships/hyperlink" Target="https://www.sec.gov/Archives/edgar/data/0001653558/000165355821000101/ex1021prioritytechnologyq2.htm" TargetMode="External"/><Relationship Id="rId158" Type="http://schemas.openxmlformats.org/officeDocument/2006/relationships/hyperlink" Target="https://www.sec.gov/Archives/edgar/data/1653558/000165355822000028/prioritytechnology-ex1031x.htm" TargetMode="External"/><Relationship Id="rId159" Type="http://schemas.openxmlformats.org/officeDocument/2006/relationships/hyperlink" Target="https://www.sec.gov/Archives/edgar/data/0001653558/000165355821000065/exhibit103-prioritypayment.htm" TargetMode="External"/><Relationship Id="rId160" Type="http://schemas.openxmlformats.org/officeDocument/2006/relationships/hyperlink" Target="http://www.sec.gov/Archives/edgar/data/1653558/000161577418014981/s114881_ex10-6.htm" TargetMode="External"/><Relationship Id="rId161" Type="http://schemas.openxmlformats.org/officeDocument/2006/relationships/hyperlink" Target="http://www.sec.gov/Archives/edgar/data/1653558/000161577418014981/s114881_ex10-7.htm" TargetMode="External"/><Relationship Id="rId162" Type="http://schemas.openxmlformats.org/officeDocument/2006/relationships/hyperlink" Target="https://www.sec.gov/Archives/edgar/data/1653558/000165355822000064/ex1023formrestrictedstocku.htm" TargetMode="External"/><Relationship Id="rId163" Type="http://schemas.openxmlformats.org/officeDocument/2006/relationships/hyperlink" Target="http://www.sec.gov/Archives/edgar/data/1653558/000161577418014966/s114910_ex10-1.htm" TargetMode="External"/><Relationship Id="rId164" Type="http://schemas.openxmlformats.org/officeDocument/2006/relationships/hyperlink" Target="http://www.sec.gov/Archives/edgar/data/1653558/000162828019003666/prioritytechnology-ex1013.htm" TargetMode="External"/><Relationship Id="rId165" Type="http://schemas.openxmlformats.org/officeDocument/2006/relationships/hyperlink" Target="http://www.sec.gov/Archives/edgar/data/1653558/000162828019003666/prioritytechnology-ex1019.htm" TargetMode="External"/><Relationship Id="rId166" Type="http://schemas.openxmlformats.org/officeDocument/2006/relationships/hyperlink" Target="https://www.sec.gov/Archives/edgar/data/1653558/000165355820000148/assetpurchaseagreement.htm" TargetMode="External"/><Relationship Id="rId167" Type="http://schemas.openxmlformats.org/officeDocument/2006/relationships/hyperlink" Target="https://www.sec.gov/Archives/edgar/data/0001653558/000165355821000031/exhibith-supportagreemente.htm" TargetMode="External"/><Relationship Id="rId168" Type="http://schemas.openxmlformats.org/officeDocument/2006/relationships/hyperlink" Target="https://www.sec.gov/Archives/edgar/data/0001653558/000165355821000031/priorityprojectwarrior-tru.htm" TargetMode="External"/><Relationship Id="rId169" Type="http://schemas.openxmlformats.org/officeDocument/2006/relationships/hyperlink" Target="https://www.sec.gov/Archives/edgar/data/0001653558/000165355821000031/priority-arespreferredcomm.htm" TargetMode="External"/><Relationship Id="rId170" Type="http://schemas.openxmlformats.org/officeDocument/2006/relationships/hyperlink" Target="https://www.sec.gov/Archives/edgar/data/0001653558/000165355821000065/exhibit101-priorityxpurcha.htm" TargetMode="External"/><Relationship Id="rId171" Type="http://schemas.openxmlformats.org/officeDocument/2006/relationships/hyperlink" Target="https://www.sec.gov/Archives/edgar/data/0001653558/000165355821000065/exhibit102-priorityxregist.htm" TargetMode="External"/><Relationship Id="rId172" Type="http://schemas.openxmlformats.org/officeDocument/2006/relationships/hyperlink" Target="https://www.sec.gov/Archives/edgar/data/0001653558/000165355821000114/prioritypayments-seconda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2023-03-23T08:37:59Z</dcterms:created>
  <dcterms:modified xsi:type="dcterms:W3CDTF">2023-03-23T08:37:59Z</dcterms:modified>
</cp:coreProperties>
</file>