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520065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85" w:lineRule="exact"/>
        <w:rPr>
          <w:sz w:val="24"/>
          <w:szCs w:val="24"/>
          <w:color w:val="auto"/>
        </w:rPr>
      </w:pPr>
    </w:p>
    <w:p>
      <w:pPr>
        <w:jc w:val="center"/>
        <w:ind w:left="4260" w:right="2340" w:hanging="1933"/>
        <w:spacing w:after="0" w:line="284" w:lineRule="auto"/>
        <w:tabs>
          <w:tab w:leader="none" w:pos="2482"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 For the quarterly period ended September 30, 2022</w:t>
      </w:r>
    </w:p>
    <w:p>
      <w:pPr>
        <w:spacing w:after="0" w:line="1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4" w:lineRule="exact"/>
        <w:rPr>
          <w:sz w:val="24"/>
          <w:szCs w:val="24"/>
          <w:color w:val="auto"/>
        </w:rPr>
      </w:pPr>
    </w:p>
    <w:p>
      <w:pPr>
        <w:ind w:left="2480" w:hanging="150"/>
        <w:spacing w:after="0"/>
        <w:tabs>
          <w:tab w:leader="none" w:pos="24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4" w:lineRule="exact"/>
        <w:rPr>
          <w:sz w:val="24"/>
          <w:szCs w:val="24"/>
          <w:color w:val="auto"/>
        </w:rPr>
      </w:pPr>
    </w:p>
    <w:p>
      <w:pPr>
        <w:ind w:left="4440"/>
        <w:spacing w:after="0"/>
        <w:tabs>
          <w:tab w:leader="none" w:pos="67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FFFFFF"/>
        </w:rPr>
        <w:t>Priority Technology Holdings, Inc.</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001-37872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2590165</wp:posOffset>
            </wp:positionH>
            <wp:positionV relativeFrom="paragraph">
              <wp:posOffset>43180</wp:posOffset>
            </wp:positionV>
            <wp:extent cx="1994535" cy="923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94535" cy="923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33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p>
        </w:tc>
        <w:tc>
          <w:tcPr>
            <w:tcW w:w="3820" w:type="dxa"/>
            <w:vAlign w:val="bottom"/>
          </w:tcPr>
          <w:p>
            <w:pPr>
              <w:spacing w:after="0"/>
              <w:rPr>
                <w:sz w:val="16"/>
                <w:szCs w:val="16"/>
                <w:color w:val="auto"/>
              </w:rPr>
            </w:pPr>
          </w:p>
        </w:tc>
      </w:tr>
      <w:tr>
        <w:trPr>
          <w:trHeight w:val="340"/>
        </w:trPr>
        <w:tc>
          <w:tcPr>
            <w:tcW w:w="4120" w:type="dxa"/>
            <w:vAlign w:val="bottom"/>
          </w:tcPr>
          <w:p>
            <w:pPr>
              <w:spacing w:after="0"/>
              <w:rPr>
                <w:sz w:val="24"/>
                <w:szCs w:val="24"/>
                <w:color w:val="auto"/>
              </w:rPr>
            </w:pPr>
          </w:p>
        </w:tc>
        <w:tc>
          <w:tcPr>
            <w:tcW w:w="33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820" w:type="dxa"/>
            <w:vAlign w:val="bottom"/>
          </w:tcPr>
          <w:p>
            <w:pPr>
              <w:spacing w:after="0"/>
              <w:rPr>
                <w:sz w:val="24"/>
                <w:szCs w:val="24"/>
                <w:color w:val="auto"/>
              </w:rPr>
            </w:pPr>
          </w:p>
        </w:tc>
      </w:tr>
      <w:tr>
        <w:trPr>
          <w:trHeight w:val="393"/>
        </w:trPr>
        <w:tc>
          <w:tcPr>
            <w:tcW w:w="4120" w:type="dxa"/>
            <w:vAlign w:val="bottom"/>
            <w:tcBorders>
              <w:bottom w:val="single" w:sz="8" w:color="auto"/>
            </w:tcBorders>
          </w:tcPr>
          <w:p>
            <w:pPr>
              <w:jc w:val="center"/>
              <w:ind w:left="243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jc w:val="right"/>
              <w:ind w:right="1932"/>
              <w:spacing w:after="0"/>
              <w:rPr>
                <w:sz w:val="20"/>
                <w:szCs w:val="20"/>
                <w:color w:val="auto"/>
              </w:rPr>
            </w:pPr>
            <w:r>
              <w:rPr>
                <w:rFonts w:ascii="Times New Roman" w:cs="Times New Roman" w:eastAsia="Times New Roman" w:hAnsi="Times New Roman"/>
                <w:sz w:val="14"/>
                <w:szCs w:val="14"/>
                <w:b w:val="1"/>
                <w:bCs w:val="1"/>
                <w:color w:val="auto"/>
              </w:rPr>
              <w:t>47-4257046</w:t>
            </w:r>
          </w:p>
        </w:tc>
      </w:tr>
      <w:tr>
        <w:trPr>
          <w:trHeight w:val="118"/>
        </w:trPr>
        <w:tc>
          <w:tcPr>
            <w:tcW w:w="4120" w:type="dxa"/>
            <w:vAlign w:val="bottom"/>
          </w:tcPr>
          <w:p>
            <w:pPr>
              <w:jc w:val="center"/>
              <w:ind w:left="2432"/>
              <w:spacing w:after="0" w:line="118"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7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20" w:type="dxa"/>
            <w:vAlign w:val="bottom"/>
          </w:tcPr>
          <w:p>
            <w:pPr>
              <w:jc w:val="center"/>
              <w:ind w:right="812"/>
              <w:spacing w:after="0" w:line="118"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5"/>
        </w:trPr>
        <w:tc>
          <w:tcPr>
            <w:tcW w:w="4120" w:type="dxa"/>
            <w:vAlign w:val="bottom"/>
          </w:tcPr>
          <w:p>
            <w:pPr>
              <w:jc w:val="center"/>
              <w:ind w:left="2432"/>
              <w:spacing w:after="0"/>
              <w:rPr>
                <w:sz w:val="20"/>
                <w:szCs w:val="20"/>
                <w:color w:val="auto"/>
              </w:rPr>
            </w:pPr>
            <w:r>
              <w:rPr>
                <w:rFonts w:ascii="Times New Roman" w:cs="Times New Roman" w:eastAsia="Times New Roman" w:hAnsi="Times New Roman"/>
                <w:sz w:val="13"/>
                <w:szCs w:val="13"/>
                <w:color w:val="auto"/>
                <w:w w:val="98"/>
              </w:rPr>
              <w:t>incorporation or organization)</w:t>
            </w:r>
          </w:p>
        </w:tc>
        <w:tc>
          <w:tcPr>
            <w:tcW w:w="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20" w:type="dxa"/>
            <w:vAlign w:val="bottom"/>
          </w:tcPr>
          <w:p>
            <w:pPr>
              <w:jc w:val="center"/>
              <w:ind w:right="812"/>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338"/>
        </w:trPr>
        <w:tc>
          <w:tcPr>
            <w:tcW w:w="4120" w:type="dxa"/>
            <w:vAlign w:val="bottom"/>
          </w:tcPr>
          <w:p>
            <w:pPr>
              <w:jc w:val="center"/>
              <w:ind w:left="2432"/>
              <w:spacing w:after="0"/>
              <w:rPr>
                <w:sz w:val="20"/>
                <w:szCs w:val="20"/>
                <w:color w:val="auto"/>
              </w:rPr>
            </w:pPr>
            <w:r>
              <w:rPr>
                <w:rFonts w:ascii="Times New Roman" w:cs="Times New Roman" w:eastAsia="Times New Roman" w:hAnsi="Times New Roman"/>
                <w:sz w:val="14"/>
                <w:szCs w:val="14"/>
                <w:b w:val="1"/>
                <w:bCs w:val="1"/>
                <w:color w:val="auto"/>
                <w:w w:val="99"/>
              </w:rPr>
              <w:t>2001 Westside Parkway</w:t>
            </w: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180"/>
        </w:trPr>
        <w:tc>
          <w:tcPr>
            <w:tcW w:w="4120" w:type="dxa"/>
            <w:vAlign w:val="bottom"/>
          </w:tcPr>
          <w:p>
            <w:pPr>
              <w:jc w:val="center"/>
              <w:ind w:left="2432"/>
              <w:spacing w:after="0"/>
              <w:rPr>
                <w:sz w:val="20"/>
                <w:szCs w:val="20"/>
                <w:color w:val="auto"/>
              </w:rPr>
            </w:pPr>
            <w:r>
              <w:rPr>
                <w:rFonts w:ascii="Times New Roman" w:cs="Times New Roman" w:eastAsia="Times New Roman" w:hAnsi="Times New Roman"/>
                <w:sz w:val="14"/>
                <w:szCs w:val="14"/>
                <w:b w:val="1"/>
                <w:bCs w:val="1"/>
                <w:color w:val="auto"/>
                <w:w w:val="98"/>
              </w:rPr>
              <w:t>Suite 155</w:t>
            </w: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20" w:type="dxa"/>
            <w:vAlign w:val="bottom"/>
          </w:tcPr>
          <w:p>
            <w:pPr>
              <w:spacing w:after="0"/>
              <w:rPr>
                <w:sz w:val="15"/>
                <w:szCs w:val="15"/>
                <w:color w:val="auto"/>
              </w:rPr>
            </w:pPr>
          </w:p>
        </w:tc>
      </w:tr>
      <w:tr>
        <w:trPr>
          <w:trHeight w:val="186"/>
        </w:trPr>
        <w:tc>
          <w:tcPr>
            <w:tcW w:w="4120" w:type="dxa"/>
            <w:vAlign w:val="bottom"/>
            <w:tcBorders>
              <w:bottom w:val="single" w:sz="8" w:color="auto"/>
            </w:tcBorders>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w w:val="98"/>
              </w:rPr>
              <w:t>Alpharetta,</w:t>
            </w:r>
          </w:p>
        </w:tc>
        <w:tc>
          <w:tcPr>
            <w:tcW w:w="7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9"/>
              </w:rPr>
              <w:t>Georgia</w:t>
            </w:r>
          </w:p>
        </w:tc>
        <w:tc>
          <w:tcPr>
            <w:tcW w:w="3820" w:type="dxa"/>
            <w:vAlign w:val="bottom"/>
            <w:tcBorders>
              <w:bottom w:val="single" w:sz="8" w:color="auto"/>
            </w:tcBorders>
          </w:tcPr>
          <w:p>
            <w:pPr>
              <w:jc w:val="right"/>
              <w:ind w:right="2112"/>
              <w:spacing w:after="0"/>
              <w:rPr>
                <w:sz w:val="20"/>
                <w:szCs w:val="20"/>
                <w:color w:val="auto"/>
              </w:rPr>
            </w:pPr>
            <w:r>
              <w:rPr>
                <w:rFonts w:ascii="Times New Roman" w:cs="Times New Roman" w:eastAsia="Times New Roman" w:hAnsi="Times New Roman"/>
                <w:sz w:val="14"/>
                <w:szCs w:val="14"/>
                <w:b w:val="1"/>
                <w:bCs w:val="1"/>
                <w:color w:val="auto"/>
              </w:rPr>
              <w:t>30004</w:t>
            </w:r>
          </w:p>
        </w:tc>
      </w:tr>
      <w:tr>
        <w:trPr>
          <w:trHeight w:val="156"/>
        </w:trPr>
        <w:tc>
          <w:tcPr>
            <w:tcW w:w="4120" w:type="dxa"/>
            <w:vAlign w:val="bottom"/>
          </w:tcPr>
          <w:p>
            <w:pPr>
              <w:jc w:val="center"/>
              <w:ind w:left="472"/>
              <w:spacing w:after="0"/>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20" w:type="dxa"/>
            <w:vAlign w:val="bottom"/>
          </w:tcPr>
          <w:p>
            <w:pPr>
              <w:jc w:val="center"/>
              <w:ind w:right="812"/>
              <w:spacing w:after="0"/>
              <w:rPr>
                <w:sz w:val="20"/>
                <w:szCs w:val="20"/>
                <w:color w:val="auto"/>
              </w:rPr>
            </w:pPr>
            <w:r>
              <w:rPr>
                <w:rFonts w:ascii="Times New Roman" w:cs="Times New Roman" w:eastAsia="Times New Roman" w:hAnsi="Times New Roman"/>
                <w:sz w:val="13"/>
                <w:szCs w:val="13"/>
                <w:color w:val="auto"/>
              </w:rPr>
              <w:t>(Zip Code)</w:t>
            </w:r>
          </w:p>
        </w:tc>
      </w:tr>
      <w:tr>
        <w:trPr>
          <w:trHeight w:val="384"/>
        </w:trPr>
        <w:tc>
          <w:tcPr>
            <w:tcW w:w="7480" w:type="dxa"/>
            <w:vAlign w:val="bottom"/>
            <w:tcBorders>
              <w:bottom w:val="single" w:sz="8" w:color="auto"/>
            </w:tcBorders>
            <w:gridSpan w:val="4"/>
          </w:tcPr>
          <w:p>
            <w:pPr>
              <w:jc w:val="center"/>
              <w:ind w:left="3752"/>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 (800) 935-5961</w:t>
            </w:r>
          </w:p>
        </w:tc>
        <w:tc>
          <w:tcPr>
            <w:tcW w:w="3820" w:type="dxa"/>
            <w:vAlign w:val="bottom"/>
            <w:tcBorders>
              <w:bottom w:val="single" w:sz="8" w:color="auto"/>
            </w:tcBorders>
          </w:tcPr>
          <w:p>
            <w:pPr>
              <w:spacing w:after="0"/>
              <w:rPr>
                <w:sz w:val="24"/>
                <w:szCs w:val="24"/>
                <w:color w:val="auto"/>
              </w:rPr>
            </w:pPr>
          </w:p>
        </w:tc>
      </w:tr>
      <w:tr>
        <w:trPr>
          <w:trHeight w:val="320"/>
        </w:trPr>
        <w:tc>
          <w:tcPr>
            <w:tcW w:w="4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center"/>
              <w:ind w:right="1000"/>
              <w:spacing w:after="0"/>
              <w:rPr>
                <w:sz w:val="20"/>
                <w:szCs w:val="20"/>
                <w:color w:val="auto"/>
              </w:rPr>
            </w:pPr>
            <w:r>
              <w:rPr>
                <w:rFonts w:ascii="Times New Roman" w:cs="Times New Roman" w:eastAsia="Times New Roman" w:hAnsi="Times New Roman"/>
                <w:sz w:val="13"/>
                <w:szCs w:val="13"/>
                <w:color w:val="auto"/>
                <w:w w:val="97"/>
              </w:rPr>
              <w:t>Not applicable</w:t>
            </w:r>
          </w:p>
        </w:tc>
        <w:tc>
          <w:tcPr>
            <w:tcW w:w="3820" w:type="dxa"/>
            <w:vAlign w:val="bottom"/>
            <w:tcBorders>
              <w:bottom w:val="single" w:sz="8" w:color="auto"/>
            </w:tcBorders>
          </w:tcPr>
          <w:p>
            <w:pPr>
              <w:spacing w:after="0"/>
              <w:rPr>
                <w:sz w:val="24"/>
                <w:szCs w:val="24"/>
                <w:color w:val="auto"/>
              </w:rPr>
            </w:pPr>
          </w:p>
        </w:tc>
      </w:tr>
      <w:tr>
        <w:trPr>
          <w:trHeight w:val="158"/>
        </w:trPr>
        <w:tc>
          <w:tcPr>
            <w:tcW w:w="11300" w:type="dxa"/>
            <w:vAlign w:val="bottom"/>
            <w:gridSpan w:val="5"/>
          </w:tcPr>
          <w:p>
            <w:pPr>
              <w:jc w:val="center"/>
              <w:spacing w:after="0"/>
              <w:rPr>
                <w:sz w:val="20"/>
                <w:szCs w:val="20"/>
                <w:color w:val="auto"/>
              </w:rPr>
            </w:pPr>
            <w:r>
              <w:rPr>
                <w:rFonts w:ascii="Times New Roman" w:cs="Times New Roman" w:eastAsia="Times New Roman" w:hAnsi="Times New Roman"/>
                <w:sz w:val="13"/>
                <w:szCs w:val="13"/>
                <w:color w:val="auto"/>
                <w:w w:val="97"/>
              </w:rPr>
              <w:t>(Former name, former address and former fiscal year, if changed since last report)</w:t>
            </w:r>
          </w:p>
        </w:tc>
      </w:tr>
      <w:tr>
        <w:trPr>
          <w:trHeight w:val="503"/>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96"/>
        </w:trPr>
        <w:tc>
          <w:tcPr>
            <w:tcW w:w="4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r>
      <w:tr>
        <w:trPr>
          <w:trHeight w:val="171"/>
        </w:trPr>
        <w:tc>
          <w:tcPr>
            <w:tcW w:w="4120" w:type="dxa"/>
            <w:vAlign w:val="bottom"/>
            <w:tcBorders>
              <w:left w:val="single" w:sz="8" w:color="auto"/>
              <w:bottom w:val="single" w:sz="8" w:color="auto"/>
            </w:tcBorders>
          </w:tcPr>
          <w:p>
            <w:pPr>
              <w:jc w:val="center"/>
              <w:ind w:left="63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0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98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93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1"/>
        </w:trPr>
        <w:tc>
          <w:tcPr>
            <w:tcW w:w="4120" w:type="dxa"/>
            <w:vAlign w:val="bottom"/>
            <w:tcBorders>
              <w:left w:val="single" w:sz="8" w:color="auto"/>
              <w:bottom w:val="single" w:sz="8" w:color="auto"/>
            </w:tcBorders>
          </w:tcPr>
          <w:p>
            <w:pPr>
              <w:jc w:val="center"/>
              <w:ind w:left="632"/>
              <w:spacing w:after="0"/>
              <w:rPr>
                <w:sz w:val="20"/>
                <w:szCs w:val="20"/>
                <w:color w:val="auto"/>
              </w:rPr>
            </w:pPr>
            <w:r>
              <w:rPr>
                <w:rFonts w:ascii="Times New Roman" w:cs="Times New Roman" w:eastAsia="Times New Roman" w:hAnsi="Times New Roman"/>
                <w:sz w:val="14"/>
                <w:szCs w:val="14"/>
                <w:color w:val="auto"/>
              </w:rPr>
              <w:t>Common Stock, par value $0.001</w:t>
            </w:r>
          </w:p>
        </w:tc>
        <w:tc>
          <w:tcPr>
            <w:tcW w:w="70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PRTH</w:t>
            </w:r>
          </w:p>
        </w:tc>
        <w:tc>
          <w:tcPr>
            <w:tcW w:w="98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952"/>
              <w:spacing w:after="0"/>
              <w:rPr>
                <w:sz w:val="20"/>
                <w:szCs w:val="20"/>
                <w:color w:val="auto"/>
              </w:rPr>
            </w:pPr>
            <w:r>
              <w:rPr>
                <w:rFonts w:ascii="Times New Roman" w:cs="Times New Roman" w:eastAsia="Times New Roman" w:hAnsi="Times New Roman"/>
                <w:sz w:val="14"/>
                <w:szCs w:val="14"/>
                <w:color w:val="auto"/>
              </w:rPr>
              <w:t>Nasdaq Global Market</w:t>
            </w:r>
          </w:p>
        </w:tc>
      </w:tr>
    </w:tbl>
    <w:p>
      <w:pPr>
        <w:spacing w:after="0" w:line="251" w:lineRule="exact"/>
        <w:rPr>
          <w:sz w:val="24"/>
          <w:szCs w:val="24"/>
          <w:color w:val="auto"/>
        </w:rPr>
      </w:pPr>
    </w:p>
    <w:p>
      <w:pPr>
        <w:ind w:right="180"/>
        <w:spacing w:after="0" w:line="18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w:t>
      </w:r>
    </w:p>
    <w:p>
      <w:pPr>
        <w:spacing w:after="0" w:line="20" w:lineRule="exact"/>
        <w:rPr>
          <w:sz w:val="24"/>
          <w:szCs w:val="24"/>
          <w:color w:val="auto"/>
        </w:rPr>
      </w:pPr>
    </w:p>
    <w:p>
      <w:pPr>
        <w:spacing w:after="0" w:line="161" w:lineRule="exact"/>
        <w:tabs>
          <w:tab w:leader="none" w:pos="10220" w:val="left"/>
          <w:tab w:leader="none" w:pos="10800" w:val="left"/>
        </w:tabs>
        <w:rPr>
          <w:sz w:val="20"/>
          <w:szCs w:val="20"/>
          <w:color w:val="auto"/>
        </w:rPr>
      </w:pPr>
      <w:r>
        <w:rPr>
          <w:rFonts w:ascii="Times New Roman" w:cs="Times New Roman" w:eastAsia="Times New Roman" w:hAnsi="Times New Roman"/>
          <w:sz w:val="14"/>
          <w:szCs w:val="14"/>
          <w:color w:val="auto"/>
        </w:rPr>
        <w:t>pursuant to Rule 405 of Regulation S-T (§232.405 of this chapter) during the preceding 12 months (or for such shorter period that the registrant was required to submit such files).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w:t>
      </w:r>
    </w:p>
    <w:p>
      <w:pPr>
        <w:spacing w:after="0" w:line="23"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4"/>
          <w:szCs w:val="14"/>
          <w:color w:val="auto"/>
        </w:rPr>
        <w:t>reporting company, or an emerging growth company. See the definitions of "large accelerated filer," "accelerated filer," "smaller reporting company," and "emerging growth company" in Rule 12b-2 of the Exchange Act.</w:t>
      </w:r>
    </w:p>
    <w:p>
      <w:pPr>
        <w:spacing w:after="0" w:line="244"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2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25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Accelerated filer</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2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25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1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5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14" w:lineRule="exact"/>
        <w:rPr>
          <w:sz w:val="24"/>
          <w:szCs w:val="24"/>
          <w:color w:val="auto"/>
        </w:rPr>
      </w:pPr>
    </w:p>
    <w:p>
      <w:pPr>
        <w:ind w:right="240"/>
        <w:spacing w:after="0" w:line="18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p>
    <w:p>
      <w:pPr>
        <w:ind w:left="40"/>
        <w:spacing w:after="0" w:line="161" w:lineRule="exact"/>
        <w:tabs>
          <w:tab w:leader="none" w:pos="5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November 4, 2022, the number of the registrant's Common Stock outstanding was 76,002,368.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379730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9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542"/>
        </w:trPr>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color w:val="auto"/>
                <w:w w:val="94"/>
              </w:rPr>
              <w:t>Page</w:t>
            </w:r>
          </w:p>
        </w:tc>
      </w:tr>
      <w:tr>
        <w:trPr>
          <w:trHeight w:val="150"/>
        </w:trPr>
        <w:tc>
          <w:tcPr>
            <w:tcW w:w="1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3"/>
                <w:szCs w:val="13"/>
                <w:color w:val="0000FF"/>
                <w:w w:val="96"/>
              </w:rPr>
              <w:t>Commonly Used or Defined Terms</w:t>
            </w:r>
          </w:p>
        </w:tc>
        <w:tc>
          <w:tcPr>
            <w:tcW w:w="9020" w:type="dxa"/>
            <w:vAlign w:val="bottom"/>
            <w:gridSpan w:val="13"/>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0000FF"/>
            </w:tcBorders>
            <w:gridSpan w:val="2"/>
          </w:tcPr>
          <w:p>
            <w:pPr>
              <w:jc w:val="center"/>
              <w:ind w:right="40"/>
              <w:spacing w:after="0"/>
              <w:rPr>
                <w:sz w:val="20"/>
                <w:szCs w:val="20"/>
                <w:color w:val="auto"/>
              </w:rPr>
            </w:pPr>
            <w:r>
              <w:rPr>
                <w:rFonts w:ascii="Times New Roman" w:cs="Times New Roman" w:eastAsia="Times New Roman" w:hAnsi="Times New Roman"/>
                <w:sz w:val="13"/>
                <w:szCs w:val="13"/>
                <w:color w:val="0000FF"/>
                <w:w w:val="82"/>
              </w:rPr>
              <w:t>ii</w:t>
            </w:r>
          </w:p>
        </w:tc>
        <w:tc>
          <w:tcPr>
            <w:tcW w:w="60" w:type="dxa"/>
            <w:vAlign w:val="bottom"/>
          </w:tcPr>
          <w:p>
            <w:pPr>
              <w:spacing w:after="0"/>
              <w:rPr>
                <w:sz w:val="13"/>
                <w:szCs w:val="13"/>
                <w:color w:val="auto"/>
              </w:rPr>
            </w:pPr>
          </w:p>
        </w:tc>
      </w:tr>
      <w:tr>
        <w:trPr>
          <w:trHeight w:val="150"/>
        </w:trPr>
        <w:tc>
          <w:tcPr>
            <w:tcW w:w="2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3"/>
                <w:szCs w:val="13"/>
                <w:color w:val="0000FF"/>
                <w:w w:val="95"/>
              </w:rPr>
              <w:t>PART I. FINANCIAL INFORMATION</w:t>
            </w:r>
          </w:p>
        </w:tc>
        <w:tc>
          <w:tcPr>
            <w:tcW w:w="8760" w:type="dxa"/>
            <w:vAlign w:val="bottom"/>
            <w:gridSpan w:val="11"/>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160" w:type="dxa"/>
            <w:vAlign w:val="bottom"/>
          </w:tcPr>
          <w:p>
            <w:pPr>
              <w:spacing w:after="0"/>
              <w:rPr>
                <w:sz w:val="13"/>
                <w:szCs w:val="13"/>
                <w:color w:val="auto"/>
              </w:rPr>
            </w:pPr>
          </w:p>
        </w:tc>
        <w:tc>
          <w:tcPr>
            <w:tcW w:w="1066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Item 1. Financial Statements</w:t>
            </w:r>
          </w:p>
        </w:tc>
        <w:tc>
          <w:tcPr>
            <w:tcW w:w="14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0000FF"/>
                <w:w w:val="91"/>
              </w:rPr>
              <w:t>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066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Unaudited Consolidated Balance Sheets as of September 30, 2022 and December 31, 2021</w:t>
            </w:r>
          </w:p>
        </w:tc>
        <w:tc>
          <w:tcPr>
            <w:tcW w:w="14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0000FF"/>
                <w:w w:val="91"/>
              </w:rPr>
              <w:t>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59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3"/>
                <w:szCs w:val="13"/>
                <w:color w:val="0000FF"/>
                <w:w w:val="96"/>
              </w:rPr>
              <w:t>Unaudited Consolidated Statements of Operations for the three and nine months ended September 30, 2022 and 2021</w:t>
            </w:r>
          </w:p>
        </w:tc>
        <w:tc>
          <w:tcPr>
            <w:tcW w:w="47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91"/>
              </w:rPr>
              <w:t>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160" w:type="dxa"/>
            <w:vAlign w:val="bottom"/>
          </w:tcPr>
          <w:p>
            <w:pPr>
              <w:spacing w:after="0"/>
              <w:rPr>
                <w:sz w:val="13"/>
                <w:szCs w:val="13"/>
                <w:color w:val="auto"/>
              </w:rPr>
            </w:pPr>
          </w:p>
        </w:tc>
        <w:tc>
          <w:tcPr>
            <w:tcW w:w="70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3"/>
                <w:szCs w:val="13"/>
                <w:color w:val="0000FF"/>
                <w:w w:val="96"/>
              </w:rPr>
              <w:t>Unaudited Consolidated Statements of Changes in Stockholders' Deficit for the three and nine months ended September 30, 2022 and 2021</w:t>
            </w:r>
          </w:p>
        </w:tc>
        <w:tc>
          <w:tcPr>
            <w:tcW w:w="3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91"/>
              </w:rPr>
              <w:t>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160" w:type="dxa"/>
            <w:vAlign w:val="bottom"/>
          </w:tcPr>
          <w:p>
            <w:pPr>
              <w:spacing w:after="0"/>
              <w:rPr>
                <w:sz w:val="13"/>
                <w:szCs w:val="13"/>
                <w:color w:val="auto"/>
              </w:rPr>
            </w:pPr>
          </w:p>
        </w:tc>
        <w:tc>
          <w:tcPr>
            <w:tcW w:w="54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3"/>
                <w:szCs w:val="13"/>
                <w:color w:val="0000FF"/>
                <w:w w:val="96"/>
              </w:rPr>
              <w:t>Unaudited Consolidated Statements of Cash Flows for the nine months ended September 30, 2022 and 2021</w:t>
            </w:r>
          </w:p>
        </w:tc>
        <w:tc>
          <w:tcPr>
            <w:tcW w:w="522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91"/>
              </w:rPr>
              <w:t>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160" w:type="dxa"/>
            <w:vAlign w:val="bottom"/>
          </w:tcPr>
          <w:p>
            <w:pPr>
              <w:spacing w:after="0"/>
              <w:rPr>
                <w:sz w:val="13"/>
                <w:szCs w:val="13"/>
                <w:color w:val="auto"/>
              </w:rPr>
            </w:pPr>
          </w:p>
        </w:tc>
        <w:tc>
          <w:tcPr>
            <w:tcW w:w="1066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Notes to Unaudited Consolidated Financial Statements</w:t>
            </w:r>
            <w:r>
              <w:rPr>
                <w:rFonts w:ascii="Times New Roman" w:cs="Times New Roman" w:eastAsia="Times New Roman" w:hAnsi="Times New Roman"/>
                <w:sz w:val="13"/>
                <w:szCs w:val="13"/>
                <w:color w:val="000000"/>
              </w:rPr>
              <w:t>:</w:t>
            </w:r>
          </w:p>
        </w:tc>
        <w:tc>
          <w:tcPr>
            <w:tcW w:w="14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0000FF"/>
                <w:w w:val="91"/>
              </w:rPr>
              <w:t>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rPr>
              <w:t>1.</w:t>
            </w:r>
          </w:p>
        </w:tc>
        <w:tc>
          <w:tcPr>
            <w:tcW w:w="286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3"/>
                <w:szCs w:val="13"/>
                <w:color w:val="0000FF"/>
                <w:w w:val="97"/>
              </w:rPr>
              <w:t>Nature of Business and Significant Accounting Policies</w:t>
            </w:r>
          </w:p>
        </w:tc>
        <w:tc>
          <w:tcPr>
            <w:tcW w:w="7680" w:type="dxa"/>
            <w:vAlign w:val="bottom"/>
            <w:gridSpan w:val="8"/>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91"/>
              </w:rPr>
              <w:t>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160" w:type="dxa"/>
            <w:vAlign w:val="bottom"/>
          </w:tcPr>
          <w:p>
            <w:pPr>
              <w:spacing w:after="0"/>
              <w:rPr>
                <w:sz w:val="13"/>
                <w:szCs w:val="13"/>
                <w:color w:val="auto"/>
              </w:rPr>
            </w:pPr>
          </w:p>
        </w:tc>
        <w:tc>
          <w:tcPr>
            <w:tcW w:w="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rPr>
              <w:t>2.</w:t>
            </w:r>
          </w:p>
        </w:tc>
        <w:tc>
          <w:tcPr>
            <w:tcW w:w="52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3"/>
                <w:szCs w:val="13"/>
                <w:color w:val="0000FF"/>
                <w:w w:val="94"/>
              </w:rPr>
              <w:t>Revenues</w:t>
            </w:r>
          </w:p>
        </w:tc>
        <w:tc>
          <w:tcPr>
            <w:tcW w:w="10020" w:type="dxa"/>
            <w:vAlign w:val="bottom"/>
            <w:gridSpan w:val="2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91"/>
              </w:rPr>
              <w:t>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1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0000FF"/>
              </w:rPr>
              <w:t>3.</w:t>
            </w: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0000FF"/>
                <w:w w:val="85"/>
              </w:rPr>
              <w:t>Acquisitions</w:t>
            </w:r>
          </w:p>
        </w:tc>
        <w:tc>
          <w:tcPr>
            <w:tcW w:w="9920" w:type="dxa"/>
            <w:vAlign w:val="bottom"/>
            <w:gridSpan w:val="20"/>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10</w:t>
            </w:r>
          </w:p>
        </w:tc>
        <w:tc>
          <w:tcPr>
            <w:tcW w:w="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0000FF"/>
              </w:rPr>
              <w:t>4.</w:t>
            </w:r>
          </w:p>
        </w:tc>
        <w:tc>
          <w:tcPr>
            <w:tcW w:w="10540" w:type="dxa"/>
            <w:vAlign w:val="bottom"/>
            <w:gridSpan w:val="24"/>
          </w:tcPr>
          <w:p>
            <w:pPr>
              <w:ind w:left="20"/>
              <w:spacing w:after="0"/>
              <w:rPr>
                <w:sz w:val="20"/>
                <w:szCs w:val="20"/>
                <w:color w:val="auto"/>
              </w:rPr>
            </w:pPr>
            <w:r>
              <w:rPr>
                <w:rFonts w:ascii="Times New Roman" w:cs="Times New Roman" w:eastAsia="Times New Roman" w:hAnsi="Times New Roman"/>
                <w:sz w:val="13"/>
                <w:szCs w:val="13"/>
                <w:color w:val="0000FF"/>
              </w:rPr>
              <w:t>Settlement Assets and Customer Account Balances and Related Obligations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12</w:t>
            </w:r>
          </w:p>
        </w:tc>
        <w:tc>
          <w:tcPr>
            <w:tcW w:w="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0000FF"/>
              </w:rPr>
              <w:t>5.</w:t>
            </w:r>
          </w:p>
        </w:tc>
        <w:tc>
          <w:tcPr>
            <w:tcW w:w="3880" w:type="dxa"/>
            <w:vAlign w:val="bottom"/>
            <w:gridSpan w:val="18"/>
          </w:tcPr>
          <w:p>
            <w:pPr>
              <w:ind w:left="20"/>
              <w:spacing w:after="0"/>
              <w:rPr>
                <w:sz w:val="20"/>
                <w:szCs w:val="20"/>
                <w:color w:val="auto"/>
              </w:rPr>
            </w:pPr>
            <w:r>
              <w:rPr>
                <w:rFonts w:ascii="Times New Roman" w:cs="Times New Roman" w:eastAsia="Times New Roman" w:hAnsi="Times New Roman"/>
                <w:sz w:val="13"/>
                <w:szCs w:val="13"/>
                <w:color w:val="0000FF"/>
              </w:rPr>
              <w:t>Goodwill and Other Intangible Assets</w:t>
            </w:r>
          </w:p>
        </w:tc>
        <w:tc>
          <w:tcPr>
            <w:tcW w:w="6660" w:type="dxa"/>
            <w:vAlign w:val="bottom"/>
            <w:gridSpan w:val="6"/>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13</w:t>
            </w:r>
          </w:p>
        </w:tc>
        <w:tc>
          <w:tcPr>
            <w:tcW w:w="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0000FF"/>
              </w:rPr>
              <w:t>6.</w:t>
            </w:r>
          </w:p>
        </w:tc>
        <w:tc>
          <w:tcPr>
            <w:tcW w:w="1780" w:type="dxa"/>
            <w:vAlign w:val="bottom"/>
            <w:gridSpan w:val="13"/>
          </w:tcPr>
          <w:p>
            <w:pPr>
              <w:ind w:left="20"/>
              <w:spacing w:after="0"/>
              <w:rPr>
                <w:sz w:val="20"/>
                <w:szCs w:val="20"/>
                <w:color w:val="auto"/>
              </w:rPr>
            </w:pPr>
            <w:r>
              <w:rPr>
                <w:rFonts w:ascii="Times New Roman" w:cs="Times New Roman" w:eastAsia="Times New Roman" w:hAnsi="Times New Roman"/>
                <w:sz w:val="13"/>
                <w:szCs w:val="13"/>
                <w:color w:val="0000FF"/>
                <w:w w:val="95"/>
              </w:rPr>
              <w:t>Property, Equipment and Software</w:t>
            </w:r>
          </w:p>
        </w:tc>
        <w:tc>
          <w:tcPr>
            <w:tcW w:w="160" w:type="dxa"/>
            <w:vAlign w:val="bottom"/>
          </w:tcPr>
          <w:p>
            <w:pPr>
              <w:spacing w:after="0"/>
              <w:rPr>
                <w:sz w:val="13"/>
                <w:szCs w:val="13"/>
                <w:color w:val="auto"/>
              </w:rPr>
            </w:pPr>
          </w:p>
        </w:tc>
        <w:tc>
          <w:tcPr>
            <w:tcW w:w="8600" w:type="dxa"/>
            <w:vAlign w:val="bottom"/>
            <w:gridSpan w:val="10"/>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15</w:t>
            </w:r>
          </w:p>
        </w:tc>
        <w:tc>
          <w:tcPr>
            <w:tcW w:w="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0000FF"/>
              </w:rPr>
              <w:t>7.</w:t>
            </w:r>
          </w:p>
        </w:tc>
        <w:tc>
          <w:tcPr>
            <w:tcW w:w="88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0000FF"/>
                <w:w w:val="89"/>
              </w:rPr>
              <w:t>Notes Receivable</w:t>
            </w:r>
          </w:p>
        </w:tc>
        <w:tc>
          <w:tcPr>
            <w:tcW w:w="900" w:type="dxa"/>
            <w:vAlign w:val="bottom"/>
            <w:gridSpan w:val="7"/>
          </w:tcPr>
          <w:p>
            <w:pPr>
              <w:spacing w:after="0"/>
              <w:rPr>
                <w:sz w:val="13"/>
                <w:szCs w:val="13"/>
                <w:color w:val="auto"/>
              </w:rPr>
            </w:pPr>
          </w:p>
        </w:tc>
        <w:tc>
          <w:tcPr>
            <w:tcW w:w="8760" w:type="dxa"/>
            <w:vAlign w:val="bottom"/>
            <w:gridSpan w:val="11"/>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16</w:t>
            </w:r>
          </w:p>
        </w:tc>
        <w:tc>
          <w:tcPr>
            <w:tcW w:w="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0000FF"/>
              </w:rPr>
              <w:t>8.</w:t>
            </w:r>
          </w:p>
        </w:tc>
        <w:tc>
          <w:tcPr>
            <w:tcW w:w="88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0000FF"/>
                <w:w w:val="91"/>
              </w:rPr>
              <w:t>Debt Obligations</w:t>
            </w:r>
          </w:p>
        </w:tc>
        <w:tc>
          <w:tcPr>
            <w:tcW w:w="9660" w:type="dxa"/>
            <w:vAlign w:val="bottom"/>
            <w:gridSpan w:val="18"/>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16</w:t>
            </w:r>
          </w:p>
        </w:tc>
        <w:tc>
          <w:tcPr>
            <w:tcW w:w="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0000FF"/>
              </w:rPr>
              <w:t>9.</w:t>
            </w:r>
          </w:p>
        </w:tc>
        <w:tc>
          <w:tcPr>
            <w:tcW w:w="88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0000FF"/>
              </w:rPr>
              <w:t>Fair Value</w:t>
            </w:r>
          </w:p>
        </w:tc>
        <w:tc>
          <w:tcPr>
            <w:tcW w:w="9660" w:type="dxa"/>
            <w:vAlign w:val="bottom"/>
            <w:gridSpan w:val="18"/>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17</w:t>
            </w:r>
          </w:p>
        </w:tc>
        <w:tc>
          <w:tcPr>
            <w:tcW w:w="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066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10. Redeemable Senior Preferred Stock and Warrants</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19</w:t>
            </w:r>
          </w:p>
        </w:tc>
        <w:tc>
          <w:tcPr>
            <w:tcW w:w="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2720" w:type="dxa"/>
            <w:vAlign w:val="bottom"/>
            <w:gridSpan w:val="16"/>
          </w:tcPr>
          <w:p>
            <w:pPr>
              <w:spacing w:after="0"/>
              <w:rPr>
                <w:sz w:val="20"/>
                <w:szCs w:val="20"/>
                <w:color w:val="auto"/>
              </w:rPr>
            </w:pPr>
            <w:r>
              <w:rPr>
                <w:rFonts w:ascii="Times New Roman" w:cs="Times New Roman" w:eastAsia="Times New Roman" w:hAnsi="Times New Roman"/>
                <w:sz w:val="13"/>
                <w:szCs w:val="13"/>
                <w:color w:val="0000FF"/>
              </w:rPr>
              <w:t>11. Income Taxes</w:t>
            </w:r>
          </w:p>
        </w:tc>
        <w:tc>
          <w:tcPr>
            <w:tcW w:w="7940" w:type="dxa"/>
            <w:vAlign w:val="bottom"/>
            <w:gridSpan w:val="9"/>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20</w:t>
            </w:r>
          </w:p>
        </w:tc>
        <w:tc>
          <w:tcPr>
            <w:tcW w:w="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90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w w:val="96"/>
              </w:rPr>
              <w:t>12. Commitments and Contingencies</w:t>
            </w:r>
          </w:p>
        </w:tc>
        <w:tc>
          <w:tcPr>
            <w:tcW w:w="8760" w:type="dxa"/>
            <w:vAlign w:val="bottom"/>
            <w:gridSpan w:val="11"/>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20</w:t>
            </w:r>
          </w:p>
        </w:tc>
        <w:tc>
          <w:tcPr>
            <w:tcW w:w="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90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13. Related Party Transactions</w:t>
            </w:r>
          </w:p>
        </w:tc>
        <w:tc>
          <w:tcPr>
            <w:tcW w:w="8760" w:type="dxa"/>
            <w:vAlign w:val="bottom"/>
            <w:gridSpan w:val="11"/>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21</w:t>
            </w:r>
          </w:p>
        </w:tc>
        <w:tc>
          <w:tcPr>
            <w:tcW w:w="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560" w:type="dxa"/>
            <w:vAlign w:val="bottom"/>
            <w:gridSpan w:val="11"/>
          </w:tcPr>
          <w:p>
            <w:pPr>
              <w:spacing w:after="0"/>
              <w:rPr>
                <w:sz w:val="20"/>
                <w:szCs w:val="20"/>
                <w:color w:val="auto"/>
              </w:rPr>
            </w:pPr>
            <w:r>
              <w:rPr>
                <w:rFonts w:ascii="Times New Roman" w:cs="Times New Roman" w:eastAsia="Times New Roman" w:hAnsi="Times New Roman"/>
                <w:sz w:val="13"/>
                <w:szCs w:val="13"/>
                <w:color w:val="0000FF"/>
                <w:w w:val="94"/>
              </w:rPr>
              <w:t>14. Stock-based Compensation</w:t>
            </w:r>
          </w:p>
        </w:tc>
        <w:tc>
          <w:tcPr>
            <w:tcW w:w="9100" w:type="dxa"/>
            <w:vAlign w:val="bottom"/>
            <w:gridSpan w:val="14"/>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22</w:t>
            </w:r>
          </w:p>
        </w:tc>
        <w:tc>
          <w:tcPr>
            <w:tcW w:w="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3"/>
                <w:szCs w:val="13"/>
                <w:color w:val="0000FF"/>
                <w:w w:val="93"/>
              </w:rPr>
              <w:t>15. Stockholders' Equity</w:t>
            </w:r>
          </w:p>
        </w:tc>
        <w:tc>
          <w:tcPr>
            <w:tcW w:w="320" w:type="dxa"/>
            <w:vAlign w:val="bottom"/>
            <w:gridSpan w:val="3"/>
          </w:tcPr>
          <w:p>
            <w:pPr>
              <w:spacing w:after="0"/>
              <w:rPr>
                <w:sz w:val="13"/>
                <w:szCs w:val="13"/>
                <w:color w:val="auto"/>
              </w:rPr>
            </w:pPr>
          </w:p>
        </w:tc>
        <w:tc>
          <w:tcPr>
            <w:tcW w:w="9100" w:type="dxa"/>
            <w:vAlign w:val="bottom"/>
            <w:gridSpan w:val="14"/>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23</w:t>
            </w:r>
          </w:p>
        </w:tc>
        <w:tc>
          <w:tcPr>
            <w:tcW w:w="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066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16. Segment Information</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23</w:t>
            </w:r>
          </w:p>
        </w:tc>
        <w:tc>
          <w:tcPr>
            <w:tcW w:w="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0660" w:type="dxa"/>
            <w:vAlign w:val="bottom"/>
            <w:gridSpan w:val="25"/>
          </w:tcPr>
          <w:p>
            <w:pPr>
              <w:spacing w:after="0"/>
              <w:rPr>
                <w:sz w:val="20"/>
                <w:szCs w:val="20"/>
                <w:color w:val="auto"/>
              </w:rPr>
            </w:pPr>
            <w:r>
              <w:rPr>
                <w:rFonts w:ascii="Times New Roman" w:cs="Times New Roman" w:eastAsia="Times New Roman" w:hAnsi="Times New Roman"/>
                <w:sz w:val="13"/>
                <w:szCs w:val="13"/>
                <w:color w:val="0000FF"/>
              </w:rPr>
              <w:t>17. Loss per Common Share</w:t>
            </w: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25</w:t>
            </w:r>
          </w:p>
        </w:tc>
        <w:tc>
          <w:tcPr>
            <w:tcW w:w="6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488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w w:val="96"/>
              </w:rPr>
              <w:t>Item 2. Management's Discussion and Analysis of Financial Condition and Results of Operations</w:t>
            </w:r>
          </w:p>
        </w:tc>
        <w:tc>
          <w:tcPr>
            <w:tcW w:w="5780" w:type="dxa"/>
            <w:vAlign w:val="bottom"/>
            <w:gridSpan w:val="4"/>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26</w:t>
            </w:r>
          </w:p>
        </w:tc>
        <w:tc>
          <w:tcPr>
            <w:tcW w:w="6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488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Item 3. Qualitative and Quantitative Disclosures about Market Risk</w:t>
            </w:r>
          </w:p>
        </w:tc>
        <w:tc>
          <w:tcPr>
            <w:tcW w:w="5780" w:type="dxa"/>
            <w:vAlign w:val="bottom"/>
            <w:gridSpan w:val="4"/>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38</w:t>
            </w:r>
          </w:p>
        </w:tc>
        <w:tc>
          <w:tcPr>
            <w:tcW w:w="6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560" w:type="dxa"/>
            <w:vAlign w:val="bottom"/>
            <w:gridSpan w:val="11"/>
          </w:tcPr>
          <w:p>
            <w:pPr>
              <w:spacing w:after="0"/>
              <w:rPr>
                <w:sz w:val="20"/>
                <w:szCs w:val="20"/>
                <w:color w:val="auto"/>
              </w:rPr>
            </w:pPr>
            <w:r>
              <w:rPr>
                <w:rFonts w:ascii="Times New Roman" w:cs="Times New Roman" w:eastAsia="Times New Roman" w:hAnsi="Times New Roman"/>
                <w:sz w:val="13"/>
                <w:szCs w:val="13"/>
                <w:color w:val="0000FF"/>
                <w:w w:val="90"/>
              </w:rPr>
              <w:t>Item 4. Controls and Procedures</w:t>
            </w:r>
          </w:p>
        </w:tc>
        <w:tc>
          <w:tcPr>
            <w:tcW w:w="1800" w:type="dxa"/>
            <w:vAlign w:val="bottom"/>
            <w:gridSpan w:val="7"/>
          </w:tcPr>
          <w:p>
            <w:pPr>
              <w:spacing w:after="0"/>
              <w:rPr>
                <w:sz w:val="13"/>
                <w:szCs w:val="13"/>
                <w:color w:val="auto"/>
              </w:rPr>
            </w:pPr>
          </w:p>
        </w:tc>
        <w:tc>
          <w:tcPr>
            <w:tcW w:w="7300" w:type="dxa"/>
            <w:vAlign w:val="bottom"/>
            <w:gridSpan w:val="7"/>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38</w:t>
            </w:r>
          </w:p>
        </w:tc>
        <w:tc>
          <w:tcPr>
            <w:tcW w:w="6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7300" w:type="dxa"/>
            <w:vAlign w:val="bottom"/>
            <w:gridSpan w:val="7"/>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82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w w:val="95"/>
              </w:rPr>
              <w:t>PART II. OTHER INFORMATION</w:t>
            </w:r>
          </w:p>
        </w:tc>
        <w:tc>
          <w:tcPr>
            <w:tcW w:w="9000" w:type="dxa"/>
            <w:vAlign w:val="bottom"/>
            <w:gridSpan w:val="12"/>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39</w:t>
            </w:r>
          </w:p>
        </w:tc>
        <w:tc>
          <w:tcPr>
            <w:tcW w:w="60" w:type="dxa"/>
            <w:vAlign w:val="bottom"/>
          </w:tcPr>
          <w:p>
            <w:pPr>
              <w:spacing w:after="0"/>
              <w:rPr>
                <w:sz w:val="13"/>
                <w:szCs w:val="13"/>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7300" w:type="dxa"/>
            <w:vAlign w:val="bottom"/>
            <w:gridSpan w:val="7"/>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660" w:type="dxa"/>
            <w:vAlign w:val="bottom"/>
            <w:gridSpan w:val="13"/>
          </w:tcPr>
          <w:p>
            <w:pPr>
              <w:spacing w:after="0"/>
              <w:rPr>
                <w:sz w:val="20"/>
                <w:szCs w:val="20"/>
                <w:color w:val="auto"/>
              </w:rPr>
            </w:pPr>
            <w:r>
              <w:rPr>
                <w:rFonts w:ascii="Times New Roman" w:cs="Times New Roman" w:eastAsia="Times New Roman" w:hAnsi="Times New Roman"/>
                <w:sz w:val="13"/>
                <w:szCs w:val="13"/>
                <w:color w:val="0000FF"/>
              </w:rPr>
              <w:t>Item 1. Legal Proceedings</w:t>
            </w:r>
          </w:p>
        </w:tc>
        <w:tc>
          <w:tcPr>
            <w:tcW w:w="9000" w:type="dxa"/>
            <w:vAlign w:val="bottom"/>
            <w:gridSpan w:val="12"/>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39</w:t>
            </w:r>
          </w:p>
        </w:tc>
        <w:tc>
          <w:tcPr>
            <w:tcW w:w="6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3"/>
                <w:szCs w:val="13"/>
                <w:color w:val="0000FF"/>
              </w:rPr>
              <w:t>Item 1A. Risk Factors</w:t>
            </w:r>
          </w:p>
        </w:tc>
        <w:tc>
          <w:tcPr>
            <w:tcW w:w="9420" w:type="dxa"/>
            <w:vAlign w:val="bottom"/>
            <w:gridSpan w:val="17"/>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39</w:t>
            </w:r>
          </w:p>
        </w:tc>
        <w:tc>
          <w:tcPr>
            <w:tcW w:w="6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7300" w:type="dxa"/>
            <w:vAlign w:val="bottom"/>
            <w:gridSpan w:val="7"/>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336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w w:val="93"/>
              </w:rPr>
              <w:t>Item 2. Unregistered Sales of Equity Securities and Use of Proceeds</w:t>
            </w:r>
          </w:p>
        </w:tc>
        <w:tc>
          <w:tcPr>
            <w:tcW w:w="7300" w:type="dxa"/>
            <w:vAlign w:val="bottom"/>
            <w:gridSpan w:val="7"/>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39</w:t>
            </w:r>
          </w:p>
        </w:tc>
        <w:tc>
          <w:tcPr>
            <w:tcW w:w="6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336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rPr>
              <w:t>Item 3. Defaults Upon Senior Securities</w:t>
            </w:r>
          </w:p>
        </w:tc>
        <w:tc>
          <w:tcPr>
            <w:tcW w:w="7300" w:type="dxa"/>
            <w:vAlign w:val="bottom"/>
            <w:gridSpan w:val="7"/>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39</w:t>
            </w:r>
          </w:p>
        </w:tc>
        <w:tc>
          <w:tcPr>
            <w:tcW w:w="6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900" w:type="dxa"/>
            <w:vAlign w:val="bottom"/>
            <w:gridSpan w:val="14"/>
          </w:tcPr>
          <w:p>
            <w:pPr>
              <w:spacing w:after="0"/>
              <w:rPr>
                <w:sz w:val="20"/>
                <w:szCs w:val="20"/>
                <w:color w:val="auto"/>
              </w:rPr>
            </w:pPr>
            <w:r>
              <w:rPr>
                <w:rFonts w:ascii="Times New Roman" w:cs="Times New Roman" w:eastAsia="Times New Roman" w:hAnsi="Times New Roman"/>
                <w:sz w:val="13"/>
                <w:szCs w:val="13"/>
                <w:color w:val="0000FF"/>
              </w:rPr>
              <w:t>Item 4. Mine Safety Disclosures</w:t>
            </w:r>
          </w:p>
        </w:tc>
        <w:tc>
          <w:tcPr>
            <w:tcW w:w="8760" w:type="dxa"/>
            <w:vAlign w:val="bottom"/>
            <w:gridSpan w:val="11"/>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39</w:t>
            </w:r>
          </w:p>
        </w:tc>
        <w:tc>
          <w:tcPr>
            <w:tcW w:w="6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9100" w:type="dxa"/>
            <w:vAlign w:val="bottom"/>
            <w:gridSpan w:val="14"/>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560" w:type="dxa"/>
            <w:vAlign w:val="bottom"/>
            <w:gridSpan w:val="11"/>
          </w:tcPr>
          <w:p>
            <w:pPr>
              <w:spacing w:after="0"/>
              <w:rPr>
                <w:sz w:val="20"/>
                <w:szCs w:val="20"/>
                <w:color w:val="auto"/>
              </w:rPr>
            </w:pPr>
            <w:r>
              <w:rPr>
                <w:rFonts w:ascii="Times New Roman" w:cs="Times New Roman" w:eastAsia="Times New Roman" w:hAnsi="Times New Roman"/>
                <w:sz w:val="13"/>
                <w:szCs w:val="13"/>
                <w:color w:val="0000FF"/>
              </w:rPr>
              <w:t>Item 5. Other Information</w:t>
            </w:r>
          </w:p>
        </w:tc>
        <w:tc>
          <w:tcPr>
            <w:tcW w:w="9100" w:type="dxa"/>
            <w:vAlign w:val="bottom"/>
            <w:gridSpan w:val="14"/>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40</w:t>
            </w:r>
          </w:p>
        </w:tc>
        <w:tc>
          <w:tcPr>
            <w:tcW w:w="6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9420" w:type="dxa"/>
            <w:vAlign w:val="bottom"/>
            <w:gridSpan w:val="17"/>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40" w:type="dxa"/>
            <w:vAlign w:val="bottom"/>
            <w:gridSpan w:val="8"/>
          </w:tcPr>
          <w:p>
            <w:pPr>
              <w:spacing w:after="0"/>
              <w:rPr>
                <w:sz w:val="20"/>
                <w:szCs w:val="20"/>
                <w:color w:val="auto"/>
              </w:rPr>
            </w:pPr>
            <w:r>
              <w:rPr>
                <w:rFonts w:ascii="Times New Roman" w:cs="Times New Roman" w:eastAsia="Times New Roman" w:hAnsi="Times New Roman"/>
                <w:sz w:val="13"/>
                <w:szCs w:val="13"/>
                <w:color w:val="0000FF"/>
              </w:rPr>
              <w:t>Item 6. Exhibits</w:t>
            </w:r>
          </w:p>
        </w:tc>
        <w:tc>
          <w:tcPr>
            <w:tcW w:w="9420" w:type="dxa"/>
            <w:vAlign w:val="bottom"/>
            <w:gridSpan w:val="17"/>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40</w:t>
            </w:r>
          </w:p>
        </w:tc>
        <w:tc>
          <w:tcPr>
            <w:tcW w:w="60" w:type="dxa"/>
            <w:vAlign w:val="bottom"/>
          </w:tcPr>
          <w:p>
            <w:pPr>
              <w:spacing w:after="0"/>
              <w:rPr>
                <w:sz w:val="13"/>
                <w:szCs w:val="13"/>
                <w:color w:val="auto"/>
              </w:rPr>
            </w:pP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9920" w:type="dxa"/>
            <w:vAlign w:val="bottom"/>
            <w:gridSpan w:val="20"/>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0"/>
        </w:trPr>
        <w:tc>
          <w:tcPr>
            <w:tcW w:w="5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4"/>
              </w:rPr>
              <w:t>Signatures</w:t>
            </w:r>
          </w:p>
        </w:tc>
        <w:tc>
          <w:tcPr>
            <w:tcW w:w="10280" w:type="dxa"/>
            <w:vAlign w:val="bottom"/>
            <w:gridSpan w:val="23"/>
          </w:tcPr>
          <w:p>
            <w:pPr>
              <w:spacing w:after="0"/>
              <w:rPr>
                <w:sz w:val="13"/>
                <w:szCs w:val="13"/>
                <w:color w:val="auto"/>
              </w:rPr>
            </w:pPr>
          </w:p>
        </w:tc>
        <w:tc>
          <w:tcPr>
            <w:tcW w:w="18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0000FF"/>
                <w:w w:val="91"/>
              </w:rPr>
              <w:t>42</w:t>
            </w:r>
          </w:p>
        </w:tc>
        <w:tc>
          <w:tcPr>
            <w:tcW w:w="60" w:type="dxa"/>
            <w:vAlign w:val="bottom"/>
          </w:tcPr>
          <w:p>
            <w:pPr>
              <w:spacing w:after="0"/>
              <w:rPr>
                <w:sz w:val="13"/>
                <w:szCs w:val="13"/>
                <w:color w:val="auto"/>
              </w:rPr>
            </w:pPr>
          </w:p>
        </w:tc>
      </w:tr>
      <w:tr>
        <w:trPr>
          <w:trHeight w:val="20"/>
        </w:trPr>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20" w:top="1014"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1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p>
        </w:tc>
      </w:tr>
      <w:tr>
        <w:trPr>
          <w:trHeight w:val="186"/>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18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Commonly Used or Defined Terms</w:t>
            </w:r>
          </w:p>
        </w:tc>
      </w:tr>
      <w:tr>
        <w:trPr>
          <w:trHeight w:val="265"/>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r>
      <w:tr>
        <w:trPr>
          <w:trHeight w:val="171"/>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2018 Plan</w:t>
            </w:r>
          </w:p>
        </w:tc>
        <w:tc>
          <w:tcPr>
            <w:tcW w:w="100" w:type="dxa"/>
            <w:vAlign w:val="bottom"/>
            <w:tcBorders>
              <w:top w:val="single" w:sz="8" w:color="CCEEFF"/>
            </w:tcBorders>
            <w:shd w:val="clear" w:color="auto" w:fill="CCEEFF"/>
          </w:tcPr>
          <w:p>
            <w:pPr>
              <w:spacing w:after="0"/>
              <w:rPr>
                <w:sz w:val="14"/>
                <w:szCs w:val="14"/>
                <w:color w:val="auto"/>
              </w:rPr>
            </w:pPr>
          </w:p>
        </w:tc>
        <w:tc>
          <w:tcPr>
            <w:tcW w:w="8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2018 Equity Incentive Plan</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2021 Stock Purchase Plan</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Priority Technology Holdings, Inc. 2021 Employee Stock Purchase Plan</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Share Repurchase Program</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Priority Technology Holdings, Inc. 2022 Share Repurchase Program</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2021 Share Repurchase Program</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Priority Technology Holdings, Inc. 2021 Share Repurchase Program</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payable</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Accounting Standards Codification</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Standards Update</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B2B</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Business-to-business</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B2C</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Business-to-consumer</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C&amp;H</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C&amp;H Financial Services, Inc.</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CEO</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CFO</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Company's common stock, par value $0.001</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 Agreement</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Credit and Guaranty Agreement with Truist Bank dated as of April 27, 2021</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EAETR</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12529"/>
              </w:rPr>
              <w:t>Estimated annual effective tax rate</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Earnings before interest, taxes, depreciation and amortization</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EGC</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Emerging Growth Company</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Exchange Act of 1934</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FBO</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 the Benefit Of</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Financial Institution</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Finxera</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Finxera Holdings, Inc.</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U.S. Generally Accepted Accounting Principles</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IRA</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Inflation Reduction Act, enacted by the U.S. Federal Government on August 16, 2022</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ISO</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Independent sales organization</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ISV</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Independent software vendor</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JOBS Act</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Jumpstart Our Business Startups Act of 2012</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LIBOR</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London Interbank Offered Rate</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NCI</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PIK</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Payment-in-kind</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PHOT</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Priority Hospitality Technology, LLC</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and Exchange Commission</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SMB</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Small to medium-sized businesses</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facility</w:t>
            </w: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$620.0 million senior secured term loan facility issued under the Credit Agreement (including $320.0 million delayed draw facility)</w:t>
            </w:r>
          </w:p>
        </w:tc>
      </w:tr>
      <w:tr>
        <w:trPr>
          <w:trHeight w:val="184"/>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Net Leverage Ratio</w:t>
            </w:r>
          </w:p>
        </w:tc>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The ratio of consolidated total debt to the Consolidated Adjusted EBITDA (as defined in the Credit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152"/>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6340" w:type="dxa"/>
            <w:vAlign w:val="bottom"/>
          </w:tcPr>
          <w:p>
            <w:pPr>
              <w:jc w:val="center"/>
              <w:ind w:left="2869"/>
              <w:spacing w:after="0"/>
              <w:rPr>
                <w:sz w:val="20"/>
                <w:szCs w:val="20"/>
                <w:color w:val="auto"/>
              </w:rPr>
            </w:pPr>
            <w:r>
              <w:rPr>
                <w:rFonts w:ascii="Times New Roman" w:cs="Times New Roman" w:eastAsia="Times New Roman" w:hAnsi="Times New Roman"/>
                <w:sz w:val="14"/>
                <w:szCs w:val="14"/>
                <w:b w:val="1"/>
                <w:bCs w:val="1"/>
                <w:color w:val="auto"/>
                <w:w w:val="99"/>
              </w:rPr>
              <w:t>PART I. FINANCIAL INFORMATION</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0"/>
        </w:trPr>
        <w:tc>
          <w:tcPr>
            <w:tcW w:w="7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340" w:type="dxa"/>
            <w:vAlign w:val="bottom"/>
          </w:tcPr>
          <w:p>
            <w:pPr>
              <w:jc w:val="center"/>
              <w:ind w:left="2869"/>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340" w:type="dxa"/>
            <w:vAlign w:val="bottom"/>
          </w:tcPr>
          <w:p>
            <w:pPr>
              <w:jc w:val="center"/>
              <w:ind w:left="2869"/>
              <w:spacing w:after="0"/>
              <w:rPr>
                <w:sz w:val="20"/>
                <w:szCs w:val="20"/>
                <w:color w:val="auto"/>
              </w:rPr>
            </w:pPr>
            <w:r>
              <w:rPr>
                <w:rFonts w:ascii="Times New Roman" w:cs="Times New Roman" w:eastAsia="Times New Roman" w:hAnsi="Times New Roman"/>
                <w:sz w:val="14"/>
                <w:szCs w:val="14"/>
                <w:b w:val="1"/>
                <w:bCs w:val="1"/>
                <w:color w:val="auto"/>
              </w:rPr>
              <w:t>Unaudited Consolidated Balance Sheets</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340" w:type="dxa"/>
            <w:vAlign w:val="bottom"/>
          </w:tcPr>
          <w:p>
            <w:pPr>
              <w:jc w:val="center"/>
              <w:ind w:left="2869"/>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7"/>
                <w:szCs w:val="17"/>
                <w:color w:val="auto"/>
              </w:rPr>
            </w:pPr>
          </w:p>
        </w:tc>
        <w:tc>
          <w:tcPr>
            <w:tcW w:w="16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1"/>
        </w:trPr>
        <w:tc>
          <w:tcPr>
            <w:tcW w:w="20" w:type="dxa"/>
            <w:vAlign w:val="bottom"/>
          </w:tcPr>
          <w:p>
            <w:pPr>
              <w:spacing w:after="0"/>
              <w:rPr>
                <w:sz w:val="13"/>
                <w:szCs w:val="13"/>
                <w:color w:val="auto"/>
              </w:rPr>
            </w:pPr>
          </w:p>
        </w:tc>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20,300</w:t>
            </w:r>
          </w:p>
        </w:tc>
      </w:tr>
      <w:tr>
        <w:trPr>
          <w:trHeight w:val="180"/>
        </w:trPr>
        <w:tc>
          <w:tcPr>
            <w:tcW w:w="2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28,859</w:t>
            </w:r>
          </w:p>
        </w:tc>
      </w:tr>
      <w:tr>
        <w:trPr>
          <w:trHeight w:val="180"/>
        </w:trPr>
        <w:tc>
          <w:tcPr>
            <w:tcW w:w="2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receivable, net of allowances of $1,026 and $555, respectively</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58,423</w:t>
            </w:r>
          </w:p>
        </w:tc>
      </w:tr>
      <w:tr>
        <w:trPr>
          <w:trHeight w:val="180"/>
        </w:trPr>
        <w:tc>
          <w:tcPr>
            <w:tcW w:w="2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15,807</w:t>
            </w:r>
          </w:p>
        </w:tc>
      </w:tr>
      <w:tr>
        <w:trPr>
          <w:trHeight w:val="180"/>
        </w:trPr>
        <w:tc>
          <w:tcPr>
            <w:tcW w:w="2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portion of notes receivable</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180"/>
        </w:trPr>
        <w:tc>
          <w:tcPr>
            <w:tcW w:w="20" w:type="dxa"/>
            <w:vAlign w:val="bottom"/>
          </w:tcPr>
          <w:p>
            <w:pPr>
              <w:spacing w:after="0"/>
              <w:rPr>
                <w:sz w:val="15"/>
                <w:szCs w:val="15"/>
                <w:color w:val="auto"/>
              </w:rPr>
            </w:pPr>
          </w:p>
        </w:tc>
        <w:tc>
          <w:tcPr>
            <w:tcW w:w="73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Settlement assets and customer account balances</w:t>
            </w: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516,687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479,471</w:t>
            </w:r>
          </w:p>
        </w:tc>
      </w:tr>
      <w:tr>
        <w:trPr>
          <w:trHeight w:val="171"/>
        </w:trPr>
        <w:tc>
          <w:tcPr>
            <w:tcW w:w="20" w:type="dxa"/>
            <w:vAlign w:val="bottom"/>
          </w:tcPr>
          <w:p>
            <w:pPr>
              <w:spacing w:after="0"/>
              <w:rPr>
                <w:sz w:val="14"/>
                <w:szCs w:val="14"/>
                <w:color w:val="auto"/>
              </w:rPr>
            </w:pPr>
          </w:p>
        </w:tc>
        <w:tc>
          <w:tcPr>
            <w:tcW w:w="7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628,417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603,132</w:t>
            </w:r>
          </w:p>
        </w:tc>
      </w:tr>
      <w:tr>
        <w:trPr>
          <w:trHeight w:val="180"/>
        </w:trPr>
        <w:tc>
          <w:tcPr>
            <w:tcW w:w="2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Notes receivable, less current portion</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80"/>
        </w:trPr>
        <w:tc>
          <w:tcPr>
            <w:tcW w:w="20" w:type="dxa"/>
            <w:vAlign w:val="bottom"/>
          </w:tcPr>
          <w:p>
            <w:pPr>
              <w:spacing w:after="0"/>
              <w:rPr>
                <w:sz w:val="15"/>
                <w:szCs w:val="15"/>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25,233</w:t>
            </w:r>
          </w:p>
        </w:tc>
      </w:tr>
      <w:tr>
        <w:trPr>
          <w:trHeight w:val="180"/>
        </w:trPr>
        <w:tc>
          <w:tcPr>
            <w:tcW w:w="2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365,347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365,740</w:t>
            </w:r>
          </w:p>
        </w:tc>
      </w:tr>
      <w:tr>
        <w:trPr>
          <w:trHeight w:val="180"/>
        </w:trPr>
        <w:tc>
          <w:tcPr>
            <w:tcW w:w="20" w:type="dxa"/>
            <w:vAlign w:val="bottom"/>
          </w:tcPr>
          <w:p>
            <w:pPr>
              <w:spacing w:after="0"/>
              <w:rPr>
                <w:sz w:val="15"/>
                <w:szCs w:val="15"/>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301,729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340,211</w:t>
            </w:r>
          </w:p>
        </w:tc>
      </w:tr>
      <w:tr>
        <w:trPr>
          <w:trHeight w:val="180"/>
        </w:trPr>
        <w:tc>
          <w:tcPr>
            <w:tcW w:w="2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8,265</w:t>
            </w:r>
          </w:p>
        </w:tc>
      </w:tr>
      <w:tr>
        <w:trPr>
          <w:trHeight w:val="180"/>
        </w:trPr>
        <w:tc>
          <w:tcPr>
            <w:tcW w:w="20" w:type="dxa"/>
            <w:vAlign w:val="bottom"/>
          </w:tcPr>
          <w:p>
            <w:pPr>
              <w:spacing w:after="0"/>
              <w:rPr>
                <w:sz w:val="15"/>
                <w:szCs w:val="15"/>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10,353</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9,256</w:t>
            </w:r>
          </w:p>
        </w:tc>
      </w:tr>
      <w:tr>
        <w:trPr>
          <w:trHeight w:val="171"/>
        </w:trPr>
        <w:tc>
          <w:tcPr>
            <w:tcW w:w="20" w:type="dxa"/>
            <w:vAlign w:val="bottom"/>
          </w:tcPr>
          <w:p>
            <w:pPr>
              <w:spacing w:after="0"/>
              <w:rPr>
                <w:sz w:val="14"/>
                <w:szCs w:val="14"/>
                <w:color w:val="auto"/>
              </w:rPr>
            </w:pPr>
          </w:p>
        </w:tc>
        <w:tc>
          <w:tcPr>
            <w:tcW w:w="73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1,349,749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1,351,942</w:t>
            </w: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Redeemable Senior Preferred Stock and Stockholders' Deficit</w:t>
            </w:r>
          </w:p>
        </w:tc>
        <w:tc>
          <w:tcPr>
            <w:tcW w:w="2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42,523</w:t>
            </w:r>
          </w:p>
        </w:tc>
      </w:tr>
      <w:tr>
        <w:trPr>
          <w:trHeight w:val="180"/>
        </w:trPr>
        <w:tc>
          <w:tcPr>
            <w:tcW w:w="2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Accrued residual commissions</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32,593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29,532</w:t>
            </w:r>
          </w:p>
        </w:tc>
      </w:tr>
      <w:tr>
        <w:trPr>
          <w:trHeight w:val="180"/>
        </w:trPr>
        <w:tc>
          <w:tcPr>
            <w:tcW w:w="2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Customer deposits and advance payments</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5,021</w:t>
            </w:r>
          </w:p>
        </w:tc>
      </w:tr>
      <w:tr>
        <w:trPr>
          <w:trHeight w:val="180"/>
        </w:trPr>
        <w:tc>
          <w:tcPr>
            <w:tcW w:w="2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w:t>
            </w:r>
          </w:p>
        </w:tc>
      </w:tr>
      <w:tr>
        <w:trPr>
          <w:trHeight w:val="180"/>
        </w:trPr>
        <w:tc>
          <w:tcPr>
            <w:tcW w:w="2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Settlement and customer account obligations</w:t>
            </w:r>
          </w:p>
        </w:tc>
        <w:tc>
          <w:tcPr>
            <w:tcW w:w="2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517,008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500,291</w:t>
            </w:r>
          </w:p>
        </w:tc>
      </w:tr>
      <w:tr>
        <w:trPr>
          <w:trHeight w:val="171"/>
        </w:trPr>
        <w:tc>
          <w:tcPr>
            <w:tcW w:w="20" w:type="dxa"/>
            <w:vAlign w:val="bottom"/>
          </w:tcPr>
          <w:p>
            <w:pPr>
              <w:spacing w:after="0"/>
              <w:rPr>
                <w:sz w:val="14"/>
                <w:szCs w:val="14"/>
                <w:color w:val="auto"/>
              </w:rPr>
            </w:pPr>
          </w:p>
        </w:tc>
        <w:tc>
          <w:tcPr>
            <w:tcW w:w="732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609,867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583,567</w:t>
            </w:r>
          </w:p>
        </w:tc>
      </w:tr>
      <w:tr>
        <w:trPr>
          <w:trHeight w:val="180"/>
        </w:trPr>
        <w:tc>
          <w:tcPr>
            <w:tcW w:w="20" w:type="dxa"/>
            <w:vAlign w:val="bottom"/>
          </w:tcPr>
          <w:p>
            <w:pPr>
              <w:spacing w:after="0"/>
              <w:rPr>
                <w:sz w:val="15"/>
                <w:szCs w:val="15"/>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net of current portion, discounts and debt issuance costs</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593,068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604,105</w:t>
            </w:r>
          </w:p>
        </w:tc>
      </w:tr>
      <w:tr>
        <w:trPr>
          <w:trHeight w:val="180"/>
        </w:trPr>
        <w:tc>
          <w:tcPr>
            <w:tcW w:w="20" w:type="dxa"/>
            <w:vAlign w:val="bottom"/>
          </w:tcPr>
          <w:p>
            <w:pPr>
              <w:spacing w:after="0"/>
              <w:rPr>
                <w:sz w:val="15"/>
                <w:szCs w:val="15"/>
                <w:color w:val="auto"/>
              </w:rPr>
            </w:pPr>
          </w:p>
        </w:tc>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13,583</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18,349</w:t>
            </w:r>
          </w:p>
        </w:tc>
      </w:tr>
      <w:tr>
        <w:trPr>
          <w:trHeight w:val="171"/>
        </w:trPr>
        <w:tc>
          <w:tcPr>
            <w:tcW w:w="20" w:type="dxa"/>
            <w:vAlign w:val="bottom"/>
          </w:tcPr>
          <w:p>
            <w:pPr>
              <w:spacing w:after="0"/>
              <w:rPr>
                <w:sz w:val="14"/>
                <w:szCs w:val="14"/>
                <w:color w:val="auto"/>
              </w:rPr>
            </w:pPr>
          </w:p>
        </w:tc>
        <w:tc>
          <w:tcPr>
            <w:tcW w:w="73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606,651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622,454</w:t>
            </w:r>
          </w:p>
        </w:tc>
      </w:tr>
      <w:tr>
        <w:trPr>
          <w:trHeight w:val="171"/>
        </w:trPr>
        <w:tc>
          <w:tcPr>
            <w:tcW w:w="20" w:type="dxa"/>
            <w:vAlign w:val="bottom"/>
          </w:tcPr>
          <w:p>
            <w:pPr>
              <w:spacing w:after="0"/>
              <w:rPr>
                <w:sz w:val="14"/>
                <w:szCs w:val="14"/>
                <w:color w:val="auto"/>
              </w:rPr>
            </w:pPr>
          </w:p>
        </w:tc>
        <w:tc>
          <w:tcPr>
            <w:tcW w:w="732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1,216,518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1,206,021</w:t>
            </w:r>
          </w:p>
        </w:tc>
      </w:tr>
      <w:tr>
        <w:trPr>
          <w:trHeight w:val="160"/>
        </w:trPr>
        <w:tc>
          <w:tcPr>
            <w:tcW w:w="20" w:type="dxa"/>
            <w:vAlign w:val="bottom"/>
          </w:tcPr>
          <w:p>
            <w:pPr>
              <w:spacing w:after="0"/>
              <w:rPr>
                <w:sz w:val="13"/>
                <w:szCs w:val="13"/>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2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732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color w:val="auto"/>
              </w:rPr>
              <w:t>Redeemable senior preferred stock, $0.001 par value; 250,000 shares authorized; 225,000 issued and outstanding at</w:t>
            </w: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91"/>
        </w:trPr>
        <w:tc>
          <w:tcPr>
            <w:tcW w:w="20" w:type="dxa"/>
            <w:vAlign w:val="bottom"/>
          </w:tcPr>
          <w:p>
            <w:pPr>
              <w:spacing w:after="0"/>
              <w:rPr>
                <w:sz w:val="16"/>
                <w:szCs w:val="16"/>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30, 2022 and December 31, 2021</w:t>
            </w:r>
          </w:p>
        </w:tc>
        <w:tc>
          <w:tcPr>
            <w:tcW w:w="2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210,158</w:t>
            </w:r>
          </w:p>
        </w:tc>
      </w:tr>
      <w:tr>
        <w:trPr>
          <w:trHeight w:val="181"/>
        </w:trPr>
        <w:tc>
          <w:tcPr>
            <w:tcW w:w="20" w:type="dxa"/>
            <w:vAlign w:val="bottom"/>
          </w:tcPr>
          <w:p>
            <w:pPr>
              <w:spacing w:after="0"/>
              <w:rPr>
                <w:sz w:val="15"/>
                <w:szCs w:val="15"/>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deficit:</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38"/>
        </w:trPr>
        <w:tc>
          <w:tcPr>
            <w:tcW w:w="20" w:type="dxa"/>
            <w:vAlign w:val="bottom"/>
          </w:tcPr>
          <w:p>
            <w:pPr>
              <w:spacing w:after="0"/>
              <w:rPr>
                <w:sz w:val="11"/>
                <w:szCs w:val="11"/>
                <w:color w:val="auto"/>
              </w:rPr>
            </w:pPr>
          </w:p>
        </w:tc>
        <w:tc>
          <w:tcPr>
            <w:tcW w:w="732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4"/>
                <w:szCs w:val="14"/>
                <w:color w:val="auto"/>
              </w:rPr>
              <w:t>Preferred stock, $0.001; 100,000,000 shares authorized; none issued or outstanding at September 30, 2022 and December 31,</w:t>
            </w: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91"/>
        </w:trPr>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2021</w:t>
            </w:r>
          </w:p>
        </w:tc>
        <w:tc>
          <w:tcPr>
            <w:tcW w:w="6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8"/>
        </w:trPr>
        <w:tc>
          <w:tcPr>
            <w:tcW w:w="20" w:type="dxa"/>
            <w:vAlign w:val="bottom"/>
          </w:tcPr>
          <w:p>
            <w:pPr>
              <w:spacing w:after="0"/>
              <w:rPr>
                <w:sz w:val="12"/>
                <w:szCs w:val="12"/>
                <w:color w:val="auto"/>
              </w:rPr>
            </w:pPr>
          </w:p>
        </w:tc>
        <w:tc>
          <w:tcPr>
            <w:tcW w:w="732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Common stock, $0.001 par value; 1,000,000,000 shares authorized; 77,789,291 and 77,460,312 shares issued at September 30,</w:t>
            </w:r>
          </w:p>
        </w:tc>
        <w:tc>
          <w:tcPr>
            <w:tcW w:w="2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320" w:type="dxa"/>
            <w:vAlign w:val="bottom"/>
            <w:gridSpan w:val="2"/>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2022 and December 31, 2021, respectively; and 75,981,186 and 76,739,896 shares outstanding at September 30, 2022 and</w:t>
            </w:r>
          </w:p>
        </w:tc>
        <w:tc>
          <w:tcPr>
            <w:tcW w:w="24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191"/>
        </w:trPr>
        <w:tc>
          <w:tcPr>
            <w:tcW w:w="20" w:type="dxa"/>
            <w:vAlign w:val="bottom"/>
          </w:tcPr>
          <w:p>
            <w:pPr>
              <w:spacing w:after="0"/>
              <w:rPr>
                <w:sz w:val="16"/>
                <w:szCs w:val="16"/>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December 31, 2021, respectively</w:t>
            </w: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80"/>
        </w:trPr>
        <w:tc>
          <w:tcPr>
            <w:tcW w:w="20" w:type="dxa"/>
            <w:vAlign w:val="bottom"/>
          </w:tcPr>
          <w:p>
            <w:pPr>
              <w:spacing w:after="0"/>
              <w:rPr>
                <w:sz w:val="15"/>
                <w:szCs w:val="15"/>
                <w:color w:val="auto"/>
              </w:rPr>
            </w:pPr>
          </w:p>
        </w:tc>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39,835</w:t>
            </w:r>
          </w:p>
        </w:tc>
      </w:tr>
      <w:tr>
        <w:trPr>
          <w:trHeight w:val="180"/>
        </w:trPr>
        <w:tc>
          <w:tcPr>
            <w:tcW w:w="20" w:type="dxa"/>
            <w:vAlign w:val="bottom"/>
          </w:tcPr>
          <w:p>
            <w:pPr>
              <w:spacing w:after="0"/>
              <w:rPr>
                <w:sz w:val="15"/>
                <w:szCs w:val="15"/>
                <w:color w:val="auto"/>
              </w:rPr>
            </w:pP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Treasury stock at cost, 1,808,105 and 720,416 shares at September 30, 2022 and December 31, 2021, respectively</w:t>
            </w:r>
          </w:p>
        </w:tc>
        <w:tc>
          <w:tcPr>
            <w:tcW w:w="2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w:t>
            </w:r>
          </w:p>
        </w:tc>
      </w:tr>
      <w:tr>
        <w:trPr>
          <w:trHeight w:val="180"/>
        </w:trPr>
        <w:tc>
          <w:tcPr>
            <w:tcW w:w="20" w:type="dxa"/>
            <w:vAlign w:val="bottom"/>
          </w:tcPr>
          <w:p>
            <w:pPr>
              <w:spacing w:after="0"/>
              <w:rPr>
                <w:sz w:val="15"/>
                <w:szCs w:val="15"/>
                <w:color w:val="auto"/>
              </w:rPr>
            </w:pPr>
          </w:p>
        </w:tc>
        <w:tc>
          <w:tcPr>
            <w:tcW w:w="73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(100,896)</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(100,058)</w:t>
            </w:r>
          </w:p>
        </w:tc>
      </w:tr>
      <w:tr>
        <w:trPr>
          <w:trHeight w:val="171"/>
        </w:trPr>
        <w:tc>
          <w:tcPr>
            <w:tcW w:w="20" w:type="dxa"/>
            <w:vAlign w:val="bottom"/>
          </w:tcPr>
          <w:p>
            <w:pPr>
              <w:spacing w:after="0"/>
              <w:rPr>
                <w:sz w:val="14"/>
                <w:szCs w:val="14"/>
                <w:color w:val="auto"/>
              </w:rPr>
            </w:pPr>
          </w:p>
        </w:tc>
        <w:tc>
          <w:tcPr>
            <w:tcW w:w="7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Total stockholders' deficit</w:t>
            </w:r>
          </w:p>
        </w:tc>
        <w:tc>
          <w:tcPr>
            <w:tcW w:w="24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(91,864)</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(64,237)</w:t>
            </w:r>
          </w:p>
        </w:tc>
      </w:tr>
      <w:tr>
        <w:trPr>
          <w:trHeight w:val="171"/>
        </w:trPr>
        <w:tc>
          <w:tcPr>
            <w:tcW w:w="20" w:type="dxa"/>
            <w:vAlign w:val="bottom"/>
          </w:tcPr>
          <w:p>
            <w:pPr>
              <w:spacing w:after="0"/>
              <w:rPr>
                <w:sz w:val="14"/>
                <w:szCs w:val="14"/>
                <w:color w:val="auto"/>
              </w:rPr>
            </w:pPr>
          </w:p>
        </w:tc>
        <w:tc>
          <w:tcPr>
            <w:tcW w:w="73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 liabilities, redeemable senior preferred stock and stockholders' deficit</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1,349,749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1,351,942</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r>
        <w:rPr>
          <w:rFonts w:ascii="Times New Roman" w:cs="Times New Roman" w:eastAsia="Times New Roman" w:hAnsi="Times New Roman"/>
          <w:sz w:val="14"/>
          <w:szCs w:val="14"/>
          <w:color w:val="auto"/>
        </w:rPr>
        <w: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00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40" w:type="dxa"/>
            <w:vAlign w:val="bottom"/>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526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242424"/>
              </w:rPr>
              <w:t>2022</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166,417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132,542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486,086</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370,853</w:t>
            </w:r>
          </w:p>
        </w:tc>
      </w:tr>
      <w:tr>
        <w:trPr>
          <w:trHeight w:val="160"/>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0"/>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revenue (excludes depreciation and amortization)</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107,958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92,833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320,187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264,527</w:t>
            </w:r>
          </w:p>
        </w:tc>
      </w:tr>
      <w:tr>
        <w:trPr>
          <w:trHeight w:val="180"/>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Salary and employee benefits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48,231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31,808</w:t>
            </w:r>
          </w:p>
        </w:tc>
      </w:tr>
      <w:tr>
        <w:trPr>
          <w:trHeight w:val="180"/>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32,123</w:t>
            </w:r>
          </w:p>
        </w:tc>
      </w:tr>
      <w:tr>
        <w:trPr>
          <w:trHeight w:val="180"/>
        </w:trPr>
        <w:tc>
          <w:tcPr>
            <w:tcW w:w="5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10,178</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27,027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22,213</w:t>
            </w:r>
          </w:p>
        </w:tc>
      </w:tr>
      <w:tr>
        <w:trPr>
          <w:trHeight w:val="171"/>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152,337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124,292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448,120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350,671</w:t>
            </w:r>
          </w:p>
        </w:tc>
      </w:tr>
      <w:tr>
        <w:trPr>
          <w:trHeight w:val="171"/>
        </w:trPr>
        <w:tc>
          <w:tcPr>
            <w:tcW w:w="5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14,080</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37,966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20,182</w:t>
            </w:r>
          </w:p>
        </w:tc>
      </w:tr>
      <w:tr>
        <w:trPr>
          <w:trHeight w:val="16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0"/>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(37,282)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(24,608)</w:t>
            </w:r>
          </w:p>
        </w:tc>
      </w:tr>
      <w:tr>
        <w:trPr>
          <w:trHeight w:val="180"/>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extinguishment and modification costs</w:t>
            </w:r>
          </w:p>
        </w:tc>
        <w:tc>
          <w:tcPr>
            <w:tcW w:w="8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(8,322)</w:t>
            </w:r>
          </w:p>
        </w:tc>
      </w:tr>
      <w:tr>
        <w:trPr>
          <w:trHeight w:val="180"/>
        </w:trPr>
        <w:tc>
          <w:tcPr>
            <w:tcW w:w="5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71"/>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other expense, net</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(32,838)</w:t>
            </w:r>
          </w:p>
        </w:tc>
      </w:tr>
      <w:tr>
        <w:trPr>
          <w:trHeight w:val="171"/>
        </w:trPr>
        <w:tc>
          <w:tcPr>
            <w:tcW w:w="526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(12,656)</w:t>
            </w:r>
          </w:p>
        </w:tc>
      </w:tr>
      <w:tr>
        <w:trPr>
          <w:trHeight w:val="18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71"/>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(12,705)</w:t>
            </w:r>
          </w:p>
        </w:tc>
      </w:tr>
      <w:tr>
        <w:trPr>
          <w:trHeight w:val="180"/>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Dividends and accretion attributable to redeemable senior preferred stockholders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(9,724)</w:t>
            </w:r>
          </w:p>
        </w:tc>
      </w:tr>
      <w:tr>
        <w:trPr>
          <w:trHeight w:val="180"/>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NCI preferred unit redemptions</w:t>
            </w:r>
          </w:p>
        </w:tc>
        <w:tc>
          <w:tcPr>
            <w:tcW w:w="8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(10,777)</w:t>
            </w:r>
          </w:p>
        </w:tc>
      </w:tr>
      <w:tr>
        <w:trPr>
          <w:trHeight w:val="196"/>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attributable to common stockholders</w:t>
            </w:r>
          </w:p>
        </w:tc>
        <w:tc>
          <w:tcPr>
            <w:tcW w:w="880" w:type="dxa"/>
            <w:vAlign w:val="bottom"/>
            <w:tcBorders>
              <w:top w:val="single" w:sz="8" w:color="auto"/>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(27,253)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(33,206)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Loss per common share:</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0"/>
        </w:trPr>
        <w:tc>
          <w:tcPr>
            <w:tcW w:w="5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Basic and diluted</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(0.48)</w:t>
            </w:r>
          </w:p>
        </w:tc>
      </w:tr>
      <w:tr>
        <w:trPr>
          <w:trHeight w:val="202"/>
        </w:trPr>
        <w:tc>
          <w:tcPr>
            <w:tcW w:w="5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0"/>
        </w:trPr>
        <w:tc>
          <w:tcPr>
            <w:tcW w:w="5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Weighted-average common shares outstanding:</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0"/>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 and diluted</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77,984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71,979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78,392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69,689</w:t>
            </w: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r>
        <w:rPr>
          <w:rFonts w:ascii="Times New Roman" w:cs="Times New Roman" w:eastAsia="Times New Roman" w:hAnsi="Times New Roman"/>
          <w:sz w:val="14"/>
          <w:szCs w:val="14"/>
          <w:color w:val="auto"/>
        </w:rPr>
        <w: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160" w:type="dxa"/>
            <w:vAlign w:val="bottom"/>
            <w:gridSpan w:val="2"/>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640" w:type="dxa"/>
            <w:vAlign w:val="bottom"/>
          </w:tcPr>
          <w:p>
            <w:pPr>
              <w:spacing w:after="0"/>
              <w:rPr>
                <w:sz w:val="12"/>
                <w:szCs w:val="12"/>
                <w:color w:val="auto"/>
              </w:rPr>
            </w:pPr>
          </w:p>
        </w:tc>
        <w:tc>
          <w:tcPr>
            <w:tcW w:w="1060" w:type="dxa"/>
            <w:vAlign w:val="bottom"/>
            <w:gridSpan w:val="2"/>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0"/>
        </w:trPr>
        <w:tc>
          <w:tcPr>
            <w:tcW w:w="424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560" w:type="dxa"/>
            <w:vAlign w:val="bottom"/>
            <w:tcBorders>
              <w:bottom w:val="single" w:sz="8" w:color="auto"/>
            </w:tcBorders>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Additional Paid-In</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Deficit Attributable to</w:t>
            </w:r>
          </w:p>
        </w:tc>
      </w:tr>
      <w:tr>
        <w:trPr>
          <w:trHeight w:val="159"/>
        </w:trPr>
        <w:tc>
          <w:tcPr>
            <w:tcW w:w="42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 Deficit</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7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76,740</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(4,091)</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39,835</w:t>
            </w: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(100,058)</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(64,237)</w:t>
            </w:r>
          </w:p>
        </w:tc>
      </w:tr>
      <w:tr>
        <w:trPr>
          <w:trHeight w:val="18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Equity-classified 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w:t>
            </w: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Vesting of stock-based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 repurchases and shares withheld for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20" w:type="dxa"/>
            <w:vAlign w:val="bottom"/>
          </w:tcPr>
          <w:p>
            <w:pPr>
              <w:spacing w:after="0"/>
              <w:rPr>
                <w:sz w:val="15"/>
                <w:szCs w:val="15"/>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Dividends on redeemable senior preferred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(7,595)</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(7,595)</w:t>
            </w:r>
          </w:p>
        </w:tc>
      </w:tr>
      <w:tr>
        <w:trPr>
          <w:trHeight w:val="18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Accretion of redeemable senior preferred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171"/>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76,842</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78</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(4,248)</w:t>
            </w: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32,992</w:t>
            </w:r>
          </w:p>
        </w:tc>
        <w:tc>
          <w:tcPr>
            <w:tcW w:w="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(100,391)</w:t>
            </w: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(71,569)</w:t>
            </w:r>
          </w:p>
        </w:tc>
      </w:tr>
      <w:tr>
        <w:trPr>
          <w:trHeight w:val="171"/>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Equity-classified stock-based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w:t>
            </w:r>
          </w:p>
        </w:tc>
      </w:tr>
      <w:tr>
        <w:trPr>
          <w:trHeight w:val="18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ESPP compensation and vesting of 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320" w:type="dxa"/>
            <w:vAlign w:val="bottom"/>
          </w:tcPr>
          <w:p>
            <w:pPr>
              <w:spacing w:after="0"/>
              <w:rPr>
                <w:sz w:val="15"/>
                <w:szCs w:val="15"/>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Share repurchases and shares withheld for taxes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w:t>
            </w:r>
          </w:p>
        </w:tc>
      </w:tr>
      <w:tr>
        <w:trPr>
          <w:trHeight w:val="18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Dividends on redeemable senior preferred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(7,732)</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(7,732)</w:t>
            </w: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Accretion of redeemable senior preferred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r>
      <w:tr>
        <w:trPr>
          <w:trHeight w:val="180"/>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17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76,568</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(6,170)</w:t>
            </w: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26,042</w:t>
            </w: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(100,104)</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(80,154)</w:t>
            </w:r>
          </w:p>
        </w:tc>
      </w:tr>
      <w:tr>
        <w:trPr>
          <w:trHeight w:val="171"/>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Equity-classified 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4"/>
                <w:szCs w:val="14"/>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ESPP compensation and vesting of stock-based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 repurchases and shares withheld for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320" w:type="dxa"/>
            <w:vAlign w:val="bottom"/>
          </w:tcPr>
          <w:p>
            <w:pPr>
              <w:spacing w:after="0"/>
              <w:rPr>
                <w:sz w:val="15"/>
                <w:szCs w:val="15"/>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w:t>
            </w: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Dividends on redeemable senior preferred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(8,636)</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(8,636)</w:t>
            </w:r>
          </w:p>
        </w:tc>
      </w:tr>
      <w:tr>
        <w:trPr>
          <w:trHeight w:val="18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Accretion of redeemable senior preferred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w:t>
            </w: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75,981</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78</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(8,765)</w:t>
            </w: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17,719</w:t>
            </w:r>
          </w:p>
        </w:tc>
        <w:tc>
          <w:tcPr>
            <w:tcW w:w="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(100,896)</w:t>
            </w: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(91,864)</w:t>
            </w:r>
          </w:p>
        </w:tc>
      </w:tr>
      <w:tr>
        <w:trPr>
          <w:trHeight w:val="20"/>
        </w:trPr>
        <w:tc>
          <w:tcPr>
            <w:tcW w:w="4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2"/>
                <w:szCs w:val="12"/>
                <w:color w:val="auto"/>
              </w:rPr>
            </w:pPr>
          </w:p>
        </w:tc>
        <w:tc>
          <w:tcPr>
            <w:tcW w:w="1400" w:type="dxa"/>
            <w:vAlign w:val="bottom"/>
            <w:gridSpan w:val="2"/>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400" w:type="dxa"/>
            <w:vAlign w:val="bottom"/>
          </w:tcPr>
          <w:p>
            <w:pPr>
              <w:spacing w:after="0"/>
              <w:rPr>
                <w:sz w:val="12"/>
                <w:szCs w:val="12"/>
                <w:color w:val="auto"/>
              </w:rPr>
            </w:pPr>
          </w:p>
        </w:tc>
        <w:tc>
          <w:tcPr>
            <w:tcW w:w="1060" w:type="dxa"/>
            <w:vAlign w:val="bottom"/>
            <w:gridSpan w:val="2"/>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240" w:type="dxa"/>
            <w:vAlign w:val="bottom"/>
          </w:tcPr>
          <w:p>
            <w:pPr>
              <w:spacing w:after="0"/>
              <w:rPr>
                <w:sz w:val="14"/>
                <w:szCs w:val="14"/>
                <w:color w:val="auto"/>
              </w:rPr>
            </w:pPr>
          </w:p>
        </w:tc>
        <w:tc>
          <w:tcPr>
            <w:tcW w:w="1400" w:type="dxa"/>
            <w:vAlign w:val="bottom"/>
            <w:tcBorders>
              <w:bottom w:val="single" w:sz="8" w:color="auto"/>
            </w:tcBorders>
            <w:gridSpan w:val="2"/>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Stock</w:t>
            </w: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560" w:type="dxa"/>
            <w:vAlign w:val="bottom"/>
            <w:tcBorders>
              <w:bottom w:val="single" w:sz="8" w:color="auto"/>
            </w:tcBorders>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Additional Paid-In</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Deficit Attributable to</w:t>
            </w:r>
          </w:p>
        </w:tc>
        <w:tc>
          <w:tcPr>
            <w:tcW w:w="0" w:type="dxa"/>
            <w:vAlign w:val="bottom"/>
          </w:tcPr>
          <w:p>
            <w:pPr>
              <w:spacing w:after="0"/>
              <w:rPr>
                <w:sz w:val="1"/>
                <w:szCs w:val="1"/>
                <w:color w:val="auto"/>
              </w:rPr>
            </w:pPr>
          </w:p>
        </w:tc>
      </w:tr>
      <w:tr>
        <w:trPr>
          <w:trHeight w:val="159"/>
        </w:trPr>
        <w:tc>
          <w:tcPr>
            <w:tcW w:w="42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 Deficit</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67,391</w:t>
            </w:r>
          </w:p>
        </w:tc>
        <w:tc>
          <w:tcPr>
            <w:tcW w:w="56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(2,388)</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5,769</w:t>
            </w:r>
          </w:p>
        </w:tc>
        <w:tc>
          <w:tcPr>
            <w:tcW w:w="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(102,013)</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(98,564)</w:t>
            </w:r>
          </w:p>
        </w:tc>
        <w:tc>
          <w:tcPr>
            <w:tcW w:w="0" w:type="dxa"/>
            <w:vAlign w:val="bottom"/>
          </w:tcPr>
          <w:p>
            <w:pPr>
              <w:spacing w:after="0"/>
              <w:rPr>
                <w:sz w:val="1"/>
                <w:szCs w:val="1"/>
                <w:color w:val="auto"/>
              </w:rPr>
            </w:pPr>
          </w:p>
        </w:tc>
      </w:tr>
      <w:tr>
        <w:trPr>
          <w:trHeight w:val="18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Equity-classified 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Vesting of stock-based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424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Liability-classified stock-based compensation converted to equity-</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1"/>
                <w:szCs w:val="11"/>
                <w:color w:val="auto"/>
              </w:rPr>
            </w:pPr>
          </w:p>
        </w:tc>
        <w:tc>
          <w:tcPr>
            <w:tcW w:w="4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1"/>
                <w:szCs w:val="11"/>
                <w:color w:val="auto"/>
              </w:rPr>
            </w:pP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3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16"/>
        </w:trPr>
        <w:tc>
          <w:tcPr>
            <w:tcW w:w="42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classified</w:t>
            </w:r>
          </w:p>
        </w:tc>
        <w:tc>
          <w:tcPr>
            <w:tcW w:w="8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24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80"/>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w:t>
            </w:r>
          </w:p>
        </w:tc>
        <w:tc>
          <w:tcPr>
            <w:tcW w:w="0" w:type="dxa"/>
            <w:vAlign w:val="bottom"/>
          </w:tcPr>
          <w:p>
            <w:pPr>
              <w:spacing w:after="0"/>
              <w:rPr>
                <w:sz w:val="1"/>
                <w:szCs w:val="1"/>
                <w:color w:val="auto"/>
              </w:rPr>
            </w:pPr>
          </w:p>
        </w:tc>
      </w:tr>
      <w:tr>
        <w:trPr>
          <w:trHeight w:val="17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67,640</w:t>
            </w:r>
          </w:p>
        </w:tc>
        <w:tc>
          <w:tcPr>
            <w:tcW w:w="56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(2,388)</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7,257</w:t>
            </w:r>
          </w:p>
        </w:tc>
        <w:tc>
          <w:tcPr>
            <w:tcW w:w="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(104,692)</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(99,755)</w:t>
            </w:r>
          </w:p>
        </w:tc>
        <w:tc>
          <w:tcPr>
            <w:tcW w:w="0" w:type="dxa"/>
            <w:vAlign w:val="bottom"/>
          </w:tcPr>
          <w:p>
            <w:pPr>
              <w:spacing w:after="0"/>
              <w:rPr>
                <w:sz w:val="1"/>
                <w:szCs w:val="1"/>
                <w:color w:val="auto"/>
              </w:rPr>
            </w:pPr>
          </w:p>
        </w:tc>
      </w:tr>
      <w:tr>
        <w:trPr>
          <w:trHeight w:val="18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Equity-classified 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Vesting of stock-based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560" w:type="dxa"/>
            <w:vAlign w:val="bottom"/>
          </w:tcPr>
          <w:p>
            <w:pPr>
              <w:spacing w:after="0"/>
              <w:rPr>
                <w:sz w:val="15"/>
                <w:szCs w:val="15"/>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Dividends on redeemable senior preferred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0" w:type="dxa"/>
            <w:vAlign w:val="bottom"/>
          </w:tcPr>
          <w:p>
            <w:pPr>
              <w:spacing w:after="0"/>
              <w:rPr>
                <w:sz w:val="1"/>
                <w:szCs w:val="1"/>
                <w:color w:val="auto"/>
              </w:rPr>
            </w:pPr>
          </w:p>
        </w:tc>
      </w:tr>
      <w:tr>
        <w:trPr>
          <w:trHeight w:val="18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Accretion of redeemable senior preferred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Fair value of warrants issued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11,357</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11,357</w:t>
            </w:r>
          </w:p>
        </w:tc>
        <w:tc>
          <w:tcPr>
            <w:tcW w:w="0" w:type="dxa"/>
            <w:vAlign w:val="bottom"/>
          </w:tcPr>
          <w:p>
            <w:pPr>
              <w:spacing w:after="0"/>
              <w:rPr>
                <w:sz w:val="1"/>
                <w:szCs w:val="1"/>
                <w:color w:val="auto"/>
              </w:rPr>
            </w:pPr>
          </w:p>
        </w:tc>
      </w:tr>
      <w:tr>
        <w:trPr>
          <w:trHeight w:val="18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Fair value of PHOT preferred units redemption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(10,777)</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(10,777)</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Fair value of common shares issued for PHOT redemption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9,962</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9,964</w:t>
            </w:r>
          </w:p>
        </w:tc>
        <w:tc>
          <w:tcPr>
            <w:tcW w:w="0" w:type="dxa"/>
            <w:vAlign w:val="bottom"/>
          </w:tcPr>
          <w:p>
            <w:pPr>
              <w:spacing w:after="0"/>
              <w:rPr>
                <w:sz w:val="1"/>
                <w:szCs w:val="1"/>
                <w:color w:val="auto"/>
              </w:rPr>
            </w:pPr>
          </w:p>
        </w:tc>
      </w:tr>
      <w:tr>
        <w:trPr>
          <w:trHeight w:val="180"/>
        </w:trPr>
        <w:tc>
          <w:tcPr>
            <w:tcW w:w="4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(9,477)</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(9,477)</w:t>
            </w:r>
          </w:p>
        </w:tc>
        <w:tc>
          <w:tcPr>
            <w:tcW w:w="0" w:type="dxa"/>
            <w:vAlign w:val="bottom"/>
          </w:tcPr>
          <w:p>
            <w:pPr>
              <w:spacing w:after="0"/>
              <w:rPr>
                <w:sz w:val="1"/>
                <w:szCs w:val="1"/>
                <w:color w:val="auto"/>
              </w:rPr>
            </w:pPr>
          </w:p>
        </w:tc>
      </w:tr>
      <w:tr>
        <w:trPr>
          <w:trHeight w:val="17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69,110</w:t>
            </w:r>
          </w:p>
        </w:tc>
        <w:tc>
          <w:tcPr>
            <w:tcW w:w="56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(2,388)</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14,913</w:t>
            </w:r>
          </w:p>
        </w:tc>
        <w:tc>
          <w:tcPr>
            <w:tcW w:w="36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(114,169)</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(101,574)</w:t>
            </w:r>
          </w:p>
        </w:tc>
        <w:tc>
          <w:tcPr>
            <w:tcW w:w="0" w:type="dxa"/>
            <w:vAlign w:val="bottom"/>
          </w:tcPr>
          <w:p>
            <w:pPr>
              <w:spacing w:after="0"/>
              <w:rPr>
                <w:sz w:val="1"/>
                <w:szCs w:val="1"/>
                <w:color w:val="auto"/>
              </w:rPr>
            </w:pPr>
          </w:p>
        </w:tc>
      </w:tr>
      <w:tr>
        <w:trPr>
          <w:trHeight w:val="18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Equity-classified 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Vesting of stock-based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acquisition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7,551</w:t>
            </w:r>
          </w:p>
        </w:tc>
        <w:tc>
          <w:tcPr>
            <w:tcW w:w="560" w:type="dxa"/>
            <w:vAlign w:val="bottom"/>
          </w:tcPr>
          <w:p>
            <w:pPr>
              <w:spacing w:after="0"/>
              <w:rPr>
                <w:sz w:val="15"/>
                <w:szCs w:val="15"/>
                <w:color w:val="auto"/>
              </w:rPr>
            </w:pPr>
          </w:p>
        </w:tc>
        <w:tc>
          <w:tcPr>
            <w:tcW w:w="4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34,381</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34,388</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8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 repurchases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560" w:type="dxa"/>
            <w:vAlign w:val="bottom"/>
          </w:tcPr>
          <w:p>
            <w:pPr>
              <w:spacing w:after="0"/>
              <w:rPr>
                <w:sz w:val="15"/>
                <w:szCs w:val="15"/>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340" w:type="dxa"/>
            <w:vAlign w:val="bottom"/>
          </w:tcPr>
          <w:p>
            <w:pPr>
              <w:spacing w:after="0"/>
              <w:rPr>
                <w:sz w:val="15"/>
                <w:szCs w:val="15"/>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(1,023)</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Dividends on redeemable senior preferred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(5,286)</w:t>
            </w: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(5,286)</w:t>
            </w:r>
          </w:p>
        </w:tc>
        <w:tc>
          <w:tcPr>
            <w:tcW w:w="0" w:type="dxa"/>
            <w:vAlign w:val="bottom"/>
          </w:tcPr>
          <w:p>
            <w:pPr>
              <w:spacing w:after="0"/>
              <w:rPr>
                <w:sz w:val="1"/>
                <w:szCs w:val="1"/>
                <w:color w:val="auto"/>
              </w:rPr>
            </w:pPr>
          </w:p>
        </w:tc>
      </w:tr>
      <w:tr>
        <w:trPr>
          <w:trHeight w:val="180"/>
        </w:trPr>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Accretion of redeemable senior preferred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c>
          <w:tcPr>
            <w:tcW w:w="4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3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0" w:type="dxa"/>
            <w:vAlign w:val="bottom"/>
          </w:tcPr>
          <w:p>
            <w:pPr>
              <w:spacing w:after="0"/>
              <w:rPr>
                <w:sz w:val="1"/>
                <w:szCs w:val="1"/>
                <w:color w:val="auto"/>
              </w:rPr>
            </w:pPr>
          </w:p>
        </w:tc>
      </w:tr>
      <w:tr>
        <w:trPr>
          <w:trHeight w:val="17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76,571</w:t>
            </w:r>
          </w:p>
        </w:tc>
        <w:tc>
          <w:tcPr>
            <w:tcW w:w="5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77</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(3,411)</w:t>
            </w: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44,640</w:t>
            </w:r>
          </w:p>
        </w:tc>
        <w:tc>
          <w:tcPr>
            <w:tcW w:w="3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(114,718)</w:t>
            </w: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(73,412)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r>
        <w:rPr>
          <w:rFonts w:ascii="Times New Roman" w:cs="Times New Roman" w:eastAsia="Times New Roman" w:hAnsi="Times New Roman"/>
          <w:sz w:val="14"/>
          <w:szCs w:val="14"/>
          <w:color w:val="auto"/>
        </w:rPr>
        <w: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84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r>
      <w:tr>
        <w:trPr>
          <w:trHeight w:val="171"/>
        </w:trPr>
        <w:tc>
          <w:tcPr>
            <w:tcW w:w="78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r>
      <w:tr>
        <w:trPr>
          <w:trHeight w:val="16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80" w:type="dxa"/>
            <w:vAlign w:val="bottom"/>
          </w:tcPr>
          <w:p>
            <w:pPr>
              <w:spacing w:after="0"/>
              <w:rPr>
                <w:sz w:val="15"/>
                <w:szCs w:val="15"/>
                <w:color w:val="auto"/>
              </w:rPr>
            </w:pPr>
          </w:p>
        </w:tc>
        <w:tc>
          <w:tcPr>
            <w:tcW w:w="104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(12,705)</w:t>
            </w: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of assets</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52,675</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32,123</w:t>
            </w:r>
          </w:p>
        </w:tc>
      </w:tr>
      <w:tr>
        <w:trPr>
          <w:trHeight w:val="18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r>
      <w:tr>
        <w:trPr>
          <w:trHeight w:val="180"/>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 of debt issuance costs and discounts</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r>
      <w:tr>
        <w:trPr>
          <w:trHeight w:val="180"/>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Write-off of deferred loan costs and discount</w:t>
            </w:r>
          </w:p>
        </w:tc>
        <w:tc>
          <w:tcPr>
            <w:tcW w:w="10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w:t>
            </w:r>
          </w:p>
        </w:tc>
      </w:tr>
      <w:tr>
        <w:trPr>
          <w:trHeight w:val="180"/>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(3,567)</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r>
      <w:tr>
        <w:trPr>
          <w:trHeight w:val="180"/>
        </w:trPr>
        <w:tc>
          <w:tcPr>
            <w:tcW w:w="7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PIK interest paid</w:t>
            </w:r>
          </w:p>
        </w:tc>
        <w:tc>
          <w:tcPr>
            <w:tcW w:w="10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(23,715)</w:t>
            </w:r>
          </w:p>
        </w:tc>
      </w:tr>
      <w:tr>
        <w:trPr>
          <w:trHeight w:val="180"/>
        </w:trPr>
        <w:tc>
          <w:tcPr>
            <w:tcW w:w="7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non-cash items, net</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0"/>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(11,265)</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(10,847)</w:t>
            </w:r>
          </w:p>
        </w:tc>
      </w:tr>
      <w:tr>
        <w:trPr>
          <w:trHeight w:val="18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w:t>
            </w:r>
          </w:p>
        </w:tc>
      </w:tr>
      <w:tr>
        <w:trPr>
          <w:trHeight w:val="180"/>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(receivable) payable</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w:t>
            </w:r>
          </w:p>
        </w:tc>
      </w:tr>
      <w:tr>
        <w:trPr>
          <w:trHeight w:val="18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Notes receivable</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180"/>
        </w:trPr>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13,711</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9,192</w:t>
            </w:r>
          </w:p>
        </w:tc>
      </w:tr>
      <w:tr>
        <w:trPr>
          <w:trHeight w:val="180"/>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deposits and advance payments</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r>
      <w:tr>
        <w:trPr>
          <w:trHeight w:val="180"/>
        </w:trPr>
        <w:tc>
          <w:tcPr>
            <w:tcW w:w="7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assets and liabilities, net</w:t>
            </w: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0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50,558</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(2,567)</w:t>
            </w:r>
          </w:p>
        </w:tc>
      </w:tr>
      <w:tr>
        <w:trPr>
          <w:trHeight w:val="160"/>
        </w:trPr>
        <w:tc>
          <w:tcPr>
            <w:tcW w:w="7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10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(407,129)</w:t>
            </w: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Additions to property, equipment and software</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(7,530)</w:t>
            </w: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receivable loan funding</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Acquisitions of intangible assets</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(6,715)</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(48,219)</w:t>
            </w: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10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(21,095)</w:t>
            </w: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(462,878)</w:t>
            </w:r>
          </w:p>
        </w:tc>
      </w:tr>
      <w:tr>
        <w:trPr>
          <w:trHeight w:val="16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0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issuance of long-term debt, net of issue discount</w:t>
            </w:r>
          </w:p>
        </w:tc>
        <w:tc>
          <w:tcPr>
            <w:tcW w:w="10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607,318</w:t>
            </w: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issuance and modification costs paid</w:t>
            </w:r>
          </w:p>
        </w:tc>
        <w:tc>
          <w:tcPr>
            <w:tcW w:w="10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(9,073)</w:t>
            </w: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(359,875)</w:t>
            </w: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Borrowings under revolving credit facility</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Repayments of borrowings under revolving credit facility</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(32,000)</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the issuance of redeemable senior preferred stock, net of discount</w:t>
            </w:r>
          </w:p>
        </w:tc>
        <w:tc>
          <w:tcPr>
            <w:tcW w:w="10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219,062</w:t>
            </w: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Redeemable senior preferred stock issuance fees and costs</w:t>
            </w:r>
          </w:p>
        </w:tc>
        <w:tc>
          <w:tcPr>
            <w:tcW w:w="10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(8,098)</w:t>
            </w: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Repurchases of Common Stock and shares withheld for taxes</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(4,674)</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Dividends paid to redeemable senior preferred stockholders</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(11,478)</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(4,015)</w:t>
            </w: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0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Settlement and customer accounts obligations, net</w:t>
            </w:r>
          </w:p>
        </w:tc>
        <w:tc>
          <w:tcPr>
            <w:tcW w:w="10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25,695</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396,338</w:t>
            </w:r>
          </w:p>
        </w:tc>
      </w:tr>
      <w:tr>
        <w:trPr>
          <w:trHeight w:val="180"/>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Contingent consideration for business combinations and asset acquisitions</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786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935"/>
        </w:trPr>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4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4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78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10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(8,099)</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871,010</w:t>
            </w:r>
          </w:p>
        </w:tc>
      </w:tr>
      <w:tr>
        <w:trPr>
          <w:trHeight w:val="160"/>
        </w:trPr>
        <w:tc>
          <w:tcPr>
            <w:tcW w:w="20" w:type="dxa"/>
            <w:vAlign w:val="bottom"/>
          </w:tcPr>
          <w:p>
            <w:pPr>
              <w:spacing w:after="0"/>
              <w:rPr>
                <w:sz w:val="13"/>
                <w:szCs w:val="13"/>
                <w:color w:val="auto"/>
              </w:rPr>
            </w:pPr>
          </w:p>
        </w:tc>
        <w:tc>
          <w:tcPr>
            <w:tcW w:w="7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 and restricted cash:</w:t>
            </w: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8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increase in cash and cash equivalents, and restricted cash</w:t>
            </w: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21,364</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405,565</w:t>
            </w:r>
          </w:p>
        </w:tc>
      </w:tr>
      <w:tr>
        <w:trPr>
          <w:trHeight w:val="180"/>
        </w:trPr>
        <w:tc>
          <w:tcPr>
            <w:tcW w:w="20" w:type="dxa"/>
            <w:vAlign w:val="bottom"/>
          </w:tcPr>
          <w:p>
            <w:pPr>
              <w:spacing w:after="0"/>
              <w:rPr>
                <w:sz w:val="15"/>
                <w:szCs w:val="15"/>
                <w:color w:val="auto"/>
              </w:rPr>
            </w:pPr>
          </w:p>
        </w:tc>
        <w:tc>
          <w:tcPr>
            <w:tcW w:w="784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518,093</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88,120</w:t>
            </w:r>
          </w:p>
        </w:tc>
      </w:tr>
      <w:tr>
        <w:trPr>
          <w:trHeight w:val="196"/>
        </w:trPr>
        <w:tc>
          <w:tcPr>
            <w:tcW w:w="20" w:type="dxa"/>
            <w:vAlign w:val="bottom"/>
          </w:tcPr>
          <w:p>
            <w:pPr>
              <w:spacing w:after="0"/>
              <w:rPr>
                <w:sz w:val="16"/>
                <w:szCs w:val="16"/>
                <w:color w:val="auto"/>
              </w:rPr>
            </w:pPr>
          </w:p>
        </w:tc>
        <w:tc>
          <w:tcPr>
            <w:tcW w:w="78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and restricted cash equivalents at end of period</w:t>
            </w:r>
          </w:p>
        </w:tc>
        <w:tc>
          <w:tcPr>
            <w:tcW w:w="106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539,457</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493,685</w:t>
            </w: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7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8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Cash paid for interest</w:t>
            </w:r>
          </w:p>
        </w:tc>
        <w:tc>
          <w:tcPr>
            <w:tcW w:w="106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33,023</w:t>
            </w:r>
          </w:p>
        </w:tc>
        <w:tc>
          <w:tcPr>
            <w:tcW w:w="80" w:type="dxa"/>
            <w:vAlign w:val="bottom"/>
          </w:tcPr>
          <w:p>
            <w:pPr>
              <w:spacing w:after="0"/>
              <w:rPr>
                <w:sz w:val="15"/>
                <w:szCs w:val="15"/>
                <w:color w:val="auto"/>
              </w:rPr>
            </w:pPr>
          </w:p>
        </w:tc>
        <w:tc>
          <w:tcPr>
            <w:tcW w:w="108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17,043</w:t>
            </w:r>
          </w:p>
        </w:tc>
      </w:tr>
      <w:tr>
        <w:trPr>
          <w:trHeight w:val="180"/>
        </w:trPr>
        <w:tc>
          <w:tcPr>
            <w:tcW w:w="20" w:type="dxa"/>
            <w:vAlign w:val="bottom"/>
          </w:tcPr>
          <w:p>
            <w:pPr>
              <w:spacing w:after="0"/>
              <w:rPr>
                <w:sz w:val="15"/>
                <w:szCs w:val="15"/>
                <w:color w:val="auto"/>
              </w:rPr>
            </w:pPr>
          </w:p>
        </w:tc>
        <w:tc>
          <w:tcPr>
            <w:tcW w:w="78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0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8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Treasury stock purchases settled after the balance sheet date</w:t>
            </w:r>
          </w:p>
        </w:tc>
        <w:tc>
          <w:tcPr>
            <w:tcW w:w="106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80" w:type="dxa"/>
            <w:vAlign w:val="bottom"/>
          </w:tcPr>
          <w:p>
            <w:pPr>
              <w:spacing w:after="0"/>
              <w:rPr>
                <w:sz w:val="15"/>
                <w:szCs w:val="15"/>
                <w:color w:val="auto"/>
              </w:rPr>
            </w:pPr>
          </w:p>
        </w:tc>
        <w:tc>
          <w:tcPr>
            <w:tcW w:w="108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78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Accruals for future contingent payments</w:t>
            </w:r>
          </w:p>
        </w:tc>
        <w:tc>
          <w:tcPr>
            <w:tcW w:w="106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6,833</w:t>
            </w:r>
          </w:p>
        </w:tc>
      </w:tr>
      <w:tr>
        <w:trPr>
          <w:trHeight w:val="180"/>
        </w:trPr>
        <w:tc>
          <w:tcPr>
            <w:tcW w:w="20" w:type="dxa"/>
            <w:vAlign w:val="bottom"/>
          </w:tcPr>
          <w:p>
            <w:pPr>
              <w:spacing w:after="0"/>
              <w:rPr>
                <w:sz w:val="15"/>
                <w:szCs w:val="15"/>
                <w:color w:val="auto"/>
              </w:rPr>
            </w:pPr>
          </w:p>
        </w:tc>
        <w:tc>
          <w:tcPr>
            <w:tcW w:w="78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Notes receivable from sellers used as partial consideration for acquisitions</w:t>
            </w:r>
          </w:p>
        </w:tc>
        <w:tc>
          <w:tcPr>
            <w:tcW w:w="106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w:t>
            </w:r>
          </w:p>
        </w:tc>
      </w:tr>
      <w:tr>
        <w:trPr>
          <w:trHeight w:val="180"/>
        </w:trPr>
        <w:tc>
          <w:tcPr>
            <w:tcW w:w="20" w:type="dxa"/>
            <w:vAlign w:val="bottom"/>
          </w:tcPr>
          <w:p>
            <w:pPr>
              <w:spacing w:after="0"/>
              <w:rPr>
                <w:sz w:val="15"/>
                <w:szCs w:val="15"/>
                <w:color w:val="auto"/>
              </w:rPr>
            </w:pPr>
          </w:p>
        </w:tc>
        <w:tc>
          <w:tcPr>
            <w:tcW w:w="78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additions to other noncurrent assets for right-of-use operating leases</w:t>
            </w:r>
          </w:p>
        </w:tc>
        <w:tc>
          <w:tcPr>
            <w:tcW w:w="106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7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78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6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12,707</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16,974</w:t>
            </w:r>
          </w:p>
        </w:tc>
      </w:tr>
      <w:tr>
        <w:trPr>
          <w:trHeight w:val="180"/>
        </w:trPr>
        <w:tc>
          <w:tcPr>
            <w:tcW w:w="20" w:type="dxa"/>
            <w:vAlign w:val="bottom"/>
          </w:tcPr>
          <w:p>
            <w:pPr>
              <w:spacing w:after="0"/>
              <w:rPr>
                <w:sz w:val="15"/>
                <w:szCs w:val="15"/>
                <w:color w:val="auto"/>
              </w:rPr>
            </w:pPr>
          </w:p>
        </w:tc>
        <w:tc>
          <w:tcPr>
            <w:tcW w:w="784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Restricted cash</w:t>
            </w:r>
          </w:p>
        </w:tc>
        <w:tc>
          <w:tcPr>
            <w:tcW w:w="10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11,624</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17,258</w:t>
            </w:r>
          </w:p>
        </w:tc>
      </w:tr>
      <w:tr>
        <w:trPr>
          <w:trHeight w:val="189"/>
        </w:trPr>
        <w:tc>
          <w:tcPr>
            <w:tcW w:w="20" w:type="dxa"/>
            <w:vAlign w:val="bottom"/>
          </w:tcPr>
          <w:p>
            <w:pPr>
              <w:spacing w:after="0"/>
              <w:rPr>
                <w:sz w:val="16"/>
                <w:szCs w:val="16"/>
                <w:color w:val="auto"/>
              </w:rPr>
            </w:pPr>
          </w:p>
        </w:tc>
        <w:tc>
          <w:tcPr>
            <w:tcW w:w="7840" w:type="dxa"/>
            <w:vAlign w:val="bottom"/>
            <w:gridSpan w:val="4"/>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 xml:space="preserve">Cash and cash equivalents included in settlement assets and customer account balances (see </w:t>
            </w:r>
            <w:r>
              <w:rPr>
                <w:rFonts w:ascii="Times New Roman" w:cs="Times New Roman" w:eastAsia="Times New Roman" w:hAnsi="Times New Roman"/>
                <w:sz w:val="14"/>
                <w:szCs w:val="14"/>
                <w:color w:val="0000FF"/>
              </w:rPr>
              <w:t>Note 4</w:t>
            </w: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515,126</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459,453</w:t>
            </w:r>
          </w:p>
        </w:tc>
      </w:tr>
      <w:tr>
        <w:trPr>
          <w:trHeight w:val="163"/>
        </w:trPr>
        <w:tc>
          <w:tcPr>
            <w:tcW w:w="20" w:type="dxa"/>
            <w:vAlign w:val="bottom"/>
          </w:tcPr>
          <w:p>
            <w:pPr>
              <w:spacing w:after="0"/>
              <w:rPr>
                <w:sz w:val="14"/>
                <w:szCs w:val="14"/>
                <w:color w:val="auto"/>
              </w:rPr>
            </w:pPr>
          </w:p>
        </w:tc>
        <w:tc>
          <w:tcPr>
            <w:tcW w:w="53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 cash and cash equivalents, and restricted cash</w:t>
            </w:r>
          </w:p>
        </w:tc>
        <w:tc>
          <w:tcPr>
            <w:tcW w:w="380" w:type="dxa"/>
            <w:vAlign w:val="bottom"/>
            <w:tcBorders>
              <w:top w:val="single" w:sz="8" w:color="0000FF"/>
            </w:tcBorders>
          </w:tcPr>
          <w:p>
            <w:pPr>
              <w:spacing w:after="0"/>
              <w:rPr>
                <w:sz w:val="14"/>
                <w:szCs w:val="14"/>
                <w:color w:val="auto"/>
              </w:rPr>
            </w:pPr>
          </w:p>
        </w:tc>
        <w:tc>
          <w:tcPr>
            <w:tcW w:w="2140" w:type="dxa"/>
            <w:vAlign w:val="bottom"/>
            <w:tcBorders>
              <w:top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539,457</w:t>
            </w:r>
          </w:p>
        </w:tc>
        <w:tc>
          <w:tcPr>
            <w:tcW w:w="80" w:type="dxa"/>
            <w:vAlign w:val="bottom"/>
            <w:tcBorders>
              <w:top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493,685</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u w:val="single" w:color="auto"/>
          <w:color w:val="0000FF"/>
        </w:rPr>
        <w:t>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Consolidated Financial Statements</w:t>
      </w:r>
    </w:p>
    <w:p>
      <w:pPr>
        <w:spacing w:after="0" w:line="18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tab/>
        <w:t>Nature of Business and 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Consolidation and Presentation</w:t>
      </w:r>
    </w:p>
    <w:p>
      <w:pPr>
        <w:spacing w:after="0" w:line="181"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Priority Technology Holdings, Inc. and its consolidated subsidiaries are referred to herein collectively as "Priority," "PRTH," the "Company," "we," "our" or "us," unless the context requires otherwise. Priority is a provider of merchant acquiring, integrated payment software, licensed money transmission services and commercial payments solutions.</w:t>
      </w:r>
    </w:p>
    <w:p>
      <w:pPr>
        <w:spacing w:after="0" w:line="124"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Company operates on a calendar year ending each December 31 and on four calendar quarters ending on March 31, June 30, September 30 and December 31 of each year. Results of operations reported for interim periods are not necessarily indicative of results for the entire year.</w:t>
      </w:r>
    </w:p>
    <w:p>
      <w:pPr>
        <w:spacing w:after="0" w:line="12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accompanying Unaudited Consolidated Financial Statements include the accounts of the Company and its majority-owned subsidiaries. All material intercompany balances and transactions have been eliminated in consolidation. These Unaudited Consolidated Financial Statements have been prepared in accordance with GAAP for interim financial information pursuant to the rules and regulations of the SEC. The Consolidated Balance Sheet as of December 31, 2021 was derived from the audited financial statements included in the Company's Annual Report on Form 10-K for the year ended December 31, 2021 but does not include all disclosures required by GAAP for annual financial statements.</w:t>
      </w:r>
    </w:p>
    <w:p>
      <w:pPr>
        <w:spacing w:after="0" w:line="14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 the opinion of the Company's management, all known adjustments necessary for a fair presentation of the Unaudited Consolidated Financial Statements for interim periods have been made. These adjustments consist of normal recurring accruals and estimates that affect the carrying amounts of assets and liabilities. These Unaudited Consolidated Financial Statements should be read in conjunction with the Consolidated Financial Statements and notes thereto included in the Company's Annual Report on Form 10-K for the year ended December 31,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18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preparation of Unaudited Consolidated Financial Statements in conformity with GAAP requires management to make estimates and assumptions that affect the reported amounts of assets and liabilities and the disclosure of contingent assets and liabilities at the date of the Unaudited Consolidated Financial Statements and the reported amounts of revenues and expenses during the reported period. Actual results could materially differ from those estimates. In particular, the continued magnitude, duration and effects of the COVID-19 pandemic are difficult to predict, and the ultimate effect could result in future charges related to the recoverability of assets, including financial assets, long-lived assets, goodwill and other losses.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Company's reporting currency is the U.S. dollar. Assets and liabilities denominated in a foreign currency are translated into U.S. dollars at the current exchange rate on the last day of the reporting period. Revenues and expenses are translated using the average exchange rate in effect during the reporting period. Foreign exchange translation and transaction gains and losses were not material for the periods presented and are included in the Unaudited Consolidated Statements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Emerging Growth Company Status</w:t>
      </w:r>
    </w:p>
    <w:p>
      <w:pPr>
        <w:spacing w:after="0" w:line="18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Prior to December 31, 2021, the Company was an EGC, as defined in JOBS Act, and elected to take advantage of certain exemptions from various reporting requirements that are applicable to other public companies until the Company is no longer an EGC, including using the extended transition period for complying with new or revised accounting standards. On December 31, 2021, we ceased to qualify as an EGC and have adopted any new standards that we are now required to adopt.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Standards Pending Adoption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Reference Rate Reform</w:t>
      </w:r>
    </w:p>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 xml:space="preserve">In March 2020, the FASB issued ASU 2020-04, </w:t>
      </w:r>
      <w:r>
        <w:rPr>
          <w:rFonts w:ascii="Times New Roman" w:cs="Times New Roman" w:eastAsia="Times New Roman" w:hAnsi="Times New Roman"/>
          <w:sz w:val="14"/>
          <w:szCs w:val="14"/>
          <w:i w:val="1"/>
          <w:iCs w:val="1"/>
          <w:color w:val="auto"/>
        </w:rPr>
        <w:t>Facilitation of the Effects of Reference Rate Reform on Financial Reporting</w:t>
      </w:r>
      <w:r>
        <w:rPr>
          <w:rFonts w:ascii="Times New Roman" w:cs="Times New Roman" w:eastAsia="Times New Roman" w:hAnsi="Times New Roman"/>
          <w:sz w:val="14"/>
          <w:szCs w:val="14"/>
          <w:color w:val="auto"/>
        </w:rPr>
        <w:t xml:space="preserve">, which provides temporary optional expedients and exceptions to the GAAP guidance on contract modifications and hedge accounting to ease the financial reporting burdens of the expected market transition from the LIBOR and other interbank offered rates to alternative reference rates, such as the Secured Overnight Financial Rate. If certain criteria are met, entities can elect not to apply certain modification accounting requirements to contracts affected by what the guidance calls reference rate reform. An entity that makes this election would not have to remeasure the contract at the modification date or reassess a previous accounting determination. In January 2021, the FASB issued ASU 2021-01, </w:t>
      </w:r>
      <w:r>
        <w:rPr>
          <w:rFonts w:ascii="Times New Roman" w:cs="Times New Roman" w:eastAsia="Times New Roman" w:hAnsi="Times New Roman"/>
          <w:sz w:val="14"/>
          <w:szCs w:val="14"/>
          <w:i w:val="1"/>
          <w:iCs w:val="1"/>
          <w:color w:val="auto"/>
        </w:rPr>
        <w:t>Reference Rate Reform (Topic 848)</w:t>
      </w:r>
      <w:r>
        <w:rPr>
          <w:rFonts w:ascii="Times New Roman" w:cs="Times New Roman" w:eastAsia="Times New Roman" w:hAnsi="Times New Roman"/>
          <w:sz w:val="14"/>
          <w:szCs w:val="14"/>
          <w:color w:val="auto"/>
        </w:rPr>
        <w:t>, which clarifies that certain optional expedients and exceptions in Topic 848 for contract modifications and hedge accounting apply to derivatives that are affected by the discounting transition. These updates can be adopted at any time before December 31, 2022. The Company's term facility and revolving credit facility bear interest at rates based on LIBOR, and the dividend rate on the Company's redeemable senior preferred stock is also based on LIBOR. The Company is evaluating the potential impact these updates may have on its Unaudited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Losses</w:t>
      </w:r>
    </w:p>
    <w:p>
      <w:pPr>
        <w:spacing w:after="0" w:line="1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 xml:space="preserve">In June 2016, the FASB issued ASU 2016-13, </w:t>
      </w:r>
      <w:r>
        <w:rPr>
          <w:rFonts w:ascii="Times New Roman" w:cs="Times New Roman" w:eastAsia="Times New Roman" w:hAnsi="Times New Roman"/>
          <w:sz w:val="14"/>
          <w:szCs w:val="14"/>
          <w:i w:val="1"/>
          <w:iCs w:val="1"/>
          <w:color w:val="auto"/>
        </w:rPr>
        <w:t>Measurement of Credit Losses on Financial Instruments</w:t>
      </w:r>
      <w:r>
        <w:rPr>
          <w:rFonts w:ascii="Times New Roman" w:cs="Times New Roman" w:eastAsia="Times New Roman" w:hAnsi="Times New Roman"/>
          <w:sz w:val="14"/>
          <w:szCs w:val="14"/>
          <w:color w:val="auto"/>
        </w:rPr>
        <w:t>.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The Company is currently evaluating the potential impact that this update may have on the timing of recognizing future provisions for expected losses on the Company's accounts receivable and notes receivable. Since the Company is a smaller reporting company, the Company must adopt this new standard no later than the beginning of 2023 for annual and interim reporting periods.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Standards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Combinations</w:t>
      </w:r>
    </w:p>
    <w:p>
      <w:pPr>
        <w:spacing w:after="0" w:line="17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color w:val="auto"/>
        </w:rPr>
        <w:t xml:space="preserve">In October 2021, the FASB issued ASU 2021-08, </w:t>
      </w:r>
      <w:r>
        <w:rPr>
          <w:rFonts w:ascii="Times New Roman" w:cs="Times New Roman" w:eastAsia="Times New Roman" w:hAnsi="Times New Roman"/>
          <w:sz w:val="14"/>
          <w:szCs w:val="14"/>
          <w:i w:val="1"/>
          <w:iCs w:val="1"/>
          <w:color w:val="auto"/>
        </w:rPr>
        <w:t>Business Combinations (Topic 805): Accounting for Contract Assets and Contract Liabilities from Contracts with Customers</w:t>
      </w:r>
      <w:r>
        <w:rPr>
          <w:rFonts w:ascii="Times New Roman" w:cs="Times New Roman" w:eastAsia="Times New Roman" w:hAnsi="Times New Roman"/>
          <w:sz w:val="14"/>
          <w:szCs w:val="14"/>
          <w:color w:val="auto"/>
        </w:rPr>
        <w:t>, which requires entities to recognize and measure contract assets and liabilities acquired in a business combination in accordance with ASC 606, as if the acquirer had originated the contracts. Generally this will result in the acquirer recognizing and measuring the acquired contract assets and liabilities consistent with the manner by which they were recognized and measured by the acquiree. This update is effective for public companies for fiscal years beginning after December 15, 2022, including interim periods within those fiscal years, and early adoption is permitted, including in an interim period. If this update is adopted early in an interim period, it must be applied retrospectively to all business combinations that occurred since the beginning of the fiscal year. The Company elected to early adopt ASU 2021-08 in the second quarter of 2022. The Company has not acquired any businesses during 2022, therefore there was no impact on the Company's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r>
      <w:r>
        <w:rPr>
          <w:sz w:val="20"/>
          <w:szCs w:val="20"/>
          <w:color w:val="auto"/>
        </w:rPr>
        <w:tab/>
      </w:r>
      <w:r>
        <w:rPr>
          <w:rFonts w:ascii="Times New Roman" w:cs="Times New Roman" w:eastAsia="Times New Roman" w:hAnsi="Times New Roman"/>
          <w:sz w:val="13"/>
          <w:szCs w:val="13"/>
          <w:b w:val="1"/>
          <w:bCs w:val="1"/>
          <w:color w:val="auto"/>
        </w:rPr>
        <w:t>Revenues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Disaggregation of Revenues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following </w:t>
      </w:r>
      <w:r>
        <w:rPr>
          <w:rFonts w:ascii="Times New Roman" w:cs="Times New Roman" w:eastAsia="Times New Roman" w:hAnsi="Times New Roman"/>
          <w:sz w:val="14"/>
          <w:szCs w:val="14"/>
          <w:color w:val="212529"/>
        </w:rPr>
        <w:t>table presents a disaggregation of our consolidated revenues by type for the three and nine months ended September 30, 2022 and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4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Pr>
          <w:p>
            <w:pPr>
              <w:spacing w:after="0"/>
              <w:rPr>
                <w:sz w:val="16"/>
                <w:szCs w:val="16"/>
                <w:color w:val="auto"/>
              </w:rPr>
            </w:pPr>
          </w:p>
        </w:tc>
        <w:tc>
          <w:tcPr>
            <w:tcW w:w="30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Type:</w:t>
            </w:r>
          </w:p>
        </w:tc>
        <w:tc>
          <w:tcPr>
            <w:tcW w:w="3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80"/>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Merchant card fees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137,659</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122,175</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405,404</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348,244</w:t>
            </w:r>
          </w:p>
        </w:tc>
      </w:tr>
      <w:tr>
        <w:trPr>
          <w:trHeight w:val="18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Money transmission services revenue</w:t>
            </w: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51,757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2,873</w:t>
            </w:r>
          </w:p>
        </w:tc>
      </w:tr>
      <w:tr>
        <w:trPr>
          <w:trHeight w:val="180"/>
        </w:trPr>
        <w:tc>
          <w:tcPr>
            <w:tcW w:w="4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Outsourced services and other services</w:t>
            </w: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14,981</w:t>
            </w:r>
          </w:p>
        </w:tc>
      </w:tr>
      <w:tr>
        <w:trPr>
          <w:trHeight w:val="18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Equipment</w:t>
            </w:r>
          </w:p>
        </w:tc>
        <w:tc>
          <w:tcPr>
            <w:tcW w:w="3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7,008</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w:t>
            </w:r>
          </w:p>
        </w:tc>
      </w:tr>
      <w:tr>
        <w:trPr>
          <w:trHeight w:val="171"/>
        </w:trPr>
        <w:tc>
          <w:tcPr>
            <w:tcW w:w="4200" w:type="dxa"/>
            <w:vAlign w:val="bottom"/>
          </w:tcPr>
          <w:p>
            <w:pPr>
              <w:ind w:left="20"/>
              <w:spacing w:after="0" w:line="171" w:lineRule="exact"/>
              <w:rPr>
                <w:sz w:val="20"/>
                <w:szCs w:val="20"/>
                <w:color w:val="auto"/>
              </w:rPr>
            </w:pPr>
            <w:r>
              <w:rPr>
                <w:rFonts w:ascii="Times New Roman" w:cs="Times New Roman" w:eastAsia="Times New Roman" w:hAnsi="Times New Roman"/>
                <w:sz w:val="14"/>
                <w:szCs w:val="14"/>
                <w:b w:val="1"/>
                <w:bCs w:val="1"/>
                <w:color w:val="auto"/>
              </w:rPr>
              <w:t>Total revenues</w:t>
            </w:r>
            <w:r>
              <w:rPr>
                <w:rFonts w:ascii="Times New Roman" w:cs="Times New Roman" w:eastAsia="Times New Roman" w:hAnsi="Times New Roman"/>
                <w:sz w:val="18"/>
                <w:szCs w:val="18"/>
                <w:color w:val="auto"/>
                <w:vertAlign w:val="superscript"/>
              </w:rPr>
              <w:t>(1),(2)</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166,417</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132,542</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486,086</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370,853</w:t>
            </w: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20" w:right="120" w:hanging="260"/>
        <w:spacing w:after="0" w:line="230" w:lineRule="auto"/>
        <w:tabs>
          <w:tab w:leader="none" w:pos="51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contracts with an original duration of one year or less and variable consideration under a stand-ready series of distinct days of service. The aggregate fixed consideration portion of customer contracts with an initial contract duration greater than one year is not material.</w:t>
      </w:r>
    </w:p>
    <w:p>
      <w:pPr>
        <w:spacing w:after="0" w:line="1" w:lineRule="exact"/>
        <w:rPr>
          <w:rFonts w:ascii="Times New Roman" w:cs="Times New Roman" w:eastAsia="Times New Roman" w:hAnsi="Times New Roman"/>
          <w:sz w:val="18"/>
          <w:szCs w:val="18"/>
          <w:color w:val="auto"/>
          <w:vertAlign w:val="superscript"/>
        </w:rPr>
      </w:pPr>
    </w:p>
    <w:p>
      <w:pPr>
        <w:ind w:left="520" w:right="280" w:hanging="260"/>
        <w:spacing w:after="0" w:line="236" w:lineRule="auto"/>
        <w:tabs>
          <w:tab w:leader="none" w:pos="510"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Approximately $2.0 million and $3.4 million of interest income for the three and nine months ended September 30, 2022, respectively, and $0.1 million and $0.1 million three and nine months ended September 30, 2021, respectively, is included in outsourced services and other services revenue in the table above. Approximately $0.2 million and $0.4 million of interest income for the three and nine months ended September 30, 2022, respectively, and $0.1 million and $0.6 million of interest income three and nine months ended September 30, 2021, respectively, is included in other income, net on the Company's Unaudited Consolidated Statements of Operations and not reflected in the table above.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revenues were not material for the three and nine months ended September 30, 2022 and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Assets and Contract Liabilities</w:t>
      </w:r>
    </w:p>
    <w:p>
      <w:pPr>
        <w:spacing w:after="0" w:line="18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Material contract assets and liabilities are presented net at the individual contract level in the Unaudited Consolidated Balance Sheets and are classified as current or noncurrent based on the nature of the underlying contractual rights and obligations.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Supplemental balance sheet information related to contracts from customers as of September 30, 2022 and December 31, 2021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9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Consolidated Balance Sheet Line Item</w:t>
            </w:r>
          </w:p>
        </w:tc>
        <w:tc>
          <w:tcPr>
            <w:tcW w:w="240" w:type="dxa"/>
            <w:vAlign w:val="bottom"/>
          </w:tcPr>
          <w:p>
            <w:pPr>
              <w:spacing w:after="0"/>
              <w:rPr>
                <w:sz w:val="16"/>
                <w:szCs w:val="16"/>
                <w:color w:val="auto"/>
              </w:rPr>
            </w:pPr>
          </w:p>
        </w:tc>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8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61"/>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r>
      <w:tr>
        <w:trPr>
          <w:trHeight w:val="184"/>
        </w:trPr>
        <w:tc>
          <w:tcPr>
            <w:tcW w:w="3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Contract liabilities, net (current)</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Customer deposits and advance payments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gridSpan w:val="3"/>
          </w:tcPr>
          <w:p>
            <w:pPr>
              <w:ind w:left="1560"/>
              <w:spacing w:after="0"/>
              <w:rPr>
                <w:sz w:val="20"/>
                <w:szCs w:val="20"/>
                <w:color w:val="auto"/>
              </w:rPr>
            </w:pPr>
            <w:r>
              <w:rPr>
                <w:rFonts w:ascii="Times New Roman" w:cs="Times New Roman" w:eastAsia="Times New Roman" w:hAnsi="Times New Roman"/>
                <w:sz w:val="14"/>
                <w:szCs w:val="14"/>
                <w:color w:val="auto"/>
              </w:rPr>
              <w:t>—   $</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w:t>
            </w:r>
          </w:p>
        </w:tc>
      </w:tr>
    </w:tbl>
    <w:p>
      <w:pPr>
        <w:spacing w:after="0" w:line="215"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212529"/>
        </w:rPr>
        <w:t xml:space="preserve">Substantially all of these balances are recognized as revenue within 12 months. As of September 30, 2022, all of the contract liabilities, have been recognized as revenue. </w:t>
      </w:r>
      <w:r>
        <w:rPr>
          <w:rFonts w:ascii="Times New Roman" w:cs="Times New Roman" w:eastAsia="Times New Roman" w:hAnsi="Times New Roman"/>
          <w:sz w:val="14"/>
          <w:szCs w:val="14"/>
          <w:color w:val="000000"/>
        </w:rPr>
        <w:t>Net contract assets were not</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material for any period presented.</w:t>
      </w:r>
    </w:p>
    <w:p>
      <w:pPr>
        <w:spacing w:after="0" w:line="12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Impairment losses recognized on receivables or contract assets arising from the Company's contracts with customers were not material for the three and nine months ended September 30, 2022 and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0080" w:firstLine="5"/>
        <w:spacing w:after="0" w:line="507" w:lineRule="auto"/>
        <w:tabs>
          <w:tab w:leader="none" w:pos="24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Acquisitions Finxera Acquisition</w:t>
      </w:r>
    </w:p>
    <w:p>
      <w:pPr>
        <w:spacing w:after="0" w:line="1"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On September 17, 2021, the Company completed its acquisition of 100% of the equity interests of Finxera. Finxera is a provider of deposit account management and licensed money transmission services in the U.S. The acquisition will allow the Company to offer clients turn-key merchant services, payment facilitation, card issuing, automated payables, virtual banking, e-wallet tools, risk management, underwriting and compliance on a single platform.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transaction was funded with the Company's cash on hand, proceeds from the issuance of the redeemable senior preferred stock and debt, and the issuance of common equity shares to the sellers.</w:t>
      </w:r>
    </w:p>
    <w:p>
      <w:pPr>
        <w:spacing w:after="0" w:line="179"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The acquisition was accounted for as a business combination using the acquisition method of accounting, under which the assets acquired and liabilities assumed were recognized at their fair values as of September 17, 2021, with the excess of the fair value of consideration transferred over the fair value of the net assets acquired recognized as goodwill. The fair values of the assets acquired and liabilities assumed as of September 17, 2021 were estimated by management based on the valuation of the Finxera business using the discounted cash flow method and other factors specific to certain assets and liabilities. The final purchase price allocation is set forth in the table below.</w:t>
      </w:r>
    </w:p>
    <w:p>
      <w:pPr>
        <w:sectPr>
          <w:pgSz w:w="11900" w:h="16838" w:orient="portrait"/>
          <w:cols w:equalWidth="0" w:num="1">
            <w:col w:w="11280"/>
          </w:cols>
          <w:pgMar w:left="300" w:top="125" w:right="319" w:bottom="1440" w:gutter="0" w:footer="0" w:header="0"/>
        </w:sectPr>
      </w:pP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Cash</w:t>
      </w: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Equity instruments</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6153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Less: cash and restricted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61530"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purchase consideration, net of cash and restricted cash acquired</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Recognized amounts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6153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r>
        <w:rPr>
          <w:rFonts w:ascii="Times New Roman" w:cs="Times New Roman" w:eastAsia="Times New Roman" w:hAnsi="Times New Roman"/>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6153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Current portion of notes receivable</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Settlement assets and customer account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Property, equipment and software, net</w:t>
      </w:r>
    </w:p>
    <w:p>
      <w:pPr>
        <w:ind w:left="100"/>
        <w:spacing w:after="0" w:line="235" w:lineRule="auto"/>
        <w:rPr>
          <w:sz w:val="20"/>
          <w:szCs w:val="20"/>
          <w:color w:val="auto"/>
        </w:rPr>
      </w:pPr>
      <w:r>
        <w:rPr>
          <w:rFonts w:ascii="Times New Roman" w:cs="Times New Roman" w:eastAsia="Times New Roman" w:hAnsi="Times New Roman"/>
          <w:sz w:val="14"/>
          <w:szCs w:val="14"/>
          <w:color w:val="auto"/>
        </w:rPr>
        <w:t>Goodwill</w:t>
      </w:r>
      <w:r>
        <w:rPr>
          <w:rFonts w:ascii="Times New Roman" w:cs="Times New Roman" w:eastAsia="Times New Roman" w:hAnsi="Times New Roman"/>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6153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line="220" w:lineRule="auto"/>
        <w:rPr>
          <w:sz w:val="20"/>
          <w:szCs w:val="20"/>
          <w:color w:val="auto"/>
        </w:rPr>
      </w:pPr>
      <w:r>
        <w:rPr>
          <w:rFonts w:ascii="Times New Roman" w:cs="Times New Roman" w:eastAsia="Times New Roman" w:hAnsi="Times New Roman"/>
          <w:sz w:val="14"/>
          <w:szCs w:val="14"/>
          <w:color w:val="auto"/>
        </w:rPr>
        <w:t>Intangible assets, net</w:t>
      </w:r>
      <w:r>
        <w:rPr>
          <w:rFonts w:ascii="Times New Roman" w:cs="Times New Roman" w:eastAsia="Times New Roman" w:hAnsi="Times New Roman"/>
          <w:sz w:val="18"/>
          <w:szCs w:val="1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6153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Accounts payable and accrued expenses</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Settlement and customer account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Deferred income taxes, net</w:t>
      </w:r>
      <w:r>
        <w:rPr>
          <w:rFonts w:ascii="Times New Roman" w:cs="Times New Roman" w:eastAsia="Times New Roman" w:hAnsi="Times New Roman"/>
          <w:sz w:val="18"/>
          <w:szCs w:val="18"/>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61530" cy="114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Other noncurrent liabilities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379,220</w:t>
            </w:r>
          </w:p>
        </w:tc>
      </w:tr>
      <w:tr>
        <w:trPr>
          <w:trHeight w:val="180"/>
        </w:trPr>
        <w:tc>
          <w:tcPr>
            <w:tcW w:w="9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34,388</w:t>
            </w:r>
          </w:p>
        </w:tc>
      </w:tr>
      <w:tr>
        <w:trPr>
          <w:trHeight w:val="184"/>
        </w:trPr>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(6,598)</w:t>
            </w:r>
          </w:p>
        </w:tc>
      </w:tr>
      <w:tr>
        <w:trPr>
          <w:trHeight w:val="171"/>
        </w:trPr>
        <w:tc>
          <w:tcPr>
            <w:tcW w:w="9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407,010</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88"/>
        </w:trPr>
        <w:tc>
          <w:tcPr>
            <w:tcW w:w="90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r>
      <w:tr>
        <w:trPr>
          <w:trHeight w:val="180"/>
        </w:trPr>
        <w:tc>
          <w:tcPr>
            <w:tcW w:w="9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5,298</w:t>
            </w:r>
          </w:p>
        </w:tc>
      </w:tr>
      <w:tr>
        <w:trPr>
          <w:trHeight w:val="180"/>
        </w:trPr>
        <w:tc>
          <w:tcPr>
            <w:tcW w:w="9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r>
      <w:tr>
        <w:trPr>
          <w:trHeight w:val="180"/>
        </w:trPr>
        <w:tc>
          <w:tcPr>
            <w:tcW w:w="9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498,811</w:t>
            </w:r>
          </w:p>
        </w:tc>
      </w:tr>
      <w:tr>
        <w:trPr>
          <w:trHeight w:val="180"/>
        </w:trPr>
        <w:tc>
          <w:tcPr>
            <w:tcW w:w="9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r>
      <w:tr>
        <w:trPr>
          <w:trHeight w:val="180"/>
        </w:trPr>
        <w:tc>
          <w:tcPr>
            <w:tcW w:w="9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244,711</w:t>
            </w:r>
          </w:p>
        </w:tc>
      </w:tr>
      <w:tr>
        <w:trPr>
          <w:trHeight w:val="180"/>
        </w:trPr>
        <w:tc>
          <w:tcPr>
            <w:tcW w:w="9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211,400</w:t>
            </w:r>
          </w:p>
        </w:tc>
      </w:tr>
      <w:tr>
        <w:trPr>
          <w:trHeight w:val="180"/>
        </w:trPr>
        <w:tc>
          <w:tcPr>
            <w:tcW w:w="9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r>
      <w:tr>
        <w:trPr>
          <w:trHeight w:val="180"/>
        </w:trPr>
        <w:tc>
          <w:tcPr>
            <w:tcW w:w="9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(7,837)</w:t>
            </w:r>
          </w:p>
        </w:tc>
      </w:tr>
      <w:tr>
        <w:trPr>
          <w:trHeight w:val="180"/>
        </w:trPr>
        <w:tc>
          <w:tcPr>
            <w:tcW w:w="9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(498,811)</w:t>
            </w:r>
          </w:p>
        </w:tc>
      </w:tr>
      <w:tr>
        <w:trPr>
          <w:trHeight w:val="180"/>
        </w:trPr>
        <w:tc>
          <w:tcPr>
            <w:tcW w:w="9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(44,018)</w:t>
            </w:r>
          </w:p>
        </w:tc>
      </w:tr>
      <w:tr>
        <w:trPr>
          <w:trHeight w:val="184"/>
        </w:trPr>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(5,380)</w:t>
            </w:r>
          </w:p>
        </w:tc>
      </w:tr>
      <w:tr>
        <w:trPr>
          <w:trHeight w:val="171"/>
        </w:trPr>
        <w:tc>
          <w:tcPr>
            <w:tcW w:w="9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407,010</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60" w:space="720"/>
            <w:col w:w="2300"/>
          </w:cols>
          <w:pgMar w:left="300" w:top="125" w:right="319" w:bottom="1440" w:gutter="0" w:footer="0" w:header="0"/>
          <w:type w:val="continuous"/>
        </w:sectPr>
      </w:pPr>
    </w:p>
    <w:p>
      <w:pPr>
        <w:spacing w:after="0" w:line="29" w:lineRule="exact"/>
        <w:rPr>
          <w:sz w:val="20"/>
          <w:szCs w:val="20"/>
          <w:color w:val="auto"/>
        </w:rPr>
      </w:pPr>
    </w:p>
    <w:p>
      <w:pPr>
        <w:ind w:left="520" w:right="80" w:hanging="260"/>
        <w:spacing w:after="0" w:line="230" w:lineRule="auto"/>
        <w:tabs>
          <w:tab w:leader="none" w:pos="51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fair value of the 7,551,354 shares of Common stock that were issued was determined based on their market price at the time of closing adjusted for an appropriate liquidity discount due to trading restrictions under Securities Act Rule 144.</w:t>
      </w:r>
    </w:p>
    <w:p>
      <w:pPr>
        <w:spacing w:after="0" w:line="1" w:lineRule="exact"/>
        <w:rPr>
          <w:rFonts w:ascii="Times New Roman" w:cs="Times New Roman" w:eastAsia="Times New Roman" w:hAnsi="Times New Roman"/>
          <w:sz w:val="18"/>
          <w:szCs w:val="18"/>
          <w:color w:val="auto"/>
          <w:vertAlign w:val="superscript"/>
        </w:rPr>
      </w:pPr>
    </w:p>
    <w:p>
      <w:pPr>
        <w:jc w:val="both"/>
        <w:ind w:left="520" w:right="340" w:hanging="260"/>
        <w:spacing w:after="0" w:line="231" w:lineRule="auto"/>
        <w:tabs>
          <w:tab w:leader="none" w:pos="51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During the nine months ended September 30, 2022, the Company recorded measurement period adjustments due to additional information received related to income taxes and deferred income taxes, net. These measurement period adjustments resulted in an increase of $0.1 million in prepaid expenses and an increase of $0.3 million in other current assets and deferred income taxes, offset by a decrease in goodwill of $0.4 million.</w:t>
      </w:r>
    </w:p>
    <w:p>
      <w:pPr>
        <w:ind w:left="520" w:right="160" w:hanging="260"/>
        <w:spacing w:after="0" w:line="221" w:lineRule="auto"/>
        <w:tabs>
          <w:tab w:leader="none" w:pos="51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intangible assets acquired consist of $154.9 million for referral partner relationships, $34.3 million for technology, $20.1 million for customer relationships and $2.1 million for money transmission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Goodwill of $244.7 million arising from the acquisition of Finxera primarily consists of the expected synergies and other benefits from combining operations. Goodwill attributable to the acquisition of $8.7 million was deductible for income tax purposes. The goodwill was allocated 100% to the Company's Enterprise Payments reportable segment.</w:t>
      </w:r>
    </w:p>
    <w:p>
      <w:pPr>
        <w:spacing w:after="0" w:line="12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4"/>
          <w:szCs w:val="14"/>
          <w:color w:val="auto"/>
        </w:rPr>
        <w:t>In 2020, Finxera acquired two businesses for which the purchase price included contingent consideration valued at $6.1 million. The contingent consideration payable is comprised of earnout opportunities equal to 25% to 50% of certain revenues earned from the customers assumed in these acquisitions. The associated earnout opportunities are to be measured and paid every six months and expire at various dates through December 31, 2023. As of September 30, 2022, an adjustment of $1.1 million was recorded due to changes in the fair value of the contingent consideration (as selling, general and administrative expenses in the Company's Consolidated Statements of Operations) resulting in total contingent consideration of $7.2 million. The accretion of contingent consideration was $0.1 million and $0.4 million for the three and nine months ended September 30, 2022, respectively, which is included in interest expense on the Company's Unaudited Consolidated Statements of Operations, increasing the total liability to $7.6 million of which $1.8 million has been paid. The remaining $5.8 million was accrued, of which $3.9 million and</w:t>
      </w:r>
    </w:p>
    <w:p>
      <w:pPr>
        <w:spacing w:after="0" w:line="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4"/>
          <w:szCs w:val="14"/>
          <w:color w:val="auto"/>
        </w:rPr>
        <w:t>$1.9 million were included in accounts payable and accrued expenses and other noncurrent liabilities, respectively, on the Company's Unaudited Consolidated Balance Sheet as of September 30,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Acquisitions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Wholesale Payments, Inc</w:t>
      </w:r>
      <w:r>
        <w:rPr>
          <w:rFonts w:ascii="Times New Roman" w:cs="Times New Roman" w:eastAsia="Times New Roman" w:hAnsi="Times New Roman"/>
          <w:sz w:val="14"/>
          <w:szCs w:val="14"/>
          <w:color w:val="auto"/>
        </w:rPr>
        <w:t>.</w:t>
      </w:r>
    </w:p>
    <w:p>
      <w:pPr>
        <w:spacing w:after="0" w:line="17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On April 28, 2021, a subsidiary of the Company completed its acquisition of certain residual portfolio rights for a purchase price of $42.4 million in addition to $24.8 million of post-closing payments and earnout payments based on meeting certain attrition thresholds over a three-year period from the date of acquisition. The transaction did not meet the definition of a business, therefore it was accounted for as an asset acquisition under which the cost of the acquisition was allocated to the acquired assets based on relative fair values. As this is an asset acquisition, additional purchase price is accounted for when payment to the seller becomes probable and is added to the carrying value of the asset. The seller's note payable to the Company of $3.0 million and an advance of $2.0 million outstanding at the time of the purchase was netted against the initial purchase price, resulting in cash of $41.2 million being paid by the Company to the seller, which was funded from cash proceeds from the issuance of the redeemable senior preferred stock and cash on hand.</w:t>
      </w:r>
    </w:p>
    <w:p>
      <w:pPr>
        <w:spacing w:after="0" w:line="146"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As of the second quarter 2022, the sellers earned $9.4 million of the $24.8 million earnout, increasing the total purchase price recorded to $51.8 million, which was recorded to residual buyout intangible assets with a seven-year useful life amortized on a straight-line basis. In September 2022, an adjustment of $0.5 million was recorded, decreasing the total amount earned as of September 30, 2022 to $8.9 million. As of September 30, 2022, $5.1 million had been paid.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C&amp;H</w:t>
      </w:r>
    </w:p>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On June 25, 2021, a subsidiary of the Company acquired certain assets and assumed certain related liabilities of C&amp;H under an asset purchase agreement. C&amp;H was an ISO partner of the Company where it developed expertise in software-integrated payment services, as well as marketing programs for specific verticals such as automotive and youth sports. This business is reported within the Company's SMB Payments reportable segment. The initial purchase price for the net assets was $35.0 million in cash and a total purchase price of not more than $60.0 million including post-closing payments and earnout payments based on certain gross profit and revenue achievements over a three-year period from the date of acquisition. The acquisition date fair value of the contingent consideration was $4.7 million, which increased the total purchase price to $39.7 million. The seller's note payable to the Company of $0.5 million at the time of purchase was netted against the initial purchase price, resulting in cash of $34.5 million being paid by the Company to the seller, which was funded from a $30.0 million draw down of the revolving credit facility under the Credit Agreement held by the Company and $4.5 million cash on hand. Transaction costs were not material and were expensed. The purchase price allocation is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90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9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935"/>
        </w:trPr>
        <w:tc>
          <w:tcPr>
            <w:tcW w:w="100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1"/>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8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180"/>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 and other current assets</w:t>
            </w:r>
          </w:p>
        </w:tc>
        <w:tc>
          <w:tcPr>
            <w:tcW w:w="9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18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w:t>
            </w:r>
          </w:p>
        </w:tc>
      </w:tr>
      <w:tr>
        <w:trPr>
          <w:trHeight w:val="180"/>
        </w:trPr>
        <w:tc>
          <w:tcPr>
            <w:tcW w:w="90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Intangible assets, net</w:t>
            </w:r>
            <w:r>
              <w:rPr>
                <w:rFonts w:ascii="Times New Roman" w:cs="Times New Roman" w:eastAsia="Times New Roman" w:hAnsi="Times New Roman"/>
                <w:sz w:val="18"/>
                <w:szCs w:val="18"/>
                <w:color w:val="auto"/>
                <w:vertAlign w:val="superscript"/>
              </w:rPr>
              <w:t>(1)</w:t>
            </w:r>
          </w:p>
        </w:tc>
        <w:tc>
          <w:tcPr>
            <w:tcW w:w="9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25,400</w:t>
            </w:r>
          </w:p>
        </w:tc>
      </w:tr>
      <w:tr>
        <w:trPr>
          <w:trHeight w:val="180"/>
        </w:trPr>
        <w:tc>
          <w:tcPr>
            <w:tcW w:w="9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9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96"/>
        </w:trPr>
        <w:tc>
          <w:tcPr>
            <w:tcW w:w="9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purchase price</w:t>
            </w: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39,700</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20" w:right="240" w:hanging="260"/>
        <w:spacing w:after="0" w:line="230" w:lineRule="auto"/>
        <w:tabs>
          <w:tab w:leader="none" w:pos="51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intangible assets acquired consist of $20.2 million for merchant portfolio intangible assets with a ten-year useful life and $5.2 million for ISO partner relationships with a twelve-year useful life.</w:t>
      </w:r>
    </w:p>
    <w:p>
      <w:pPr>
        <w:spacing w:after="0" w:line="15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As of September 30, 2022, the fair value of the C&amp;H contingent consideration was $5.0 million, of which $3.0 million and $2.0 million were included in accounts payable and accrued expenses and other noncurrent liabilities, respectively, on the Company's Unaudited Consolidated Balance Sheet as of September 30, 2022. The accretion of contingent consideration was $0.3 million for the three and nine months ended September 30, 2022, which is included in interest expense on the Company's Unaudited Consolidated Statements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goodwill for the C&amp;H business combination is deductible by the Company for income tax purposes.</w:t>
      </w:r>
    </w:p>
    <w:p>
      <w:pPr>
        <w:spacing w:after="0" w:line="200" w:lineRule="exact"/>
        <w:rPr>
          <w:sz w:val="20"/>
          <w:szCs w:val="20"/>
          <w:color w:val="auto"/>
        </w:rPr>
      </w:pPr>
    </w:p>
    <w:p>
      <w:pPr>
        <w:spacing w:after="0" w:line="33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tab/>
        <w:t>Settlement Assets and Customer Account Balances and Related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12529"/>
        </w:rPr>
        <w:t>SMB Payments Segment</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212529"/>
        </w:rPr>
        <w:t xml:space="preserve">In the Company's SMB Payments reportable segment, funds settlement refers to the process of transferring funds for sales and credits between card issuers and merchants. The standards of the card networks require possession of funds during the settlement process by a member bank which controls the clearing transactions. Since settlement funds are required to be in the possession of a member bank until the merchant is funded, these funds are not assets of the Company and the associated obligations related to these funds are not liabilities of the Company. Therefore, neither is recognized in the Company's Unaudited Consolidated Balance Sheets. Member banks held merchant funds of $113.3 million </w:t>
      </w:r>
      <w:r>
        <w:rPr>
          <w:rFonts w:ascii="Times New Roman" w:cs="Times New Roman" w:eastAsia="Times New Roman" w:hAnsi="Times New Roman"/>
          <w:sz w:val="14"/>
          <w:szCs w:val="14"/>
          <w:color w:val="000000"/>
        </w:rPr>
        <w:t>and $102.1 million at September 30, 2022 and December 31, 2021, respectively.</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Exception items that become the liability of the Company are recorded as merchant losses, a component of cost of revenue in the Company's Unaudited Consolidated Statements of Operations. Exception items that the Company is still attempting to collect from the merchants through the funds settlement process or merchant reserves are recognized as settlement assets and customer account balances in the Company's Unaudited Consolidated Balance Sheets, with an offsetting reserve for those amounts the Company estimates it will not be able to recover. Expenses for merchant losses for the three and nine months ended September 30, 2022 were $0.7 million and $2.8 million, respectively. Expenses for merchant losses for the three and nine months ended September 30, 2021 were $0.6 million and $1.6 million,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B2B Payments Segment</w:t>
      </w:r>
    </w:p>
    <w:p>
      <w:pPr>
        <w:spacing w:after="0" w:line="1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In the Company's B2B Payments segment, the Company earns revenues from certain of its services by processing transactions for FIs and other business customers. Customers transfer funds to the Company, which are held in either company-owned bank accounts controlled by the Company or bank-owned FBO accounts controlled by the banks, until such time that the transactions are settled with the customer payees. Amounts due to customer payees that are held by the Company in company-owned bank accounts are included in restricted cash. Amounts due to customer payees that are held in bank-owned FBO accounts are not assets of the Company, and the associated obligations related to these funds are not liabilities of the Company. Therefore, neither is recognized in the Company's Unaudited Consolidated Balance Sheets. Bank-owned FBO accounts held funds of $71.8 million and $45.5 million at September 30, 2022 and December 31, 2021, respectively. Company-owned bank accounts held $4.4 million and $21.4 million at September 30, 2022 and December 31, 2021, respectively, which are included in restricted cash and settlement and customer account obligations in the Company's Unaudited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Enterprise Payments Segment</w:t>
      </w:r>
    </w:p>
    <w:p>
      <w:pPr>
        <w:spacing w:after="0" w:line="17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4"/>
          <w:szCs w:val="14"/>
          <w:color w:val="auto"/>
        </w:rPr>
        <w:t>In the Company's Enterprise Payments segment revenue is derived primarily from enrollment fees, monthly subscription fees and transaction-based fees from licensed money transmission services. As part of its licensed money transmission services, the Company accepts deposits from consumers and subscribers which are held in bank accounts maintained by the Company on behalf of consumers and subscribers. After accepting deposits, the Company is allowed to invest available balances in these accounts in certain permitted investments, and the return on such investments contributes to the Company's net cash inflows. These balances are payable on demand. As such, the Company recorded these balances and related obligations as current assets and current liabilities. The nature of these balances are cash and cash equivalents, but they are not available for day-to-day operations of the Company. Therefore, the Company has classified these balances as settlement assets and customer account balances and the related obligations as settlement and customer account obligations in the Company's Unaudited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settlement assets and customer account balances and settlement and customer account obligations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Pr>
          <w:p>
            <w:pPr>
              <w:spacing w:after="0"/>
              <w:rPr>
                <w:sz w:val="16"/>
                <w:szCs w:val="16"/>
                <w:color w:val="auto"/>
              </w:rPr>
            </w:pPr>
          </w:p>
        </w:tc>
        <w:tc>
          <w:tcPr>
            <w:tcW w:w="1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61"/>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 Assets:</w:t>
            </w:r>
          </w:p>
        </w:tc>
        <w:tc>
          <w:tcPr>
            <w:tcW w:w="240" w:type="dxa"/>
            <w:vAlign w:val="bottom"/>
            <w:tcBorders>
              <w:top w:val="single" w:sz="8" w:color="auto"/>
            </w:tcBorders>
            <w:shd w:val="clear" w:color="auto" w:fill="CCEEFF"/>
          </w:tcPr>
          <w:p>
            <w:pPr>
              <w:spacing w:after="0"/>
              <w:rPr>
                <w:sz w:val="13"/>
                <w:szCs w:val="13"/>
                <w:color w:val="auto"/>
              </w:rPr>
            </w:pPr>
          </w:p>
        </w:tc>
        <w:tc>
          <w:tcPr>
            <w:tcW w:w="17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Card settlements due from merchants, net of estimated losses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Customer Account Balances:</w:t>
            </w:r>
          </w:p>
        </w:tc>
        <w:tc>
          <w:tcPr>
            <w:tcW w:w="2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515,126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468,934</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Time deposits</w:t>
            </w:r>
          </w:p>
        </w:tc>
        <w:tc>
          <w:tcPr>
            <w:tcW w:w="240" w:type="dxa"/>
            <w:vAlign w:val="bottom"/>
            <w:shd w:val="clear" w:color="auto" w:fill="CCEEFF"/>
          </w:tcPr>
          <w:p>
            <w:pPr>
              <w:spacing w:after="0"/>
              <w:rPr>
                <w:sz w:val="15"/>
                <w:szCs w:val="15"/>
                <w:color w:val="auto"/>
              </w:rPr>
            </w:pPr>
          </w:p>
        </w:tc>
        <w:tc>
          <w:tcPr>
            <w:tcW w:w="1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7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settlement assets and customer account balances</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516,687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479,471</w:t>
            </w:r>
          </w:p>
        </w:tc>
        <w:tc>
          <w:tcPr>
            <w:tcW w:w="0" w:type="dxa"/>
            <w:vAlign w:val="bottom"/>
          </w:tcPr>
          <w:p>
            <w:pPr>
              <w:spacing w:after="0"/>
              <w:rPr>
                <w:sz w:val="1"/>
                <w:szCs w:val="1"/>
                <w:color w:val="auto"/>
              </w:rPr>
            </w:pP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Settlement and Customer Account Obligations:</w:t>
            </w: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Customer account obligations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515,126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478,935</w:t>
            </w:r>
          </w:p>
        </w:tc>
        <w:tc>
          <w:tcPr>
            <w:tcW w:w="0" w:type="dxa"/>
            <w:vAlign w:val="bottom"/>
          </w:tcPr>
          <w:p>
            <w:pPr>
              <w:spacing w:after="0"/>
              <w:rPr>
                <w:sz w:val="1"/>
                <w:szCs w:val="1"/>
                <w:color w:val="auto"/>
              </w:rPr>
            </w:pPr>
          </w:p>
        </w:tc>
      </w:tr>
      <w:tr>
        <w:trPr>
          <w:trHeight w:val="180"/>
        </w:trPr>
        <w:tc>
          <w:tcPr>
            <w:tcW w:w="7240" w:type="dxa"/>
            <w:vAlign w:val="bottom"/>
            <w:tcBorders>
              <w:bottom w:val="single" w:sz="8" w:color="CCEEFF"/>
            </w:tcBorders>
          </w:tcPr>
          <w:p>
            <w:pPr>
              <w:ind w:left="120"/>
              <w:spacing w:after="0" w:line="181" w:lineRule="exact"/>
              <w:rPr>
                <w:sz w:val="20"/>
                <w:szCs w:val="20"/>
                <w:color w:val="auto"/>
              </w:rPr>
            </w:pPr>
            <w:r>
              <w:rPr>
                <w:rFonts w:ascii="Times New Roman" w:cs="Times New Roman" w:eastAsia="Times New Roman" w:hAnsi="Times New Roman"/>
                <w:sz w:val="14"/>
                <w:szCs w:val="14"/>
                <w:color w:val="auto"/>
              </w:rPr>
              <w:t>Due to customer payees</w:t>
            </w:r>
            <w:r>
              <w:rPr>
                <w:rFonts w:ascii="Times New Roman" w:cs="Times New Roman" w:eastAsia="Times New Roman" w:hAnsi="Times New Roman"/>
                <w:sz w:val="18"/>
                <w:szCs w:val="18"/>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21,356</w:t>
            </w:r>
          </w:p>
        </w:tc>
        <w:tc>
          <w:tcPr>
            <w:tcW w:w="0" w:type="dxa"/>
            <w:vAlign w:val="bottom"/>
          </w:tcPr>
          <w:p>
            <w:pPr>
              <w:spacing w:after="0"/>
              <w:rPr>
                <w:sz w:val="1"/>
                <w:szCs w:val="1"/>
                <w:color w:val="auto"/>
              </w:rPr>
            </w:pPr>
          </w:p>
        </w:tc>
      </w:tr>
      <w:tr>
        <w:trPr>
          <w:trHeight w:val="196"/>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settlement and customer account obligations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517,008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500,291</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The related assets are included in restricted cash on our Unaudited Consolidated Balance Sheets.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7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7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5.  Goodwill and Other Intangible Assets</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240" w:type="dxa"/>
            <w:vAlign w:val="bottom"/>
          </w:tcPr>
          <w:p>
            <w:pPr>
              <w:spacing w:after="0"/>
              <w:rPr>
                <w:sz w:val="20"/>
                <w:szCs w:val="20"/>
                <w:color w:val="auto"/>
              </w:rPr>
            </w:pPr>
            <w:r>
              <w:rPr>
                <w:rFonts w:ascii="Times New Roman" w:cs="Times New Roman" w:eastAsia="Times New Roman" w:hAnsi="Times New Roman"/>
                <w:sz w:val="14"/>
                <w:szCs w:val="14"/>
                <w:color w:val="auto"/>
              </w:rPr>
              <w:t>The Company's goodwill relates to the following reporting units as of September 30, 2022 and December 31, 2021:</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4"/>
                <w:szCs w:val="24"/>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Pr>
          <w:p>
            <w:pPr>
              <w:spacing w:after="0"/>
              <w:rPr>
                <w:sz w:val="24"/>
                <w:szCs w:val="24"/>
                <w:color w:val="auto"/>
              </w:rPr>
            </w:pPr>
          </w:p>
        </w:tc>
        <w:tc>
          <w:tcPr>
            <w:tcW w:w="1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71"/>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SMB Payments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120,636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120,636</w:t>
            </w:r>
          </w:p>
        </w:tc>
        <w:tc>
          <w:tcPr>
            <w:tcW w:w="0" w:type="dxa"/>
            <w:vAlign w:val="bottom"/>
          </w:tcPr>
          <w:p>
            <w:pPr>
              <w:spacing w:after="0"/>
              <w:rPr>
                <w:sz w:val="1"/>
                <w:szCs w:val="1"/>
                <w:color w:val="auto"/>
              </w:rPr>
            </w:pPr>
          </w:p>
        </w:tc>
      </w:tr>
      <w:tr>
        <w:trPr>
          <w:trHeight w:val="18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Enterprise Payments</w:t>
            </w: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244,711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245,104</w:t>
            </w:r>
          </w:p>
        </w:tc>
        <w:tc>
          <w:tcPr>
            <w:tcW w:w="0" w:type="dxa"/>
            <w:vAlign w:val="bottom"/>
          </w:tcPr>
          <w:p>
            <w:pPr>
              <w:spacing w:after="0"/>
              <w:rPr>
                <w:sz w:val="1"/>
                <w:szCs w:val="1"/>
                <w:color w:val="auto"/>
              </w:rPr>
            </w:pPr>
          </w:p>
        </w:tc>
      </w:tr>
      <w:tr>
        <w:trPr>
          <w:trHeight w:val="196"/>
        </w:trPr>
        <w:tc>
          <w:tcPr>
            <w:tcW w:w="7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365,347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365,740</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3"/>
        </w:trPr>
        <w:tc>
          <w:tcPr>
            <w:tcW w:w="98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The following table summarizes the changes in the carrying value of goodwill for the periods ended September 30, 2022 and December 31, 2021</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365,740</w:t>
            </w: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Changes in the value of goodwill</w:t>
            </w: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365,740</w:t>
            </w: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Changes in the value of goodwill</w:t>
            </w: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365,740</w:t>
            </w: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Final purchase price adjustment for Finxera</w:t>
            </w: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1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365,347</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gridSpan w:val="4"/>
          </w:tcPr>
          <w:p>
            <w:pPr>
              <w:spacing w:after="0" w:line="20" w:lineRule="exact"/>
              <w:rPr>
                <w:sz w:val="1"/>
                <w:szCs w:val="1"/>
                <w:color w:val="auto"/>
              </w:rPr>
            </w:pPr>
          </w:p>
        </w:tc>
        <w:tc>
          <w:tcPr>
            <w:tcW w:w="1860" w:type="dxa"/>
            <w:vAlign w:val="bottom"/>
            <w:tcBorders>
              <w:top w:val="single" w:sz="8" w:color="CCEEFF"/>
            </w:tcBorders>
            <w:gridSpan w:val="3"/>
          </w:tcPr>
          <w:p>
            <w:pPr>
              <w:spacing w:after="0" w:line="20" w:lineRule="exact"/>
              <w:rPr>
                <w:sz w:val="1"/>
                <w:szCs w:val="1"/>
                <w:color w:val="auto"/>
              </w:rPr>
            </w:pPr>
          </w:p>
        </w:tc>
        <w:tc>
          <w:tcPr>
            <w:tcW w:w="1860" w:type="dxa"/>
            <w:vAlign w:val="bottom"/>
            <w:tcBorders>
              <w:top w:val="single" w:sz="8" w:color="CCEEFF"/>
            </w:tcBorders>
            <w:gridSpan w:val="3"/>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98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As of September 30, 2022, the Company is not aware of any triggering events for impairment that have occurred since the last annual impairment test.</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Intangible Assets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At September 30, 2022 and December 31, 2021, other intangible assets consisted of the following:</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weighted-average data)</w:t>
            </w: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80" w:type="dxa"/>
            <w:vAlign w:val="bottom"/>
          </w:tcPr>
          <w:p>
            <w:pPr>
              <w:spacing w:after="0"/>
              <w:rPr>
                <w:sz w:val="10"/>
                <w:szCs w:val="10"/>
                <w:color w:val="auto"/>
              </w:rPr>
            </w:pPr>
          </w:p>
        </w:tc>
        <w:tc>
          <w:tcPr>
            <w:tcW w:w="180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4"/>
            <w:vMerge w:val="continue"/>
          </w:tcPr>
          <w:p>
            <w:pPr>
              <w:spacing w:after="0"/>
              <w:rPr>
                <w:sz w:val="16"/>
                <w:szCs w:val="16"/>
                <w:color w:val="auto"/>
              </w:rPr>
            </w:pPr>
          </w:p>
        </w:tc>
        <w:tc>
          <w:tcPr>
            <w:tcW w:w="14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61"/>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16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ISO and referral partner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175,300</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(20,941)</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154,359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7"/>
              </w:rPr>
              <w:t>14.8</w:t>
            </w:r>
          </w:p>
        </w:tc>
        <w:tc>
          <w:tcPr>
            <w:tcW w:w="0" w:type="dxa"/>
            <w:vAlign w:val="bottom"/>
          </w:tcPr>
          <w:p>
            <w:pPr>
              <w:spacing w:after="0"/>
              <w:rPr>
                <w:sz w:val="1"/>
                <w:szCs w:val="1"/>
                <w:color w:val="auto"/>
              </w:rPr>
            </w:pPr>
          </w:p>
        </w:tc>
      </w:tr>
      <w:tr>
        <w:trPr>
          <w:trHeight w:val="180"/>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Residual buyouts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132,997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61,815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w w:val="91"/>
              </w:rPr>
              <w:t>6.2</w:t>
            </w:r>
          </w:p>
        </w:tc>
        <w:tc>
          <w:tcPr>
            <w:tcW w:w="0" w:type="dxa"/>
            <w:vAlign w:val="bottom"/>
          </w:tcPr>
          <w:p>
            <w:pPr>
              <w:spacing w:after="0"/>
              <w:rPr>
                <w:sz w:val="1"/>
                <w:szCs w:val="1"/>
                <w:color w:val="auto"/>
              </w:rPr>
            </w:pPr>
          </w:p>
        </w:tc>
      </w:tr>
      <w:tr>
        <w:trPr>
          <w:trHeight w:val="180"/>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Customer relationships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1"/>
              </w:rPr>
              <w:t>8.0</w:t>
            </w:r>
          </w:p>
        </w:tc>
        <w:tc>
          <w:tcPr>
            <w:tcW w:w="0" w:type="dxa"/>
            <w:vAlign w:val="bottom"/>
          </w:tcPr>
          <w:p>
            <w:pPr>
              <w:spacing w:after="0"/>
              <w:rPr>
                <w:sz w:val="1"/>
                <w:szCs w:val="1"/>
                <w:color w:val="auto"/>
              </w:rPr>
            </w:pPr>
          </w:p>
        </w:tc>
      </w:tr>
      <w:tr>
        <w:trPr>
          <w:trHeight w:val="180"/>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Merchant portfolios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76,423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36,336</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w w:val="91"/>
              </w:rPr>
              <w:t>6.7</w:t>
            </w:r>
          </w:p>
        </w:tc>
        <w:tc>
          <w:tcPr>
            <w:tcW w:w="0" w:type="dxa"/>
            <w:vAlign w:val="bottom"/>
          </w:tcPr>
          <w:p>
            <w:pPr>
              <w:spacing w:after="0"/>
              <w:rPr>
                <w:sz w:val="1"/>
                <w:szCs w:val="1"/>
                <w:color w:val="auto"/>
              </w:rPr>
            </w:pPr>
          </w:p>
        </w:tc>
      </w:tr>
      <w:tr>
        <w:trPr>
          <w:trHeight w:val="180"/>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Technology</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1"/>
              </w:rPr>
              <w:t>9.9</w:t>
            </w:r>
          </w:p>
        </w:tc>
        <w:tc>
          <w:tcPr>
            <w:tcW w:w="0" w:type="dxa"/>
            <w:vAlign w:val="bottom"/>
          </w:tcPr>
          <w:p>
            <w:pPr>
              <w:spacing w:after="0"/>
              <w:rPr>
                <w:sz w:val="1"/>
                <w:szCs w:val="1"/>
                <w:color w:val="auto"/>
              </w:rPr>
            </w:pPr>
          </w:p>
        </w:tc>
      </w:tr>
      <w:tr>
        <w:trPr>
          <w:trHeight w:val="180"/>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Non-compete agreements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w w:val="91"/>
              </w:rPr>
              <w:t>0.0</w:t>
            </w:r>
          </w:p>
        </w:tc>
        <w:tc>
          <w:tcPr>
            <w:tcW w:w="0" w:type="dxa"/>
            <w:vAlign w:val="bottom"/>
          </w:tcPr>
          <w:p>
            <w:pPr>
              <w:spacing w:after="0"/>
              <w:rPr>
                <w:sz w:val="1"/>
                <w:szCs w:val="1"/>
                <w:color w:val="auto"/>
              </w:rPr>
            </w:pPr>
          </w:p>
        </w:tc>
      </w:tr>
      <w:tr>
        <w:trPr>
          <w:trHeight w:val="180"/>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Trade names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7"/>
              </w:rPr>
              <w:t>11.7</w:t>
            </w:r>
          </w:p>
        </w:tc>
        <w:tc>
          <w:tcPr>
            <w:tcW w:w="0" w:type="dxa"/>
            <w:vAlign w:val="bottom"/>
          </w:tcPr>
          <w:p>
            <w:pPr>
              <w:spacing w:after="0"/>
              <w:rPr>
                <w:sz w:val="1"/>
                <w:szCs w:val="1"/>
                <w:color w:val="auto"/>
              </w:rPr>
            </w:pPr>
          </w:p>
        </w:tc>
      </w:tr>
      <w:tr>
        <w:trPr>
          <w:trHeight w:val="180"/>
        </w:trPr>
        <w:tc>
          <w:tcPr>
            <w:tcW w:w="4180" w:type="dxa"/>
            <w:vAlign w:val="bottom"/>
            <w:gridSpan w:val="2"/>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Money transmission licenses</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537,336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(235,607)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301,729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1"/>
              </w:rPr>
              <w:t>9.9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500" w:hanging="240"/>
        <w:spacing w:after="0"/>
        <w:tabs>
          <w:tab w:leader="none" w:pos="50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Money transmission licenses have an indefinite useful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weighted-average data)</w:t>
            </w: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18"/>
        </w:trPr>
        <w:tc>
          <w:tcPr>
            <w:tcW w:w="4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80" w:type="dxa"/>
            <w:vAlign w:val="bottom"/>
          </w:tcPr>
          <w:p>
            <w:pPr>
              <w:spacing w:after="0"/>
              <w:rPr>
                <w:sz w:val="10"/>
                <w:szCs w:val="10"/>
                <w:color w:val="auto"/>
              </w:rPr>
            </w:pPr>
          </w:p>
        </w:tc>
        <w:tc>
          <w:tcPr>
            <w:tcW w:w="158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161"/>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16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ISO and referral partner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175,300</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(11,679)</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163,621</w:t>
            </w:r>
          </w:p>
        </w:tc>
        <w:tc>
          <w:tcPr>
            <w:tcW w:w="16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14.8</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Residual buyouts</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(56,186)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70,039</w:t>
            </w:r>
          </w:p>
        </w:tc>
        <w:tc>
          <w:tcPr>
            <w:tcW w:w="16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1"/>
              </w:rPr>
              <w:t>6.4</w:t>
            </w:r>
          </w:p>
        </w:tc>
        <w:tc>
          <w:tcPr>
            <w:tcW w:w="0" w:type="dxa"/>
            <w:vAlign w:val="bottom"/>
          </w:tcPr>
          <w:p>
            <w:pPr>
              <w:spacing w:after="0"/>
              <w:rPr>
                <w:sz w:val="1"/>
                <w:szCs w:val="1"/>
                <w:color w:val="auto"/>
              </w:rPr>
            </w:pPr>
          </w:p>
        </w:tc>
      </w:tr>
      <w:tr>
        <w:trPr>
          <w:trHeight w:val="180"/>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Customer relationships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24,683</w:t>
            </w:r>
          </w:p>
        </w:tc>
        <w:tc>
          <w:tcPr>
            <w:tcW w:w="16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1"/>
              </w:rPr>
              <w:t>8.1</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Merchant portfolios</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76,016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45,137</w:t>
            </w:r>
          </w:p>
        </w:tc>
        <w:tc>
          <w:tcPr>
            <w:tcW w:w="16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1"/>
              </w:rPr>
              <w:t>6.7</w:t>
            </w:r>
          </w:p>
        </w:tc>
        <w:tc>
          <w:tcPr>
            <w:tcW w:w="0" w:type="dxa"/>
            <w:vAlign w:val="bottom"/>
          </w:tcPr>
          <w:p>
            <w:pPr>
              <w:spacing w:after="0"/>
              <w:rPr>
                <w:sz w:val="1"/>
                <w:szCs w:val="1"/>
                <w:color w:val="auto"/>
              </w:rPr>
            </w:pPr>
          </w:p>
        </w:tc>
      </w:tr>
      <w:tr>
        <w:trPr>
          <w:trHeight w:val="180"/>
        </w:trPr>
        <w:tc>
          <w:tcPr>
            <w:tcW w:w="418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Technology</w:t>
            </w:r>
            <w:r>
              <w:rPr>
                <w:rFonts w:ascii="Times New Roman" w:cs="Times New Roman" w:eastAsia="Times New Roman" w:hAnsi="Times New Roman"/>
                <w:sz w:val="18"/>
                <w:szCs w:val="18"/>
                <w:color w:val="auto"/>
                <w:vertAlign w:val="superscript"/>
              </w:rPr>
              <w:t>(2)</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33,651</w:t>
            </w:r>
          </w:p>
        </w:tc>
        <w:tc>
          <w:tcPr>
            <w:tcW w:w="16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1"/>
              </w:rPr>
              <w:t>9.9</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Non-compete agreements</w:t>
            </w:r>
            <w:r>
              <w:rPr>
                <w:rFonts w:ascii="Times New Roman" w:cs="Times New Roman" w:eastAsia="Times New Roman" w:hAnsi="Times New Roman"/>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1"/>
              </w:rPr>
              <w:t>0.0</w:t>
            </w:r>
          </w:p>
        </w:tc>
        <w:tc>
          <w:tcPr>
            <w:tcW w:w="0" w:type="dxa"/>
            <w:vAlign w:val="bottom"/>
          </w:tcPr>
          <w:p>
            <w:pPr>
              <w:spacing w:after="0"/>
              <w:rPr>
                <w:sz w:val="1"/>
                <w:szCs w:val="1"/>
                <w:color w:val="auto"/>
              </w:rPr>
            </w:pPr>
          </w:p>
        </w:tc>
      </w:tr>
      <w:tr>
        <w:trPr>
          <w:trHeight w:val="180"/>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Trade names</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6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w w:val="97"/>
              </w:rPr>
              <w:t>11.6</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Money transmission licenses</w:t>
            </w:r>
            <w:r>
              <w:rPr>
                <w:rFonts w:ascii="Times New Roman" w:cs="Times New Roman" w:eastAsia="Times New Roman" w:hAnsi="Times New Roman"/>
                <w:sz w:val="18"/>
                <w:szCs w:val="18"/>
                <w:color w:val="auto"/>
                <w:vertAlign w:val="superscript"/>
              </w:rPr>
              <w:t>(3)</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530,157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(189,946)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340,211</w:t>
            </w:r>
          </w:p>
        </w:tc>
        <w:tc>
          <w:tcPr>
            <w:tcW w:w="16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1"/>
              </w:rPr>
              <w:t>9.7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00" w:hanging="240"/>
        <w:spacing w:after="0"/>
        <w:tabs>
          <w:tab w:leader="none" w:pos="5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Additions to residual buyouts were offset by certain assets that became fully amortized in 2021 but are still in service.</w:t>
      </w:r>
    </w:p>
    <w:p>
      <w:pPr>
        <w:spacing w:after="0" w:line="1" w:lineRule="exact"/>
        <w:rPr>
          <w:rFonts w:ascii="Times New Roman" w:cs="Times New Roman" w:eastAsia="Times New Roman" w:hAnsi="Times New Roman"/>
          <w:sz w:val="18"/>
          <w:szCs w:val="18"/>
          <w:color w:val="auto"/>
          <w:vertAlign w:val="superscript"/>
        </w:rPr>
      </w:pPr>
    </w:p>
    <w:p>
      <w:pPr>
        <w:ind w:left="500" w:hanging="240"/>
        <w:spacing w:after="0" w:line="194" w:lineRule="auto"/>
        <w:tabs>
          <w:tab w:leader="none" w:pos="5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Certain assets in the group became fully amortized in 2021 but are still in service.</w:t>
      </w:r>
    </w:p>
    <w:p>
      <w:pPr>
        <w:spacing w:after="0" w:line="2" w:lineRule="exact"/>
        <w:rPr>
          <w:rFonts w:ascii="Times New Roman" w:cs="Times New Roman" w:eastAsia="Times New Roman" w:hAnsi="Times New Roman"/>
          <w:sz w:val="18"/>
          <w:szCs w:val="18"/>
          <w:color w:val="auto"/>
          <w:vertAlign w:val="superscript"/>
        </w:rPr>
      </w:pPr>
    </w:p>
    <w:p>
      <w:pPr>
        <w:ind w:left="500" w:hanging="240"/>
        <w:spacing w:after="0" w:line="194" w:lineRule="auto"/>
        <w:tabs>
          <w:tab w:leader="none" w:pos="50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These assets have an indefinite useful life.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Amortization expense</w:t>
            </w: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15,452</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45,773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25,858</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2022, there were no impairment indicators present.</w:t>
      </w:r>
    </w:p>
    <w:p>
      <w:pPr>
        <w:spacing w:after="0" w:line="17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r>
      <w:r>
        <w:rPr>
          <w:sz w:val="20"/>
          <w:szCs w:val="20"/>
          <w:color w:val="auto"/>
        </w:rPr>
        <w:tab/>
      </w:r>
      <w:r>
        <w:rPr>
          <w:rFonts w:ascii="Times New Roman" w:cs="Times New Roman" w:eastAsia="Times New Roman" w:hAnsi="Times New Roman"/>
          <w:sz w:val="13"/>
          <w:szCs w:val="13"/>
          <w:b w:val="1"/>
          <w:bCs w:val="1"/>
          <w:color w:val="auto"/>
        </w:rPr>
        <w:t>Property, Equipment and Software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property, equipment and software, net as of September 30, 2022 and December 31, 2021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11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63,087</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52,715</w:t>
            </w:r>
          </w:p>
        </w:tc>
      </w:tr>
      <w:tr>
        <w:trPr>
          <w:trHeight w:val="18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12,255</w:t>
            </w:r>
          </w:p>
        </w:tc>
      </w:tr>
      <w:tr>
        <w:trPr>
          <w:trHeight w:val="18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6,467</w:t>
            </w:r>
          </w:p>
        </w:tc>
      </w:tr>
      <w:tr>
        <w:trPr>
          <w:trHeight w:val="18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1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2,819</w:t>
            </w: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w:t>
            </w:r>
          </w:p>
        </w:tc>
        <w:tc>
          <w:tcPr>
            <w:tcW w:w="1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85,592</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74,256</w:t>
            </w:r>
          </w:p>
        </w:tc>
      </w:tr>
      <w:tr>
        <w:trPr>
          <w:trHeight w:val="171"/>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1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(55,819)</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(49,023)</w:t>
            </w:r>
          </w:p>
        </w:tc>
      </w:tr>
      <w:tr>
        <w:trPr>
          <w:trHeight w:val="196"/>
        </w:trPr>
        <w:tc>
          <w:tcPr>
            <w:tcW w:w="4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Property, equipment and software, net</w:t>
            </w:r>
          </w:p>
        </w:tc>
        <w:tc>
          <w:tcPr>
            <w:tcW w:w="1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29,773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25,233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gridSpan w:val="3"/>
          </w:tcPr>
          <w:p>
            <w:pPr>
              <w:spacing w:after="0" w:line="20" w:lineRule="exact"/>
              <w:rPr>
                <w:sz w:val="1"/>
                <w:szCs w:val="1"/>
                <w:color w:val="auto"/>
              </w:rPr>
            </w:pPr>
          </w:p>
        </w:tc>
      </w:tr>
      <w:tr>
        <w:trPr>
          <w:trHeight w:val="408"/>
        </w:trPr>
        <w:tc>
          <w:tcPr>
            <w:tcW w:w="4080" w:type="dxa"/>
            <w:vAlign w:val="bottom"/>
          </w:tcPr>
          <w:p>
            <w:pPr>
              <w:spacing w:after="0"/>
              <w:rPr>
                <w:sz w:val="24"/>
                <w:szCs w:val="24"/>
                <w:color w:val="auto"/>
              </w:rPr>
            </w:pPr>
          </w:p>
        </w:tc>
        <w:tc>
          <w:tcPr>
            <w:tcW w:w="3180" w:type="dxa"/>
            <w:vAlign w:val="bottom"/>
            <w:tcBorders>
              <w:bottom w:val="single" w:sz="8" w:color="auto"/>
            </w:tcBorders>
            <w:gridSpan w:val="4"/>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expense</w:t>
            </w:r>
          </w:p>
        </w:tc>
        <w:tc>
          <w:tcPr>
            <w:tcW w:w="118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2,139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6,265</w:t>
            </w:r>
          </w:p>
        </w:tc>
      </w:tr>
    </w:tbl>
    <w:p>
      <w:pPr>
        <w:spacing w:after="0" w:line="22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Computer software represents purchased software and internally developed back office and merchant interfacing systems used to assist in the reporting of merchant processing transactions and other related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80" w:hanging="275"/>
        <w:spacing w:after="0"/>
        <w:tabs>
          <w:tab w:leader="none" w:pos="28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Notes Receivable</w:t>
      </w:r>
    </w:p>
    <w:p>
      <w:pPr>
        <w:spacing w:after="0" w:line="1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Company had notes receivable of $3.1 million and $0.4 million as of September 30, 2022 and December 31, 2021, respectively, which are reported as current portion of notes receivable and notes receivable less current portion on the Company's Unaudited Consolidated Balance Sheets. The notes receivable carried weighted-average interest rates of 14.8% and 13.8% as of September 30, 2022 and December 31, 2021, respectively. The notes receivable are comprised of notes receivable from ISOs, and under the terms of the agreements the Company preserves the right to hold back residual payments due to the ISOs and to apply such residuals against future payments due to the Company. As of September 30, 2022 and December 31, 2021, the Company had no allowance for doubtful notes receivable.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2022, the principal payments for the Company's notes receivable are due as follows: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Twelve months ending September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8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After 2027</w:t>
            </w:r>
          </w:p>
        </w:tc>
        <w:tc>
          <w:tcPr>
            <w:tcW w:w="24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3,058</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8.  Debt Obligations</w:t>
            </w: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7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240" w:type="dxa"/>
            <w:vAlign w:val="bottom"/>
          </w:tcPr>
          <w:p>
            <w:pPr>
              <w:spacing w:after="0"/>
              <w:rPr>
                <w:sz w:val="20"/>
                <w:szCs w:val="20"/>
                <w:color w:val="auto"/>
              </w:rPr>
            </w:pPr>
            <w:r>
              <w:rPr>
                <w:rFonts w:ascii="Times New Roman" w:cs="Times New Roman" w:eastAsia="Times New Roman" w:hAnsi="Times New Roman"/>
                <w:sz w:val="14"/>
                <w:szCs w:val="14"/>
                <w:color w:val="auto"/>
              </w:rPr>
              <w:t>Outstanding debt obligations as of September 30, 2022 and December 31, 2021 consisted of the following:</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Pr>
          <w:p>
            <w:pPr>
              <w:spacing w:after="0"/>
              <w:rPr>
                <w:sz w:val="24"/>
                <w:szCs w:val="24"/>
                <w:color w:val="auto"/>
              </w:rPr>
            </w:pPr>
          </w:p>
        </w:tc>
        <w:tc>
          <w:tcPr>
            <w:tcW w:w="1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18"/>
        </w:trPr>
        <w:tc>
          <w:tcPr>
            <w:tcW w:w="7240" w:type="dxa"/>
            <w:vAlign w:val="bottom"/>
            <w:tcBorders>
              <w:top w:val="single" w:sz="8" w:color="CCEEFF"/>
            </w:tcBorders>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Term facility - matures April 27, 2027, interest rates of 8.27% and 6.75% at September 30, 2022 and December 31, 2021,</w:t>
            </w:r>
          </w:p>
        </w:tc>
        <w:tc>
          <w:tcPr>
            <w:tcW w:w="240" w:type="dxa"/>
            <w:vAlign w:val="bottom"/>
            <w:tcBorders>
              <w:top w:val="single" w:sz="8" w:color="auto"/>
            </w:tcBorders>
            <w:shd w:val="clear" w:color="auto" w:fill="CCEEFF"/>
          </w:tcPr>
          <w:p>
            <w:pPr>
              <w:spacing w:after="0"/>
              <w:rPr>
                <w:sz w:val="10"/>
                <w:szCs w:val="10"/>
                <w:color w:val="auto"/>
              </w:rPr>
            </w:pPr>
          </w:p>
        </w:tc>
        <w:tc>
          <w:tcPr>
            <w:tcW w:w="1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7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612,250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616,900</w:t>
            </w:r>
          </w:p>
        </w:tc>
        <w:tc>
          <w:tcPr>
            <w:tcW w:w="0" w:type="dxa"/>
            <w:vAlign w:val="bottom"/>
          </w:tcPr>
          <w:p>
            <w:pPr>
              <w:spacing w:after="0"/>
              <w:rPr>
                <w:sz w:val="1"/>
                <w:szCs w:val="1"/>
                <w:color w:val="auto"/>
              </w:rPr>
            </w:pPr>
          </w:p>
        </w:tc>
      </w:tr>
      <w:tr>
        <w:trPr>
          <w:trHeight w:val="138"/>
        </w:trPr>
        <w:tc>
          <w:tcPr>
            <w:tcW w:w="72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Revolving credit facility - $40.0 million line, matures April 27, 2026, interest rates of 7.24% and 5.75% at September 30, 2022</w:t>
            </w:r>
          </w:p>
        </w:tc>
        <w:tc>
          <w:tcPr>
            <w:tcW w:w="2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and December 31, 2021, respectively</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71"/>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Total debt obligations</w:t>
            </w:r>
          </w:p>
        </w:tc>
        <w:tc>
          <w:tcPr>
            <w:tcW w:w="24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618,250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631,900</w:t>
            </w:r>
          </w:p>
        </w:tc>
        <w:tc>
          <w:tcPr>
            <w:tcW w:w="0" w:type="dxa"/>
            <w:vAlign w:val="bottom"/>
          </w:tcPr>
          <w:p>
            <w:pPr>
              <w:spacing w:after="0"/>
              <w:rPr>
                <w:sz w:val="1"/>
                <w:szCs w:val="1"/>
                <w:color w:val="auto"/>
              </w:rPr>
            </w:pPr>
          </w:p>
        </w:tc>
      </w:tr>
      <w:tr>
        <w:trPr>
          <w:trHeight w:val="180"/>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240" w:type="dxa"/>
            <w:vAlign w:val="bottom"/>
          </w:tcPr>
          <w:p>
            <w:pPr>
              <w:spacing w:after="0"/>
              <w:rPr>
                <w:sz w:val="15"/>
                <w:szCs w:val="15"/>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w:t>
            </w:r>
          </w:p>
        </w:tc>
        <w:tc>
          <w:tcPr>
            <w:tcW w:w="0" w:type="dxa"/>
            <w:vAlign w:val="bottom"/>
          </w:tcPr>
          <w:p>
            <w:pPr>
              <w:spacing w:after="0"/>
              <w:rPr>
                <w:sz w:val="1"/>
                <w:szCs w:val="1"/>
                <w:color w:val="auto"/>
              </w:rPr>
            </w:pPr>
          </w:p>
        </w:tc>
      </w:tr>
      <w:tr>
        <w:trPr>
          <w:trHeight w:val="18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unamortized debt discounts and deferred financing costs</w:t>
            </w:r>
          </w:p>
        </w:tc>
        <w:tc>
          <w:tcPr>
            <w:tcW w:w="24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(18,982)</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(21,595)</w:t>
            </w:r>
          </w:p>
        </w:tc>
        <w:tc>
          <w:tcPr>
            <w:tcW w:w="0" w:type="dxa"/>
            <w:vAlign w:val="bottom"/>
          </w:tcPr>
          <w:p>
            <w:pPr>
              <w:spacing w:after="0"/>
              <w:rPr>
                <w:sz w:val="1"/>
                <w:szCs w:val="1"/>
                <w:color w:val="auto"/>
              </w:rPr>
            </w:pPr>
          </w:p>
        </w:tc>
      </w:tr>
      <w:tr>
        <w:trPr>
          <w:trHeight w:val="171"/>
        </w:trPr>
        <w:tc>
          <w:tcPr>
            <w:tcW w:w="7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Long-term debt, net</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593,068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604,105</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 and Amortization of Deferred Loan Costs and Discounts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financing costs and debt discounts are amortized using the effective interest method over the remaining term of the respective debt and are recorded as a component of interest expense.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Unamortized deferred financing costs and debt discounts are included in long-term debt on the Company's Unaudited Consolidated Balance Sheets.</w:t>
      </w:r>
    </w:p>
    <w:p>
      <w:pPr>
        <w:spacing w:after="0" w:line="164"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Outstanding borrowings under the Credit Agreement accrue interest using either a base rate or a LIBOR rate plus an applicable margin per year, subject to a LIBOR rate floor of 1.00% per year. The revolving credit facility incurs an unused commitment fee on any undrawn amount in an amount equal to 0.50% per year of the unused portion. The future applicable interest rate margins may vary based on the Company's Total Net Leverage Ratio in addition to future changes in the underlying market rates for LIBOR and the rate used for base-rate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for outstanding debt, including fees for undrawn amounts and amortization of deferred financing costs and debt discounts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r>
      <w:tr>
        <w:trPr>
          <w:trHeight w:val="171"/>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r>
      <w:tr>
        <w:trPr>
          <w:trHeight w:val="171"/>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13,303</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8,155</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36,571</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24,608</w:t>
            </w:r>
          </w:p>
        </w:tc>
      </w:tr>
    </w:tbl>
    <w:p>
      <w:pPr>
        <w:spacing w:after="0" w:line="229"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auto"/>
        </w:rPr>
        <w:t>Interest expense included amortization of deferred financing costs and debt discounts of $0.9 million and $2.6 million for the three and nine months ended September 30, 2022, respectively, and $2.1 million and $3.3 million three and nine months ended September 30, 2021,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Deferred Loan Costs and Discounts, and Debt Extinguishment and Modification Expenses</w:t>
      </w:r>
    </w:p>
    <w:p>
      <w:pPr>
        <w:spacing w:after="0" w:line="18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In connection with the April 2021 refinancing, the Company recorded $8.3 million of debt extinguishment and modification costs for the nine months ended September 30, 2021 on the Company's Unaudited Consolidated Statements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Debt Covenants</w:t>
      </w:r>
    </w:p>
    <w:p>
      <w:pPr>
        <w:spacing w:after="0" w:line="18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3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If the aggregate principal amount of outstanding revolving loans and letters of credit under the Credit Agreement exceeds 35% of the total revolving facility thereunder, the loan parties are required to comply with certain restrictions on its Total Net Leverage Ratio. If applicable, the maximum permitted Total Net Leverage Ratio is: 1) 6.50:1.00 at each fiscal quarter ended September 30, 2021 through June 30, 2022; 2) 6.00:1.00 at each fiscal quarter ended September 30, 2022 through June 30, 2023; and 3) 5.50:1.00 at each fiscal quarter ended September 30, 2023 each fiscal quarter thereafter. As of September 30, 2022, the Total Net Leverage Ratio was not applicable and the Company was in compliance with our financial covenants.</w:t>
      </w:r>
    </w:p>
    <w:p>
      <w:pPr>
        <w:spacing w:after="0" w:line="200" w:lineRule="exact"/>
        <w:rPr>
          <w:sz w:val="20"/>
          <w:szCs w:val="20"/>
          <w:color w:val="auto"/>
        </w:rPr>
      </w:pPr>
    </w:p>
    <w:p>
      <w:pPr>
        <w:spacing w:after="0" w:line="29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3"/>
          <w:szCs w:val="13"/>
          <w:b w:val="1"/>
          <w:bCs w:val="1"/>
          <w:color w:val="auto"/>
        </w:rPr>
        <w:t>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8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Contingent consideration related to the Company's business combinations is estimated based on the present value of a weighted payout probability at the measurement date, which falls within Level 3 on the fair value hierarchy. The current portion of contingent consideration is included in accounts payable and accrued expenses on the Company's Unaudited Consolidated Balance Sheets and the noncurrent portion of contingent consideration is included in other noncurrent liabilities on the Company's Unaudited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Liabilities measured at fair value on a recurring basis consisted of the following:</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72"/>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40" w:type="dxa"/>
            <w:vAlign w:val="bottom"/>
          </w:tcPr>
          <w:p>
            <w:pPr>
              <w:spacing w:after="0"/>
              <w:rPr>
                <w:sz w:val="24"/>
                <w:szCs w:val="24"/>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Pr>
          <w:p>
            <w:pPr>
              <w:spacing w:after="0"/>
              <w:rPr>
                <w:sz w:val="24"/>
                <w:szCs w:val="24"/>
                <w:color w:val="auto"/>
              </w:rPr>
            </w:pPr>
          </w:p>
        </w:tc>
        <w:tc>
          <w:tcPr>
            <w:tcW w:w="17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consideration, current portion</w:t>
            </w: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Level 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4,006</w:t>
            </w:r>
          </w:p>
        </w:tc>
      </w:tr>
      <w:tr>
        <w:trPr>
          <w:trHeight w:val="18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Contingent consideration, noncurrent portion</w:t>
            </w:r>
          </w:p>
        </w:tc>
        <w:tc>
          <w:tcPr>
            <w:tcW w:w="22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Level 3</w:t>
            </w: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6,680</w:t>
            </w:r>
          </w:p>
        </w:tc>
      </w:tr>
      <w:tr>
        <w:trPr>
          <w:trHeight w:val="196"/>
        </w:trPr>
        <w:tc>
          <w:tcPr>
            <w:tcW w:w="5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 contingent consideration</w:t>
            </w:r>
          </w:p>
        </w:tc>
        <w:tc>
          <w:tcPr>
            <w:tcW w:w="2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three and nine months ended September 30, 2022, there were no transfers into, out of, or between levels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balance of the Company's contingent consideration liability for the three and nine months ended September 30,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Contingent Consideration Liability</w:t>
            </w:r>
          </w:p>
        </w:tc>
      </w:tr>
      <w:tr>
        <w:trPr>
          <w:trHeight w:val="171"/>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10,686</w:t>
            </w:r>
          </w:p>
        </w:tc>
      </w:tr>
      <w:tr>
        <w:trPr>
          <w:trHeight w:val="180"/>
        </w:trPr>
        <w:tc>
          <w:tcPr>
            <w:tcW w:w="8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w:t>
            </w:r>
          </w:p>
        </w:tc>
      </w:tr>
      <w:tr>
        <w:trPr>
          <w:trHeight w:val="171"/>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2022</w:t>
            </w:r>
          </w:p>
        </w:tc>
        <w:tc>
          <w:tcPr>
            <w:tcW w:w="120" w:type="dxa"/>
            <w:vAlign w:val="bottom"/>
            <w:shd w:val="clear" w:color="auto" w:fill="CCEEFF"/>
          </w:tcPr>
          <w:p>
            <w:pPr>
              <w:spacing w:after="0"/>
              <w:rPr>
                <w:sz w:val="14"/>
                <w:szCs w:val="14"/>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10,271</w:t>
            </w:r>
          </w:p>
        </w:tc>
      </w:tr>
      <w:tr>
        <w:trPr>
          <w:trHeight w:val="180"/>
        </w:trPr>
        <w:tc>
          <w:tcPr>
            <w:tcW w:w="8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Accretion of discount on contingent consideration</w:t>
            </w:r>
          </w:p>
        </w:tc>
        <w:tc>
          <w:tcPr>
            <w:tcW w:w="12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180"/>
        </w:trPr>
        <w:tc>
          <w:tcPr>
            <w:tcW w:w="8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Fair value adjustments due to resolution of contingencies related to future payments</w:t>
            </w:r>
          </w:p>
        </w:tc>
        <w:tc>
          <w:tcPr>
            <w:tcW w:w="120" w:type="dxa"/>
            <w:vAlign w:val="bottom"/>
            <w:tcBorders>
              <w:bottom w:val="single" w:sz="8" w:color="auto"/>
            </w:tcBorders>
            <w:shd w:val="clear" w:color="auto" w:fill="CCEEFF"/>
          </w:tcPr>
          <w:p>
            <w:pPr>
              <w:spacing w:after="0"/>
              <w:rPr>
                <w:sz w:val="15"/>
                <w:szCs w:val="15"/>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71"/>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30, 2022</w:t>
            </w:r>
          </w:p>
        </w:tc>
        <w:tc>
          <w:tcPr>
            <w:tcW w:w="12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10,825</w:t>
            </w:r>
          </w:p>
        </w:tc>
      </w:tr>
      <w:tr>
        <w:trPr>
          <w:trHeight w:val="180"/>
        </w:trPr>
        <w:tc>
          <w:tcPr>
            <w:tcW w:w="8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 of contingent consideration due to acquisition</w:t>
            </w: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Accretion of discount on contingent consideration</w:t>
            </w:r>
          </w:p>
        </w:tc>
        <w:tc>
          <w:tcPr>
            <w:tcW w:w="12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80"/>
        </w:trPr>
        <w:tc>
          <w:tcPr>
            <w:tcW w:w="8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Fair value adjustments due to resolution of contingencies related to future payments</w:t>
            </w: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r>
      <w:tr>
        <w:trPr>
          <w:trHeight w:val="180"/>
        </w:trPr>
        <w:tc>
          <w:tcPr>
            <w:tcW w:w="8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w:t>
            </w:r>
          </w:p>
        </w:tc>
      </w:tr>
      <w:tr>
        <w:trPr>
          <w:trHeight w:val="196"/>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10,753</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balance of the Company's contingent consideration liability for the three and nine months ended September 30,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Contingent Consideration Liability</w:t>
            </w:r>
          </w:p>
        </w:tc>
        <w:tc>
          <w:tcPr>
            <w:tcW w:w="0" w:type="dxa"/>
            <w:vAlign w:val="bottom"/>
          </w:tcPr>
          <w:p>
            <w:pPr>
              <w:spacing w:after="0"/>
              <w:rPr>
                <w:sz w:val="1"/>
                <w:szCs w:val="1"/>
                <w:color w:val="auto"/>
              </w:rPr>
            </w:pPr>
          </w:p>
        </w:tc>
      </w:tr>
      <w:tr>
        <w:trPr>
          <w:trHeight w:val="171"/>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2021</w:t>
            </w:r>
          </w:p>
        </w:tc>
        <w:tc>
          <w:tcPr>
            <w:tcW w:w="120" w:type="dxa"/>
            <w:vAlign w:val="bottom"/>
            <w:shd w:val="clear" w:color="auto" w:fill="CCEEFF"/>
          </w:tcPr>
          <w:p>
            <w:pPr>
              <w:spacing w:after="0"/>
              <w:rPr>
                <w:sz w:val="14"/>
                <w:szCs w:val="14"/>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 of contingent consideration due to acquisition</w:t>
            </w:r>
          </w:p>
        </w:tc>
        <w:tc>
          <w:tcPr>
            <w:tcW w:w="12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0" w:type="dxa"/>
            <w:vAlign w:val="bottom"/>
          </w:tcPr>
          <w:p>
            <w:pPr>
              <w:spacing w:after="0"/>
              <w:rPr>
                <w:sz w:val="1"/>
                <w:szCs w:val="1"/>
                <w:color w:val="auto"/>
              </w:rPr>
            </w:pPr>
          </w:p>
        </w:tc>
      </w:tr>
      <w:tr>
        <w:trPr>
          <w:trHeight w:val="180"/>
        </w:trPr>
        <w:tc>
          <w:tcPr>
            <w:tcW w:w="8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20" w:type="dxa"/>
            <w:vAlign w:val="bottom"/>
            <w:tcBorders>
              <w:bottom w:val="single" w:sz="8" w:color="auto"/>
            </w:tcBorders>
            <w:shd w:val="clear" w:color="auto" w:fill="CCEEFF"/>
          </w:tcPr>
          <w:p>
            <w:pPr>
              <w:spacing w:after="0"/>
              <w:rPr>
                <w:sz w:val="15"/>
                <w:szCs w:val="15"/>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2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w:t>
            </w:r>
          </w:p>
        </w:tc>
        <w:tc>
          <w:tcPr>
            <w:tcW w:w="0" w:type="dxa"/>
            <w:vAlign w:val="bottom"/>
          </w:tcPr>
          <w:p>
            <w:pPr>
              <w:spacing w:after="0"/>
              <w:rPr>
                <w:sz w:val="1"/>
                <w:szCs w:val="1"/>
                <w:color w:val="auto"/>
              </w:rPr>
            </w:pPr>
          </w:p>
        </w:tc>
      </w:tr>
      <w:tr>
        <w:trPr>
          <w:trHeight w:val="180"/>
        </w:trPr>
        <w:tc>
          <w:tcPr>
            <w:tcW w:w="8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 of contingent consideration due to acquisition</w:t>
            </w: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0" w:type="dxa"/>
            <w:vAlign w:val="bottom"/>
          </w:tcPr>
          <w:p>
            <w:pPr>
              <w:spacing w:after="0"/>
              <w:rPr>
                <w:sz w:val="1"/>
                <w:szCs w:val="1"/>
                <w:color w:val="auto"/>
              </w:rPr>
            </w:pPr>
          </w:p>
        </w:tc>
      </w:tr>
      <w:tr>
        <w:trPr>
          <w:trHeight w:val="180"/>
        </w:trPr>
        <w:tc>
          <w:tcPr>
            <w:tcW w:w="8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Accretion of discount on contingent consideration</w:t>
            </w:r>
          </w:p>
        </w:tc>
        <w:tc>
          <w:tcPr>
            <w:tcW w:w="12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Fair value adjustments due to resolution of contingencies related to future payments</w:t>
            </w: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10,686</w:t>
            </w:r>
          </w:p>
        </w:tc>
        <w:tc>
          <w:tcPr>
            <w:tcW w:w="0" w:type="dxa"/>
            <w:vAlign w:val="bottom"/>
          </w:tcPr>
          <w:p>
            <w:pPr>
              <w:spacing w:after="0"/>
              <w:rPr>
                <w:sz w:val="1"/>
                <w:szCs w:val="1"/>
                <w:color w:val="auto"/>
              </w:rPr>
            </w:pPr>
          </w:p>
        </w:tc>
      </w:tr>
      <w:tr>
        <w:trPr>
          <w:trHeight w:val="20"/>
        </w:trPr>
        <w:tc>
          <w:tcPr>
            <w:tcW w:w="8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Disclosures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Notes Receivable</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Notes receivable are carried at amortized cost. Substantially all of the Company's notes receivable are secured, and the Company provides for allowances when it believes that certain notes receivable may not be collectible. The carrying value of the Company's notes receivable, net approximates fair value and was approximately $3.1 million and $0.4 million at September 30, 2022 and December 31, 2021, respectively. On the fair value hierarchy, Level 3 inputs are used to estimate the fair value of these notes receivable.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Debt Obligations</w:t>
      </w:r>
    </w:p>
    <w:p>
      <w:pPr>
        <w:spacing w:after="0" w:line="18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Outstanding debt obligations are reflected in the Company's Unaudited Consolidated Balance Sheets at carrying value since the Company did not elect to remeasure debt obligations to fair value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fair value of the of the term facility was estimated to be $590.8 million and $613.8 million at September 30, 2022 and December 31, 2021, respectively, and was estimated using binding and non-binding quoted prices in an active secondary market, which considers the credit risk and market related conditions, and is within Level 3 of the fair value hierarchy.</w:t>
      </w:r>
    </w:p>
    <w:p>
      <w:pPr>
        <w:spacing w:after="0" w:line="12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carrying values of the other long-term debt obligations approximate fair value due to mechanisms in the credit agreements that adjust the applicable interest rates and the lack of a market for these debt obligations.</w:t>
      </w:r>
    </w:p>
    <w:p>
      <w:pPr>
        <w:spacing w:after="0" w:line="200" w:lineRule="exact"/>
        <w:rPr>
          <w:sz w:val="20"/>
          <w:szCs w:val="20"/>
          <w:color w:val="auto"/>
        </w:rPr>
      </w:pPr>
    </w:p>
    <w:p>
      <w:pPr>
        <w:spacing w:after="0" w:line="2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Redeemable Senior Preferred Stock and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carrying amounts of the redeemable senior preferred stock for the three and nine months ended September 30,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9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1"/>
        </w:trPr>
        <w:tc>
          <w:tcPr>
            <w:tcW w:w="8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210,158</w:t>
            </w:r>
          </w:p>
        </w:tc>
      </w:tr>
      <w:tr>
        <w:trPr>
          <w:trHeight w:val="180"/>
        </w:trPr>
        <w:tc>
          <w:tcPr>
            <w:tcW w:w="8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Unpaid dividend on redeemable senior preferred stock</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4,090</w:t>
            </w:r>
          </w:p>
        </w:tc>
      </w:tr>
      <w:tr>
        <w:trPr>
          <w:trHeight w:val="180"/>
        </w:trPr>
        <w:tc>
          <w:tcPr>
            <w:tcW w:w="8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Accretion of discounts and issuance cost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r>
      <w:tr>
        <w:trPr>
          <w:trHeight w:val="171"/>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2022</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215,053</w:t>
            </w:r>
          </w:p>
        </w:tc>
      </w:tr>
      <w:tr>
        <w:trPr>
          <w:trHeight w:val="180"/>
        </w:trPr>
        <w:tc>
          <w:tcPr>
            <w:tcW w:w="8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Unpaid dividend on redeemable senior preferred stock</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4,161</w:t>
            </w:r>
          </w:p>
        </w:tc>
      </w:tr>
      <w:tr>
        <w:trPr>
          <w:trHeight w:val="180"/>
        </w:trPr>
        <w:tc>
          <w:tcPr>
            <w:tcW w:w="8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Accretion of discounts and issuance cost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w:t>
            </w:r>
          </w:p>
        </w:tc>
      </w:tr>
      <w:tr>
        <w:trPr>
          <w:trHeight w:val="171"/>
        </w:trPr>
        <w:tc>
          <w:tcPr>
            <w:tcW w:w="8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June 30,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220,031</w:t>
            </w:r>
          </w:p>
        </w:tc>
      </w:tr>
      <w:tr>
        <w:trPr>
          <w:trHeight w:val="180"/>
        </w:trPr>
        <w:tc>
          <w:tcPr>
            <w:tcW w:w="88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Unpaid dividend on redeemable senior preferred stock</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r>
      <w:tr>
        <w:trPr>
          <w:trHeight w:val="180"/>
        </w:trPr>
        <w:tc>
          <w:tcPr>
            <w:tcW w:w="8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Accretion of discounts and issuance cost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r>
      <w:tr>
        <w:trPr>
          <w:trHeight w:val="171"/>
        </w:trPr>
        <w:tc>
          <w:tcPr>
            <w:tcW w:w="8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225</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225,095</w:t>
            </w:r>
          </w:p>
        </w:tc>
      </w:tr>
      <w:tr>
        <w:trPr>
          <w:trHeight w:val="20"/>
        </w:trPr>
        <w:tc>
          <w:tcPr>
            <w:tcW w:w="8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the beginning and ending carrying amounts of the redeemable senior preferred stock for the three and nine months ended September 30,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issuance of redeemable senior preferred stock, net of discount and issuance costs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131,426</w:t>
            </w: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Unpaid dividend on redeemable senior preferred stock</w:t>
            </w: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discounts and issuance cost</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71"/>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4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133,762</w:t>
            </w:r>
          </w:p>
        </w:tc>
        <w:tc>
          <w:tcPr>
            <w:tcW w:w="0" w:type="dxa"/>
            <w:vAlign w:val="bottom"/>
          </w:tcPr>
          <w:p>
            <w:pPr>
              <w:spacing w:after="0"/>
              <w:rPr>
                <w:sz w:val="1"/>
                <w:szCs w:val="1"/>
                <w:color w:val="auto"/>
              </w:rPr>
            </w:pPr>
          </w:p>
        </w:tc>
      </w:tr>
      <w:tr>
        <w:trPr>
          <w:trHeight w:val="180"/>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issuance of redeemable senior preferred stock, net of discount and issuance costs</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68,183</w:t>
            </w: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Unpaid dividend on redeemable senior preferred stock</w:t>
            </w: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discounts and issuance cost</w:t>
            </w: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205,318</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The following table provides a summary of the dividends for the period presented:</w:t>
            </w:r>
          </w:p>
        </w:tc>
        <w:tc>
          <w:tcPr>
            <w:tcW w:w="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1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24"/>
                <w:szCs w:val="24"/>
                <w:color w:val="auto"/>
              </w:rPr>
            </w:pPr>
          </w:p>
        </w:tc>
        <w:tc>
          <w:tcPr>
            <w:tcW w:w="27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24"/>
                <w:szCs w:val="24"/>
                <w:color w:val="auto"/>
              </w:rPr>
            </w:pPr>
          </w:p>
        </w:tc>
        <w:tc>
          <w:tcPr>
            <w:tcW w:w="2760" w:type="dxa"/>
            <w:vAlign w:val="bottom"/>
            <w:gridSpan w:val="8"/>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5100" w:type="dxa"/>
            <w:vAlign w:val="bottom"/>
            <w:tcBorders>
              <w:bottom w:val="single" w:sz="8" w:color="CCEEFF"/>
            </w:tcBorders>
            <w:vMerge w:val="continue"/>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gridSpan w:val="2"/>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7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 in cash</w:t>
            </w: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4,015</w:t>
            </w:r>
          </w:p>
        </w:tc>
        <w:tc>
          <w:tcPr>
            <w:tcW w:w="0" w:type="dxa"/>
            <w:vAlign w:val="bottom"/>
          </w:tcPr>
          <w:p>
            <w:pPr>
              <w:spacing w:after="0"/>
              <w:rPr>
                <w:sz w:val="1"/>
                <w:szCs w:val="1"/>
                <w:color w:val="auto"/>
              </w:rPr>
            </w:pPr>
          </w:p>
        </w:tc>
      </w:tr>
      <w:tr>
        <w:trPr>
          <w:trHeight w:val="144"/>
        </w:trPr>
        <w:tc>
          <w:tcPr>
            <w:tcW w:w="51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Accumulated dividends accrued as part of the carrying value of redeemable senior</w:t>
            </w:r>
          </w:p>
        </w:tc>
        <w:tc>
          <w:tcPr>
            <w:tcW w:w="4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12,485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4,684</w:t>
            </w:r>
          </w:p>
        </w:tc>
        <w:tc>
          <w:tcPr>
            <w:tcW w:w="0" w:type="dxa"/>
            <w:vAlign w:val="bottom"/>
          </w:tcPr>
          <w:p>
            <w:pPr>
              <w:spacing w:after="0"/>
              <w:rPr>
                <w:sz w:val="1"/>
                <w:szCs w:val="1"/>
                <w:color w:val="auto"/>
              </w:rPr>
            </w:pPr>
          </w:p>
        </w:tc>
      </w:tr>
      <w:tr>
        <w:trPr>
          <w:trHeight w:val="110"/>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4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5100" w:type="dxa"/>
            <w:vAlign w:val="bottom"/>
            <w:tcBorders>
              <w:bottom w:val="single" w:sz="8" w:color="CCEEFF"/>
            </w:tcBorders>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Dividends declared at the rate of 13.0% per year</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8,636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5,286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23,963</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8,699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On April 27, 2021, the Company issued warrants to purchase up to 1,803,841 shares of the Common Stock, at an exercise price of $0.001. As of September 30, 2022, none of the warrants have been exercised. The warrants are considered to be equity contracts indexed in the Company's own shares and therefore were recorded at their inception date relative fair value and are included in additional paid-in capital on the Company's Unaudited Consolidated Balance Sheets.</w:t>
      </w:r>
    </w:p>
    <w:p>
      <w:pPr>
        <w:spacing w:after="0" w:line="200" w:lineRule="exact"/>
        <w:rPr>
          <w:sz w:val="20"/>
          <w:szCs w:val="20"/>
          <w:color w:val="auto"/>
        </w:rPr>
      </w:pPr>
    </w:p>
    <w:p>
      <w:pPr>
        <w:spacing w:after="0" w:line="2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3"/>
          <w:szCs w:val="13"/>
          <w:b w:val="1"/>
          <w:bCs w:val="1"/>
          <w:color w:val="auto"/>
        </w:rPr>
        <w:t>Income Taxes</w:t>
      </w:r>
    </w:p>
    <w:p>
      <w:pPr>
        <w:spacing w:after="0" w:line="181"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 xml:space="preserve">The Company's consolidated effective income tax rate for the three and nine months ended September 30, 2022, was 188.1% and 184.2%, respectively. The effective rate for the three and nine months ended September 30, 2022 differed from the statutory rate of 21.0% primarily due to </w:t>
      </w:r>
      <w:r>
        <w:rPr>
          <w:rFonts w:ascii="Times New Roman" w:cs="Times New Roman" w:eastAsia="Times New Roman" w:hAnsi="Times New Roman"/>
          <w:sz w:val="14"/>
          <w:szCs w:val="14"/>
          <w:color w:val="222222"/>
        </w:rPr>
        <w:t>an increase in the valuation allowance against certain business interest carryover deferred tax assets.</w:t>
      </w:r>
    </w:p>
    <w:p>
      <w:pPr>
        <w:spacing w:after="0" w:line="12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 xml:space="preserve">The Company's consolidated effective income tax (benefit) rate for the three and nine months ended September 30, 2021, was 327.8% and (0.4)%, respectively. The effective rate for the three and nine months ended September 30, 2021 differed from the statutory federal rate of 21.0% primarily due to </w:t>
      </w:r>
      <w:r>
        <w:rPr>
          <w:rFonts w:ascii="Times New Roman" w:cs="Times New Roman" w:eastAsia="Times New Roman" w:hAnsi="Times New Roman"/>
          <w:sz w:val="14"/>
          <w:szCs w:val="14"/>
          <w:color w:val="222222"/>
        </w:rPr>
        <w:t>an increase in the valuation allowance against certain business interest carryover deferred tax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22222"/>
        </w:rPr>
        <w:t>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Valuation Allowance for Deferred Income Tax Assets</w:t>
      </w:r>
    </w:p>
    <w:p>
      <w:pPr>
        <w:spacing w:after="0" w:line="181"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the Company is required to provide a valuation allowance against deferred income tax assets when it is "more likely than not" that some portion or all of the deferred tax assets will not be realized.</w:t>
      </w:r>
    </w:p>
    <w:p>
      <w:pPr>
        <w:spacing w:after="0" w:line="136" w:lineRule="exact"/>
        <w:rPr>
          <w:sz w:val="20"/>
          <w:szCs w:val="20"/>
          <w:color w:val="auto"/>
        </w:rPr>
      </w:pPr>
    </w:p>
    <w:p>
      <w:pPr>
        <w:jc w:val="both"/>
        <w:ind w:right="220"/>
        <w:spacing w:after="0" w:line="287" w:lineRule="auto"/>
        <w:rPr>
          <w:sz w:val="20"/>
          <w:szCs w:val="20"/>
          <w:color w:val="auto"/>
        </w:rPr>
      </w:pPr>
      <w:r>
        <w:rPr>
          <w:rFonts w:ascii="Times New Roman" w:cs="Times New Roman" w:eastAsia="Times New Roman" w:hAnsi="Times New Roman"/>
          <w:sz w:val="14"/>
          <w:szCs w:val="14"/>
          <w:color w:val="auto"/>
        </w:rPr>
        <w:t>Based on management's assessment, as of September 30, 2022, the Company continues to record a full valuation allowance against non-deductible interest expense. The Company will continue to evaluate the realizability of the net deferred tax asset on a quarterly basis and, as a result, the valuation allowance may change in future periods.</w:t>
      </w:r>
    </w:p>
    <w:p>
      <w:pPr>
        <w:spacing w:after="0" w:line="12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On August 16, 2022, the U.S. government enacted the Inflation Reduction Act into law. The IRA, among other provisions, implements a 15% corporate alternative minimum tax based on global adjusted financial statement income and a 1% excise tax on share repurchases, which shall take effect in tax years beginning after December 31, 2022. We are in the process of evaluating the provisions of the IRA, but we do not currently believe the IRA will have a material effect on our reported results, cash flows, or financial position when it becomes effective. If applicable, we expect to reflect the excise tax within equity as part of the repurchase price of common stock.</w:t>
      </w:r>
    </w:p>
    <w:p>
      <w:pPr>
        <w:spacing w:after="0" w:line="200" w:lineRule="exact"/>
        <w:rPr>
          <w:sz w:val="20"/>
          <w:szCs w:val="20"/>
          <w:color w:val="auto"/>
        </w:rPr>
      </w:pPr>
    </w:p>
    <w:p>
      <w:pPr>
        <w:spacing w:after="0" w:line="2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Minimum Annual Commitments with Third-party Processors</w:t>
      </w:r>
    </w:p>
    <w:p>
      <w:pPr>
        <w:spacing w:after="0" w:line="18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212529"/>
        </w:rPr>
        <w:t>The Company has multi-year agreements with third parties to provide certain payment processing services to the Company. The Company pays processing fees under these agreements that are based on the volume and dollar amounts of processed payment transactions. Some of these agreements have minimum annual requirements for processing volumes. Based on existing contracts in place at September 30, 2022, the Company is committed to pay minimum processing fees under these agreements of approximately $15.7 million in 2022 and $17.0 million in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spacing w:after="0" w:line="181"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4"/>
          <w:szCs w:val="14"/>
          <w:color w:val="auto"/>
        </w:rPr>
        <w:t>For asset acquisitions that do not meet the definition of a business, the portion of the unpaid purchase price that is contingent on future activities is not initially recorded by the acquirer on the date of acquisition. Rather, the acquirer generally recognizes contingent consideration when it becomes probable and estimable.</w:t>
      </w:r>
    </w:p>
    <w:p>
      <w:pPr>
        <w:spacing w:after="0" w:line="12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On April 14, 2022, the Company amended the purchase agreement related to its acquisition of certain residual portfolio rights in 2019 to provide for an additional earnout opportunity to be earned during the 12 months ending March 31, 2023.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purchase price was subject to an increase of up to $6.4 million in accordance with the terms of the agreement between the Company and the sellers. In connection with this amendment, the Company paid $2.1 million to the sellers during the second quarter of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2022 and December 31, 2021, the Company had accrued $0.1 million and $2.4 million, respectively, of estimated remaining cash consideration and additional accumulated costs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related to its October 2019 acquisition of certain merchant portfolio rights. The Company had recorded aggregate costs, including both actual costs and estimated remaining consideration, totaling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$11.5 million and $11.1 million as of September 30, 2022 and December 31, 2021, respectively. Amortization expense was adjusted to reflect the new carrying value at the original purchase date.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September 30, 2022 and December 31, 2021, accumulated amortization was $6.7 million and $5.0 million, respectively. The merchant portfolio has an estimated remaining life of two years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u w:val="single" w:color="auto"/>
          <w:color w:val="0000FF"/>
        </w:rPr>
        <w:t>Note 3, Acquisitions</w:t>
      </w:r>
      <w:r>
        <w:rPr>
          <w:rFonts w:ascii="Times New Roman" w:cs="Times New Roman" w:eastAsia="Times New Roman" w:hAnsi="Times New Roman"/>
          <w:sz w:val="14"/>
          <w:szCs w:val="14"/>
          <w:color w:val="auto"/>
        </w:rPr>
        <w:t>, for information about contingent consideration related to other acquisitions.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Legal Proceedings</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 is involved in certain legal proceedings and claims which arise in the ordinary course of business. In the opinion of the Company and based on consultations with internal and external counsel, the results of any of these matters, individually and in the aggregate, are not expected to have a material effect on the Company's results of operations, financial condition or cash flows. As more information becomes available, and the Company determines that an unfavorable outcome is probable on a claim and that the amount of probable loss that the Company will incur on that claim is reasonably estimable, the Company will record an accrued expense for the claim in question. If and when the Company records such an accrual, it could be material and could adversely impact the Company's results of operations, financial condition and cash flows.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Concentration of Risks</w:t>
      </w:r>
    </w:p>
    <w:p>
      <w:pPr>
        <w:spacing w:after="0" w:line="18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Company's revenue is substantially derived from processing Visa and Mastercard bankcard transactions. Because the Company is not a member bank, in order to process these bankcard transactions, the Company maintains sponsorship agreements with member banks which require, among other things, that the Company abide by the by-laws and regulations of the card associations.</w:t>
      </w:r>
    </w:p>
    <w:p>
      <w:pPr>
        <w:spacing w:after="0" w:line="12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 majority of the Company's cash and restricted cash is held in certain FIs, substantially all of which is in excess of federal deposit insurance corporation limits. The Company does not believe it is exposed to any significant credit risk from these transactions.</w:t>
      </w:r>
    </w:p>
    <w:p>
      <w:pPr>
        <w:spacing w:after="0" w:line="3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Related Party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12529"/>
        </w:rPr>
        <w:t>Employee Loan</w:t>
      </w:r>
    </w:p>
    <w:p>
      <w:pPr>
        <w:spacing w:after="0" w:line="18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212529"/>
        </w:rPr>
        <w:t>In February 2021, the Company loaned $0.9 million to an employee who is considered to be an affiliate of the Company. Under the terms the loan agreement, the loan accrues interest at the rate of 4.0% per year and is secured by shares of the Company's Common Stock that are owned by the employee. The loan was originally repayable in August 2021, but the agreement was amended in August 2021 to automatically renew for one year terms until the Company requires repayment. The loan may be prepaid at any time. As of September 30, 2022 and December 31, 2021, the amount due to the Company for this loan was $0.9 million.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31F20"/>
        </w:rPr>
        <w:t xml:space="preserve">PHOT </w:t>
      </w:r>
      <w:r>
        <w:rPr>
          <w:rFonts w:ascii="Times New Roman" w:cs="Times New Roman" w:eastAsia="Times New Roman" w:hAnsi="Times New Roman"/>
          <w:sz w:val="14"/>
          <w:szCs w:val="14"/>
          <w:i w:val="1"/>
          <w:iCs w:val="1"/>
          <w:color w:val="000000"/>
        </w:rPr>
        <w:t>Preferred Unit Redemption - Distribution to NCIs</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231F20"/>
        </w:rPr>
        <w:t>In November 2020, the Company agreed to an exchange of shares of Common Stock of the Company, or cash, for the $4.8 million of remaining undistributed preferred equity interests related to the February 2019 contribution of the eTab and Cumulus assets to PHOT. An exchange valuation for the Company's Common Stock was established as of November 12, 2020 at the prior 20-day volume weighted average price of $2.78 per share. The exchange was contingent upon receiving approval of the Company's lenders; therefore, the binding exchange agreements were not entered into until after lender approval was received in April 2021. In May 2021, the Company entered into exchange agreements and completed the exchange of 1,428,358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4"/>
          <w:szCs w:val="14"/>
          <w:color w:val="231F20"/>
        </w:rPr>
        <w:t>shares of Common Stock and $0.8 million of cash for the undistributed preferred equity interests. The CEO received 605,623 shares of Common Stock of the Company in exchange for his 35.3% interest, and the Company's Chief Operating Officer received 413,081 shares of Common Stock of the Company in exchange for her 24.1% interest. Subsequent to establishing the Common Stock valuation in November 2020 and the date of exchange in May 2021, the Company's Common Stock price appreciated to $7.75 per share. The Company's Unaudited Consolidated Financial Statements for the nine months ended September 30, 2021 reflect this exchange as a distribution to NCIs at an appreciated Common Stock value of $6.975 per share, which incorporates a 10% liquidity discount of $0.775 per share due to trading restrictions under Securities Act Rule 144. Therefore, the total distribution amounted to $10.8 million, comprised of $10.0 million of Common Stock and $0.8 million of cash. In addition, the Company recorded a $2.8 million tax benefit related to an increase in the tax basis associated with the share exchange, for a net impact to equity of $8.0 million.</w:t>
      </w:r>
    </w:p>
    <w:p>
      <w:pPr>
        <w:spacing w:after="0" w:line="200" w:lineRule="exact"/>
        <w:rPr>
          <w:sz w:val="20"/>
          <w:szCs w:val="20"/>
          <w:color w:val="auto"/>
        </w:rPr>
      </w:pPr>
    </w:p>
    <w:p>
      <w:pPr>
        <w:spacing w:after="0" w:line="3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Stock-based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and nine months ended September 30, 2022 and 2021, stock-based compensation expense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20" w:type="dxa"/>
            <w:vAlign w:val="bottom"/>
            <w:gridSpan w:val="4"/>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r>
    </w:tbl>
    <w:p>
      <w:pPr>
        <w:spacing w:after="0" w:line="229"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In March 2021, the Company converted a $0.3 million liability-classified stock-based compensation award for restricted stock units under the 2018 Plan, whereby the service inception date preceded the future grant-date, to an equity-classified award when the restricted stock units were granted.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 benefit for stock-based compensation was immaterial for the three and nine months ended September 30, 2022 and 2021. No stock-based compensation has been capitalized.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2018 Plan</w:t>
      </w:r>
    </w:p>
    <w:p>
      <w:pPr>
        <w:spacing w:after="0" w:line="181" w:lineRule="exact"/>
        <w:rPr>
          <w:sz w:val="20"/>
          <w:szCs w:val="20"/>
          <w:color w:val="auto"/>
        </w:rPr>
      </w:pPr>
    </w:p>
    <w:p>
      <w:pPr>
        <w:jc w:val="both"/>
        <w:ind w:right="480"/>
        <w:spacing w:after="0" w:line="270" w:lineRule="auto"/>
        <w:rPr>
          <w:sz w:val="20"/>
          <w:szCs w:val="20"/>
          <w:color w:val="auto"/>
        </w:rPr>
      </w:pPr>
      <w:r>
        <w:rPr>
          <w:rFonts w:ascii="Times New Roman" w:cs="Times New Roman" w:eastAsia="Times New Roman" w:hAnsi="Times New Roman"/>
          <w:sz w:val="14"/>
          <w:szCs w:val="14"/>
          <w:color w:val="auto"/>
        </w:rPr>
        <w:t>The Company's 2018 Plan initially provided for the issuance of up to 6,685,696 shares of the Company's Common Stock. On March 17, 2022, the Company's Board of Directors unanimously approved an amendment to the 2018 Plan, which was subsequently approved by our shareholders, to increase the number of shares authorized for issuance under the plan by 2,500,000 shares, resulting in 9,185,696 shares of the Company's Common Stock authorized for issuance under the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2021 Stock Purchase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2021 Stock Purchase Plan provides for up to 200,000 shares to be purchased under the plan. Shares issued under the plan may be authorized but unissued or reacquired shares of Common Stock.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employees of the Company who work more than 20 hours per week and have been employed by the Company for at least 30 days may participate in the 2021 Stock Purchase Plan.</w:t>
      </w:r>
    </w:p>
    <w:p>
      <w:pPr>
        <w:spacing w:after="0" w:line="16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Under the 2021 Stock Purchase Plan, participants are offered, on the first day of the offering period, the option to purchase shares of Common Stock at a discount on the last day of the offering period. The offering period shall be for a period of three months, and the first offering period began on January 10, 2022. The 2021 Stock Purchase Plan provides eligible employees the opportunity to purchase shares of the Company's Common Stock on a quarterly basis through payroll deductions at a price equal to 95% of the lesser of the fair value on the first and last trading day of each offering period. The compensation expense for the three and nine months ended September 30, 2022, was immaterial and is included in stock-based compensation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0" w:hanging="355"/>
        <w:spacing w:after="0"/>
        <w:tabs>
          <w:tab w:leader="none" w:pos="36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Stockholders' Equity</w:t>
      </w:r>
    </w:p>
    <w:p>
      <w:pPr>
        <w:spacing w:after="0" w:line="18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 xml:space="preserve">The Company is authorized to issue 100,000,000 shares of preferred stock with such designations, voting and other rights and preferences as may be determined from time to time by the Company's Board of Directors. As of September 30, 2022 and </w:t>
      </w:r>
      <w:r>
        <w:rPr>
          <w:rFonts w:ascii="Times New Roman" w:cs="Times New Roman" w:eastAsia="Times New Roman" w:hAnsi="Times New Roman"/>
          <w:sz w:val="14"/>
          <w:szCs w:val="14"/>
          <w:color w:val="212529"/>
        </w:rPr>
        <w:t>December 31, 2021</w:t>
      </w:r>
      <w:r>
        <w:rPr>
          <w:rFonts w:ascii="Times New Roman" w:cs="Times New Roman" w:eastAsia="Times New Roman" w:hAnsi="Times New Roman"/>
          <w:sz w:val="14"/>
          <w:szCs w:val="14"/>
          <w:color w:val="auto"/>
        </w:rPr>
        <w:t>, the Company has not issued any shares of preferred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2022 Share Repurchase Program</w:t>
      </w:r>
    </w:p>
    <w:p>
      <w:pPr>
        <w:spacing w:after="0" w:line="18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During the second quarter of 2022, PRTH's Board of Directors authorized the Company to implement a general share repurchase program under which the Company may purchase up to 2.0 million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August 2021, Priority's Board of Directors authorized a $10.0 million share repurchase program. Under this program the Company was authorized to purchase up to 1.0 million shares of 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Common Stock through open market transactions, unsolicited or solicited privately negotiated transactions, or otherwise in accordance with all applicable securities laws and regulations. The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 Repurchase Program was terminated effective on the close of business on September 23, 2021.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three and nine months ended September 30, 2022 and 2021, share repurchase activity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700" w:type="dxa"/>
            <w:vAlign w:val="bottom"/>
            <w:gridSpan w:val="4"/>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 which is in whole units</w:t>
            </w:r>
          </w:p>
        </w:tc>
        <w:tc>
          <w:tcPr>
            <w:tcW w:w="2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53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Number of shares purchased</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626,673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1,005,918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162,715</w:t>
            </w:r>
          </w:p>
        </w:tc>
      </w:tr>
      <w:tr>
        <w:trPr>
          <w:trHeight w:val="18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price paid per share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r>
      <w:tr>
        <w:trPr>
          <w:trHeight w:val="18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w:t>
            </w:r>
          </w:p>
        </w:tc>
      </w:tr>
    </w:tbl>
    <w:p>
      <w:pPr>
        <w:spacing w:after="0" w:line="226" w:lineRule="exact"/>
        <w:rPr>
          <w:sz w:val="20"/>
          <w:szCs w:val="20"/>
          <w:color w:val="auto"/>
        </w:rPr>
      </w:pPr>
    </w:p>
    <w:p>
      <w:pPr>
        <w:ind w:left="260"/>
        <w:spacing w:after="0"/>
        <w:tabs>
          <w:tab w:leader="none" w:pos="480" w:val="left"/>
        </w:tabs>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ab/>
        <w:t>These amounts may differ from the repurchases of common stock amounts in the Consolidated Statements of Cash Flows due to unsettled share repurchases at the end of quarter.</w:t>
      </w:r>
    </w:p>
    <w:p>
      <w:pPr>
        <w:spacing w:after="0" w:line="200" w:lineRule="exact"/>
        <w:rPr>
          <w:sz w:val="20"/>
          <w:szCs w:val="20"/>
          <w:color w:val="auto"/>
        </w:rPr>
      </w:pPr>
    </w:p>
    <w:p>
      <w:pPr>
        <w:spacing w:after="0" w:line="2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16.</w:t>
        <w:tab/>
        <w:t>Segment Information</w:t>
      </w:r>
    </w:p>
    <w:p>
      <w:pPr>
        <w:spacing w:after="0" w:line="18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212529"/>
        </w:rPr>
        <w:t xml:space="preserve">Prior to the fourth quarter of 2021, the Company's </w:t>
      </w:r>
      <w:r>
        <w:rPr>
          <w:rFonts w:ascii="Times New Roman" w:cs="Times New Roman" w:eastAsia="Times New Roman" w:hAnsi="Times New Roman"/>
          <w:sz w:val="14"/>
          <w:szCs w:val="14"/>
          <w:color w:val="000000"/>
        </w:rPr>
        <w:t>three</w:t>
      </w:r>
      <w:r>
        <w:rPr>
          <w:rFonts w:ascii="Times New Roman" w:cs="Times New Roman" w:eastAsia="Times New Roman" w:hAnsi="Times New Roman"/>
          <w:sz w:val="14"/>
          <w:szCs w:val="14"/>
          <w:color w:val="212529"/>
        </w:rPr>
        <w:t xml:space="preserve"> reportable segments included the Consumer Payments segment, the Commercial Payments segment and the Integrated Partners segment. As a result of the Company's organic growth and recent acquisitions, a new internal reporting structure was implemented which resulted in changes to the Company's reportable segments. The </w:t>
      </w:r>
      <w:r>
        <w:rPr>
          <w:rFonts w:ascii="Times New Roman" w:cs="Times New Roman" w:eastAsia="Times New Roman" w:hAnsi="Times New Roman"/>
          <w:sz w:val="14"/>
          <w:szCs w:val="14"/>
          <w:color w:val="000000"/>
        </w:rPr>
        <w:t>three</w:t>
      </w:r>
      <w:r>
        <w:rPr>
          <w:rFonts w:ascii="Times New Roman" w:cs="Times New Roman" w:eastAsia="Times New Roman" w:hAnsi="Times New Roman"/>
          <w:sz w:val="14"/>
          <w:szCs w:val="14"/>
          <w:color w:val="212529"/>
        </w:rPr>
        <w:t xml:space="preserve"> new reportable operating segments are </w:t>
      </w:r>
      <w:r>
        <w:rPr>
          <w:rFonts w:ascii="Times New Roman" w:cs="Times New Roman" w:eastAsia="Times New Roman" w:hAnsi="Times New Roman"/>
          <w:sz w:val="14"/>
          <w:szCs w:val="14"/>
          <w:color w:val="000000"/>
        </w:rPr>
        <w:t>SMB Payments, B2B Payments and Enterprise Payments.</w:t>
      </w:r>
      <w:r>
        <w:rPr>
          <w:rFonts w:ascii="Times New Roman" w:cs="Times New Roman" w:eastAsia="Times New Roman" w:hAnsi="Times New Roman"/>
          <w:sz w:val="14"/>
          <w:szCs w:val="14"/>
          <w:color w:val="212529"/>
        </w:rPr>
        <w:t xml:space="preserve"> All comparative periods have been adjusted to reflect the new reportable segments.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More information about our three reportable segments:</w:t>
      </w:r>
    </w:p>
    <w:p>
      <w:pPr>
        <w:spacing w:after="0" w:line="177" w:lineRule="exact"/>
        <w:rPr>
          <w:sz w:val="20"/>
          <w:szCs w:val="20"/>
          <w:color w:val="auto"/>
        </w:rPr>
      </w:pPr>
    </w:p>
    <w:p>
      <w:pPr>
        <w:ind w:left="520" w:right="280" w:hanging="260"/>
        <w:spacing w:after="0" w:line="290" w:lineRule="auto"/>
        <w:tabs>
          <w:tab w:leader="none" w:pos="516"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SMB Payments – </w:t>
      </w:r>
      <w:r>
        <w:rPr>
          <w:rFonts w:ascii="Times New Roman" w:cs="Times New Roman" w:eastAsia="Times New Roman" w:hAnsi="Times New Roman"/>
          <w:sz w:val="14"/>
          <w:szCs w:val="14"/>
          <w:color w:val="auto"/>
        </w:rPr>
        <w:t>provides full-service acquiring and payment-enabled solutions for B2C transactions, leveraging the Company's proprietary software platform, distributed through ISOs,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 sales and vertically focused ISV channels.</w:t>
      </w:r>
    </w:p>
    <w:p>
      <w:pPr>
        <w:spacing w:after="0" w:line="120"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B2B Payments – </w:t>
      </w:r>
      <w:r>
        <w:rPr>
          <w:rFonts w:ascii="Times New Roman" w:cs="Times New Roman" w:eastAsia="Times New Roman" w:hAnsi="Times New Roman"/>
          <w:sz w:val="14"/>
          <w:szCs w:val="14"/>
          <w:color w:val="auto"/>
        </w:rPr>
        <w:t>provides AP automation solutions to corporations, software partners and FIs, including Citi, Mastercard and American Express.</w:t>
      </w:r>
    </w:p>
    <w:p>
      <w:pPr>
        <w:spacing w:after="0" w:line="178" w:lineRule="exact"/>
        <w:rPr>
          <w:rFonts w:ascii="Times New Roman" w:cs="Times New Roman" w:eastAsia="Times New Roman" w:hAnsi="Times New Roman"/>
          <w:sz w:val="14"/>
          <w:szCs w:val="14"/>
          <w:i w:val="1"/>
          <w:iCs w:val="1"/>
          <w:color w:val="auto"/>
        </w:rPr>
      </w:pPr>
    </w:p>
    <w:p>
      <w:pPr>
        <w:ind w:left="520" w:right="400" w:hanging="260"/>
        <w:spacing w:after="0" w:line="290"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Enterprise Payments – </w:t>
      </w:r>
      <w:r>
        <w:rPr>
          <w:rFonts w:ascii="Times New Roman" w:cs="Times New Roman" w:eastAsia="Times New Roman" w:hAnsi="Times New Roman"/>
          <w:sz w:val="14"/>
          <w:szCs w:val="14"/>
          <w:color w:val="auto"/>
        </w:rPr>
        <w:t>provides embedded payment and banking solutions to enterprise customers that modernize legacy platforms and accelerate modern software partners looking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monetize payments.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Corporate includes costs of corporate functions and shared services not allocated to our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on reportable segments and reconciliations to consolidated revenues, consolidated depreciation and amortization, and consolidated operating income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512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80"/>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SMB Payments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139,892</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124,737</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412,357</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354,149</w:t>
            </w:r>
          </w:p>
        </w:tc>
      </w:tr>
      <w:tr>
        <w:trPr>
          <w:trHeight w:val="180"/>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B2B Payments</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11,722</w:t>
            </w:r>
          </w:p>
        </w:tc>
      </w:tr>
      <w:tr>
        <w:trPr>
          <w:trHeight w:val="180"/>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Enterprise Payments</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21,657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57,641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4,982</w:t>
            </w:r>
          </w:p>
        </w:tc>
      </w:tr>
      <w:tr>
        <w:trPr>
          <w:trHeight w:val="196"/>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Consolidated revenues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166,417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132,542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486,086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370,853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5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8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0"/>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SMB Payments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11,040</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11,049</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32,844</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30,130</w:t>
            </w:r>
          </w:p>
        </w:tc>
      </w:tr>
      <w:tr>
        <w:trPr>
          <w:trHeight w:val="180"/>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B2B Payments</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180"/>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Enterprise Payments</w:t>
            </w: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w:t>
            </w:r>
          </w:p>
        </w:tc>
      </w:tr>
      <w:tr>
        <w:trPr>
          <w:trHeight w:val="180"/>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r>
      <w:tr>
        <w:trPr>
          <w:trHeight w:val="171"/>
        </w:trPr>
        <w:tc>
          <w:tcPr>
            <w:tcW w:w="5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Consolidated depreciation and amortization</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17,817</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12,330</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52,675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32,123</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3"/>
        </w:trPr>
        <w:tc>
          <w:tcPr>
            <w:tcW w:w="5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0"/>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 income:</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SMB Payments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42,380</w:t>
            </w:r>
          </w:p>
        </w:tc>
      </w:tr>
      <w:tr>
        <w:trPr>
          <w:trHeight w:val="180"/>
        </w:trPr>
        <w:tc>
          <w:tcPr>
            <w:tcW w:w="5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B2B Payments</w:t>
            </w: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80"/>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Enterprise Payments</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r>
      <w:tr>
        <w:trPr>
          <w:trHeight w:val="180"/>
        </w:trPr>
        <w:tc>
          <w:tcPr>
            <w:tcW w:w="5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Corporate</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(22,755)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(23,345)</w:t>
            </w:r>
          </w:p>
        </w:tc>
      </w:tr>
      <w:tr>
        <w:trPr>
          <w:trHeight w:val="196"/>
        </w:trPr>
        <w:tc>
          <w:tcPr>
            <w:tcW w:w="5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Consolidated operating income</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14,080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8,250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37,966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20,182</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total operating (loss) income of reportable segments to the Company's net (loss) is provided in the following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51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income of reportable segments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60,721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43,527</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(23,345)</w:t>
            </w: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(37,282)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(24,608)</w:t>
            </w:r>
          </w:p>
        </w:tc>
      </w:tr>
      <w:tr>
        <w:trPr>
          <w:trHeight w:val="180"/>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modification and extinguishment costs</w:t>
            </w:r>
          </w:p>
        </w:tc>
        <w:tc>
          <w:tcPr>
            <w:tcW w:w="24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(8,322)</w:t>
            </w:r>
          </w:p>
        </w:tc>
      </w:tr>
      <w:tr>
        <w:trPr>
          <w:trHeight w:val="18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96"/>
        </w:trPr>
        <w:tc>
          <w:tcPr>
            <w:tcW w:w="5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(838)</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(12,705)</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3"/>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17.  Loss per Common Share</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8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tables set forth the computation of the Company's basic and diluted loss per common share:`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40" w:type="dxa"/>
            <w:vAlign w:val="bottom"/>
          </w:tcPr>
          <w:p>
            <w:pPr>
              <w:spacing w:after="0"/>
              <w:rPr>
                <w:sz w:val="24"/>
                <w:szCs w:val="24"/>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24"/>
                <w:szCs w:val="24"/>
                <w:color w:val="auto"/>
              </w:rPr>
            </w:pPr>
          </w:p>
        </w:tc>
        <w:tc>
          <w:tcPr>
            <w:tcW w:w="262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434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0"/>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8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(12,705)</w:t>
            </w:r>
          </w:p>
        </w:tc>
        <w:tc>
          <w:tcPr>
            <w:tcW w:w="0" w:type="dxa"/>
            <w:vAlign w:val="bottom"/>
          </w:tcPr>
          <w:p>
            <w:pPr>
              <w:spacing w:after="0"/>
              <w:rPr>
                <w:sz w:val="1"/>
                <w:szCs w:val="1"/>
                <w:color w:val="auto"/>
              </w:rPr>
            </w:pPr>
          </w:p>
        </w:tc>
      </w:tr>
      <w:tr>
        <w:trPr>
          <w:trHeight w:val="180"/>
        </w:trPr>
        <w:tc>
          <w:tcPr>
            <w:tcW w:w="5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Dividends and accretion attributable to redeemable senior preferred stockholders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(9,724)</w:t>
            </w:r>
          </w:p>
        </w:tc>
        <w:tc>
          <w:tcPr>
            <w:tcW w:w="0" w:type="dxa"/>
            <w:vAlign w:val="bottom"/>
          </w:tcPr>
          <w:p>
            <w:pPr>
              <w:spacing w:after="0"/>
              <w:rPr>
                <w:sz w:val="1"/>
                <w:szCs w:val="1"/>
                <w:color w:val="auto"/>
              </w:rPr>
            </w:pPr>
          </w:p>
        </w:tc>
      </w:tr>
      <w:tr>
        <w:trPr>
          <w:trHeight w:val="180"/>
        </w:trPr>
        <w:tc>
          <w:tcPr>
            <w:tcW w:w="53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Less: Non-controlling interest preferred unit redemptions</w:t>
            </w:r>
          </w:p>
        </w:tc>
        <w:tc>
          <w:tcPr>
            <w:tcW w:w="24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(10,777)</w:t>
            </w:r>
          </w:p>
        </w:tc>
        <w:tc>
          <w:tcPr>
            <w:tcW w:w="0" w:type="dxa"/>
            <w:vAlign w:val="bottom"/>
          </w:tcPr>
          <w:p>
            <w:pPr>
              <w:spacing w:after="0"/>
              <w:rPr>
                <w:sz w:val="1"/>
                <w:szCs w:val="1"/>
                <w:color w:val="auto"/>
              </w:rPr>
            </w:pPr>
          </w:p>
        </w:tc>
      </w:tr>
      <w:tr>
        <w:trPr>
          <w:trHeight w:val="196"/>
        </w:trPr>
        <w:tc>
          <w:tcPr>
            <w:tcW w:w="53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(27,253)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(33,206)</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3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 and diluted:</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34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4"/>
                <w:szCs w:val="14"/>
                <w:color w:val="auto"/>
              </w:rPr>
              <w:t>Weighted-average common shares outstanding</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77,984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71,979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78,392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69,689</w:t>
            </w:r>
          </w:p>
        </w:tc>
        <w:tc>
          <w:tcPr>
            <w:tcW w:w="0" w:type="dxa"/>
            <w:vAlign w:val="bottom"/>
          </w:tcPr>
          <w:p>
            <w:pPr>
              <w:spacing w:after="0"/>
              <w:rPr>
                <w:sz w:val="1"/>
                <w:szCs w:val="1"/>
                <w:color w:val="auto"/>
              </w:rPr>
            </w:pPr>
          </w:p>
        </w:tc>
      </w:tr>
      <w:tr>
        <w:trPr>
          <w:trHeight w:val="180"/>
        </w:trPr>
        <w:tc>
          <w:tcPr>
            <w:tcW w:w="5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Loss per common share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(0.13)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(0.09)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(0.35)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(0.48)</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00" w:hanging="240"/>
        <w:spacing w:after="0"/>
        <w:tabs>
          <w:tab w:leader="none" w:pos="50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weighted-average common shares outstanding includes 1,803,841 warrants issued in the second quarter of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Potentially anti-dilutive securities that were excluded from the Company's loss per common share that could potentially be dilutive in future periods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3420" w:type="dxa"/>
            <w:vAlign w:val="bottom"/>
            <w:tcBorders>
              <w:bottom w:val="single" w:sz="8" w:color="auto"/>
            </w:tcBorders>
            <w:gridSpan w:val="3"/>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8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Outstanding warrants on Common Stock</w:t>
            </w:r>
            <w:r>
              <w:rPr>
                <w:rFonts w:ascii="Times New Roman" w:cs="Times New Roman" w:eastAsia="Times New Roman" w:hAnsi="Times New Roman"/>
                <w:sz w:val="18"/>
                <w:szCs w:val="18"/>
                <w:color w:val="auto"/>
                <w:vertAlign w:val="superscript"/>
              </w:rPr>
              <w:t>(1)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w:t>
            </w:r>
          </w:p>
        </w:tc>
      </w:tr>
      <w:tr>
        <w:trPr>
          <w:trHeight w:val="180"/>
        </w:trPr>
        <w:tc>
          <w:tcPr>
            <w:tcW w:w="78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Outstanding options and warrants issued to adviser</w:t>
            </w:r>
            <w:r>
              <w:rPr>
                <w:rFonts w:ascii="Times New Roman" w:cs="Times New Roman" w:eastAsia="Times New Roman" w:hAnsi="Times New Roman"/>
                <w:sz w:val="18"/>
                <w:szCs w:val="18"/>
                <w:color w:val="auto"/>
                <w:vertAlign w:val="superscript"/>
              </w:rPr>
              <w:t>(2)</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80"/>
        </w:trPr>
        <w:tc>
          <w:tcPr>
            <w:tcW w:w="7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Restricted stock awards</w:t>
            </w:r>
            <w:r>
              <w:rPr>
                <w:rFonts w:ascii="Times New Roman" w:cs="Times New Roman" w:eastAsia="Times New Roman" w:hAnsi="Times New Roman"/>
                <w:sz w:val="18"/>
                <w:szCs w:val="18"/>
                <w:color w:val="auto"/>
                <w:vertAlign w:val="superscript"/>
              </w:rPr>
              <w:t>(3)</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Liability-classified restricted stock units</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80"/>
        </w:trPr>
        <w:tc>
          <w:tcPr>
            <w:tcW w:w="78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Outstanding stock option awards</w:t>
            </w:r>
            <w:r>
              <w:rPr>
                <w:rFonts w:ascii="Times New Roman" w:cs="Times New Roman" w:eastAsia="Times New Roman" w:hAnsi="Times New Roman"/>
                <w:sz w:val="18"/>
                <w:szCs w:val="18"/>
                <w:color w:val="auto"/>
                <w:vertAlign w:val="superscript"/>
              </w:rPr>
              <w:t>(3)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w:t>
            </w:r>
          </w:p>
        </w:tc>
        <w:tc>
          <w:tcPr>
            <w:tcW w:w="100" w:type="dxa"/>
            <w:vAlign w:val="bottom"/>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r>
      <w:tr>
        <w:trPr>
          <w:trHeight w:val="171"/>
        </w:trPr>
        <w:tc>
          <w:tcPr>
            <w:tcW w:w="78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7,575</w:t>
            </w:r>
          </w:p>
        </w:tc>
        <w:tc>
          <w:tcPr>
            <w:tcW w:w="100" w:type="dxa"/>
            <w:vAlign w:val="bottom"/>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6,726</w:t>
            </w:r>
          </w:p>
        </w:tc>
      </w:tr>
      <w:tr>
        <w:trPr>
          <w:trHeight w:val="20"/>
        </w:trPr>
        <w:tc>
          <w:tcPr>
            <w:tcW w:w="78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500" w:hanging="240"/>
        <w:spacing w:after="0"/>
        <w:tabs>
          <w:tab w:leader="none" w:pos="50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warrants are exercisable at $11.50 per share and expire on August 24, 2023.</w:t>
      </w:r>
    </w:p>
    <w:p>
      <w:pPr>
        <w:spacing w:after="0" w:line="1" w:lineRule="exact"/>
        <w:rPr>
          <w:rFonts w:ascii="Times New Roman" w:cs="Times New Roman" w:eastAsia="Times New Roman" w:hAnsi="Times New Roman"/>
          <w:sz w:val="18"/>
          <w:szCs w:val="18"/>
          <w:color w:val="auto"/>
          <w:vertAlign w:val="superscript"/>
        </w:rPr>
      </w:pPr>
    </w:p>
    <w:p>
      <w:pPr>
        <w:ind w:left="500" w:hanging="240"/>
        <w:spacing w:after="0" w:line="194" w:lineRule="auto"/>
        <w:tabs>
          <w:tab w:leader="none" w:pos="50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warrants and options are exercisable at $12.00 per share and expire on August 24, 2023.</w:t>
      </w:r>
    </w:p>
    <w:p>
      <w:pPr>
        <w:spacing w:after="0" w:line="2" w:lineRule="exact"/>
        <w:rPr>
          <w:rFonts w:ascii="Times New Roman" w:cs="Times New Roman" w:eastAsia="Times New Roman" w:hAnsi="Times New Roman"/>
          <w:sz w:val="18"/>
          <w:szCs w:val="18"/>
          <w:color w:val="auto"/>
          <w:vertAlign w:val="superscript"/>
        </w:rPr>
      </w:pPr>
    </w:p>
    <w:p>
      <w:pPr>
        <w:ind w:left="500" w:hanging="240"/>
        <w:spacing w:after="0" w:line="194" w:lineRule="auto"/>
        <w:tabs>
          <w:tab w:leader="none" w:pos="50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Granted under the 2018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79"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Audited Consolidated Financial Statements and related Notes and the section entitled "Management's Discussion and Analysis of Financial Condition and Results of Operations," included in the Company's Annual Report on Form 10-K for the year ended December 31, 2021.</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Some of the statements made in this Quarterly Report on Form 10-Q constitute forward-looking statements within the meaning of the federal securities laws. Such forward-looking statements include, but are not limited to, statements regarding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46"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COVID-19 pandemic and its continuing effects on the economic and business environment in which we operate;</w:t>
      </w:r>
    </w:p>
    <w:p>
      <w:pPr>
        <w:spacing w:after="0" w:line="23" w:lineRule="exact"/>
        <w:rPr>
          <w:rFonts w:ascii="Times New Roman" w:cs="Times New Roman" w:eastAsia="Times New Roman" w:hAnsi="Times New Roman"/>
          <w:sz w:val="14"/>
          <w:szCs w:val="14"/>
          <w:color w:val="auto"/>
        </w:rPr>
      </w:pPr>
    </w:p>
    <w:p>
      <w:pPr>
        <w:ind w:left="520" w:right="120" w:hanging="260"/>
        <w:spacing w:after="0" w:line="253"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economic and political conditions that adversely affect the general economy, consumer confidence and consumer and commercial spending habits, which may, among other things, negatively impact our business, financial condition and results of operations;</w:t>
      </w: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the payment processing industry;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distribution partners;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unauthorized disclosures of merchant or cardholder data, whether through breach of our computer systems, computer viruses or otherwise;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breakdowns in our processing systems;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regulation of consumer information;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third-party vendors;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changes in card association and debit network fees or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to comply with the rules established by payment networks or standards established by third-party processors;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proposed acquisitions or dispositions or any risks associated with completed acquisitions or dispositions;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set forth in the "</w:t>
      </w:r>
      <w:r>
        <w:rPr>
          <w:rFonts w:ascii="Times New Roman" w:cs="Times New Roman" w:eastAsia="Times New Roman" w:hAnsi="Times New Roman"/>
          <w:sz w:val="14"/>
          <w:szCs w:val="14"/>
          <w:u w:val="single" w:color="auto"/>
          <w:color w:val="0000FF"/>
        </w:rPr>
        <w:t>Item 1A - Risk Factors</w:t>
      </w:r>
      <w:r>
        <w:rPr>
          <w:rFonts w:ascii="Times New Roman" w:cs="Times New Roman" w:eastAsia="Times New Roman" w:hAnsi="Times New Roman"/>
          <w:sz w:val="14"/>
          <w:szCs w:val="14"/>
          <w:color w:val="auto"/>
        </w:rPr>
        <w:t>" section of this Quarterly Report on Form 10-Q or our Annual Report on Form 10-K.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caution you that the foregoing list may not contain all of the forward-looking statements made in this Quarterly Report on Form 10-Q.</w:t>
      </w:r>
    </w:p>
    <w:p>
      <w:pPr>
        <w:spacing w:after="0" w:line="1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in the "</w:t>
      </w:r>
      <w:r>
        <w:rPr>
          <w:rFonts w:ascii="Times New Roman" w:cs="Times New Roman" w:eastAsia="Times New Roman" w:hAnsi="Times New Roman"/>
          <w:sz w:val="14"/>
          <w:szCs w:val="14"/>
          <w:u w:val="single" w:color="auto"/>
          <w:color w:val="0000FF"/>
        </w:rPr>
        <w:t>Item 1A - Risk Factors</w:t>
      </w:r>
      <w:r>
        <w:rPr>
          <w:rFonts w:ascii="Times New Roman" w:cs="Times New Roman" w:eastAsia="Times New Roman" w:hAnsi="Times New Roman"/>
          <w:sz w:val="14"/>
          <w:szCs w:val="14"/>
          <w:color w:val="auto"/>
        </w:rPr>
        <w:t>" section of this Quarterly Report on Form 10-Q or our Annual Report on Form 10-K,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46"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Quarterly Report on Form 10-Q, and while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140"/>
        <w:spacing w:after="0" w:line="287" w:lineRule="auto"/>
        <w:rPr>
          <w:sz w:val="20"/>
          <w:szCs w:val="20"/>
          <w:color w:val="auto"/>
        </w:rPr>
      </w:pPr>
      <w:r>
        <w:rPr>
          <w:rFonts w:ascii="Times New Roman" w:cs="Times New Roman" w:eastAsia="Times New Roman" w:hAnsi="Times New Roman"/>
          <w:sz w:val="14"/>
          <w:szCs w:val="14"/>
          <w:color w:val="auto"/>
        </w:rPr>
        <w:t>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2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Terms Used in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used in this Quarterly Report on Form 10-Q, unless the context otherwise requires, references to the terms "Company," "Priority," "we," "us" and "our" refer to Priority Technology Holdings,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This section includes certain components of our results of operations for the three and nine months ended September 30, 2022, compared to the three and nine months ended September 30, 2021. We have derived this data, except key indicators for merchant bankcard processing dollar values, transaction volumes and average billed accounts from our Unaudited Consolidated Financial Statements included elsewhere in this Quarterly Report on Form 10-Q and our Audited Consolidated Financial Statements included in our Annual Report on Form 10-K for the year ended December 31, 2021.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1"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For the three months ended September 30, 2022, our consolidated revenue of $166.4 million increased by $33.9 million, or 25.6%, from $132.5 million for the three months ended September 30, 2021. This overall increase was mainly driven by an increase in bankcard volumes resulting from increased consumer spending and acquisitions completed by the Company in 2021.</w:t>
      </w:r>
    </w:p>
    <w:p>
      <w:pPr>
        <w:spacing w:after="0" w:line="12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For the nine months ended September 30, 2022, our consolidated revenue of $486.1 million increased by $115.2 million, or 31.1%, from $370.9 million for the nine months ended September 30, 2021. This overall increase was primarily driven by an increase in bankcard volumes resulting from increased consumer spending, an increase in certain fee-based revenue and acquisitions completed by the Company in 2021.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our revenues by type for the three and nine months ended September 30, 2022 and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0" w:type="dxa"/>
            <w:vAlign w:val="bottom"/>
            <w:tcBorders>
              <w:bottom w:val="single" w:sz="8" w:color="auto"/>
            </w:tcBorders>
          </w:tcPr>
          <w:p>
            <w:pPr>
              <w:spacing w:after="0"/>
              <w:rPr>
                <w:sz w:val="16"/>
                <w:szCs w:val="16"/>
                <w:color w:val="auto"/>
              </w:rPr>
            </w:pPr>
          </w:p>
        </w:tc>
      </w:tr>
      <w:tr>
        <w:trPr>
          <w:trHeight w:val="171"/>
        </w:trPr>
        <w:tc>
          <w:tcPr>
            <w:tcW w:w="34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242424"/>
              </w:rPr>
              <w:t>2022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242424"/>
              </w:rPr>
              <w:t>2021</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242424"/>
              </w:rPr>
              <w:t>2022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242424"/>
              </w:rPr>
              <w:t>2021</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Type:</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0"/>
        </w:trPr>
        <w:tc>
          <w:tcPr>
            <w:tcW w:w="3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Merchant card fees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137,659</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122,175</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15,484</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405,404</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348,244</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57,160</w:t>
            </w:r>
          </w:p>
        </w:tc>
      </w:tr>
      <w:tr>
        <w:trPr>
          <w:trHeight w:val="180"/>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Money transmission services revenue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18,291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2,873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15,418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51,757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2,873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48,884</w:t>
            </w:r>
          </w:p>
        </w:tc>
      </w:tr>
      <w:tr>
        <w:trPr>
          <w:trHeight w:val="180"/>
        </w:trPr>
        <w:tc>
          <w:tcPr>
            <w:tcW w:w="3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Outsourced services and other services</w:t>
            </w:r>
          </w:p>
        </w:tc>
        <w:tc>
          <w:tcPr>
            <w:tcW w:w="28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7,933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5,778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2,155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21,917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14,981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6,936</w:t>
            </w:r>
          </w:p>
        </w:tc>
      </w:tr>
      <w:tr>
        <w:trPr>
          <w:trHeight w:val="180"/>
        </w:trPr>
        <w:tc>
          <w:tcPr>
            <w:tcW w:w="3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Equipment</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2,534</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1,716</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7,008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4,755</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2,253</w:t>
            </w:r>
          </w:p>
        </w:tc>
      </w:tr>
      <w:tr>
        <w:trPr>
          <w:trHeight w:val="171"/>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166,417</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132,542</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33,875</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486,086</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370,853</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115,233</w:t>
            </w:r>
          </w:p>
        </w:tc>
      </w:tr>
      <w:tr>
        <w:trPr>
          <w:trHeight w:val="20"/>
        </w:trPr>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0"/>
        <w:spacing w:after="0" w:line="287" w:lineRule="auto"/>
        <w:rPr>
          <w:sz w:val="20"/>
          <w:szCs w:val="20"/>
          <w:color w:val="auto"/>
        </w:rPr>
      </w:pPr>
      <w:r>
        <w:rPr>
          <w:rFonts w:ascii="Times New Roman" w:cs="Times New Roman" w:eastAsia="Times New Roman" w:hAnsi="Times New Roman"/>
          <w:sz w:val="14"/>
          <w:szCs w:val="14"/>
          <w:color w:val="auto"/>
        </w:rPr>
        <w:t>For the three months ended September 30, 2022, our merchant card fees revenue of $137.7 million increased by $15.5 million, or 12.7%, from $122.2 million for the three months ended September 30, 2021. This increase was primarily driven by an increase in the merchant bankcard volume processed by the Company slightly offset by rate decreases.</w:t>
      </w:r>
    </w:p>
    <w:p>
      <w:pPr>
        <w:spacing w:after="0" w:line="12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2022, our merchant card fees revenue of $405.4 million increased by $57.2 million, or 16.4%, from $348.2 million for the nine months ended September 30, 2021. This increase was primarily driven by an increase in the merchant bankcard volume processed by the Company and an increase in certain fee-based revenue slightly offset by rate decreases.</w:t>
      </w:r>
    </w:p>
    <w:p>
      <w:pPr>
        <w:spacing w:after="0" w:line="124"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Money transmission services revenue of $18.3 million and $51.8 million for the three and nine months ended September 30, 2022, respectively, is related to the business acquired from Finxera in September 2021.</w:t>
      </w:r>
    </w:p>
    <w:p>
      <w:pPr>
        <w:spacing w:after="0" w:line="124"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Outsourced services and other services revenue of $7.9 million for the three months ended September 30, 2022 increased by $2.1 million, or 36.2%, from $5.8 million for the three months ended September 30, 2021, primarily due to growth in revenue from AP automation solutions and increased volumes in the card issuing business offset by decreases due to the wind down of certain customer programs in the managed services business.</w:t>
      </w:r>
    </w:p>
    <w:p>
      <w:pPr>
        <w:spacing w:after="0" w:line="136"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Outsourced services and other services revenue of $21.9 million for the nine months ended September 30, 2022 increased by $6.9 million, or 46.0%, from $15.0 million for the nine months ended September 30, 2021. This increase was primarily driven by growth in revenue from AP automation solutions and increased volumes in the card issuing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Equipment revenue of $2.5 million for the three months ended September 30, 2022 increased by $0.8 million, or 47.1%, from $1.7 million for the three months ended September 30, 2021. The increase was primarily due to increased sales of mobile card reader equipment and other equipment from our MX product line.</w:t>
      </w:r>
    </w:p>
    <w:p>
      <w:pPr>
        <w:spacing w:after="0" w:line="124"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Equipment revenue of $7.0 million for the nine months ended September 30, 2022 increased by $2.2 million, or 45.8%, from $4.8 million for the nine months ended September 30, 2021. This increase was primarily due to increased sales of mobile card reader equipment and other equipment from our MX product line.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expenses for three and nine months ended September 30, 2022 and 2021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0" w:type="dxa"/>
            <w:vAlign w:val="bottom"/>
            <w:tcBorders>
              <w:bottom w:val="single" w:sz="8" w:color="auto"/>
            </w:tcBorders>
          </w:tcPr>
          <w:p>
            <w:pPr>
              <w:spacing w:after="0"/>
              <w:rPr>
                <w:sz w:val="16"/>
                <w:szCs w:val="16"/>
                <w:color w:val="auto"/>
              </w:rPr>
            </w:pPr>
          </w:p>
        </w:tc>
      </w:tr>
      <w:tr>
        <w:trPr>
          <w:trHeight w:val="171"/>
        </w:trPr>
        <w:tc>
          <w:tcPr>
            <w:tcW w:w="34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242424"/>
              </w:rPr>
              <w:t>2022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242424"/>
              </w:rPr>
              <w:t>2021</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242424"/>
              </w:rPr>
              <w:t>2022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242424"/>
              </w:rPr>
              <w:t>2021</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0"/>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 of revenue (excludes depreciation and amortization) $</w:t>
            </w: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107,958</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92,833</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15,125</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320,187</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264,527</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55,660</w:t>
            </w:r>
          </w:p>
        </w:tc>
      </w:tr>
      <w:tr>
        <w:trPr>
          <w:trHeight w:val="180"/>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Salary and employee benefits</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16,384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11,909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4,475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48,231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31,808</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16,423</w:t>
            </w:r>
          </w:p>
        </w:tc>
      </w:tr>
      <w:tr>
        <w:trPr>
          <w:trHeight w:val="180"/>
        </w:trPr>
        <w:tc>
          <w:tcPr>
            <w:tcW w:w="3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17,817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12,330</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5,487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52,675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32,123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20,552</w:t>
            </w:r>
          </w:p>
        </w:tc>
      </w:tr>
      <w:tr>
        <w:trPr>
          <w:trHeight w:val="180"/>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10,178</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7,220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2,958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27,027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22,213</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4,814</w:t>
            </w:r>
          </w:p>
        </w:tc>
      </w:tr>
      <w:tr>
        <w:trPr>
          <w:trHeight w:val="171"/>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152,337</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124,292</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28,045</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448,120</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350,671</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97,449</w:t>
            </w:r>
          </w:p>
        </w:tc>
      </w:tr>
      <w:tr>
        <w:trPr>
          <w:trHeight w:val="20"/>
        </w:trPr>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Cost of Revenue (excludes depreciation and amortization)</w:t>
      </w:r>
    </w:p>
    <w:p>
      <w:pPr>
        <w:spacing w:after="0" w:line="17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Cost of revenue (excludes depreciation and amortization) of $108.0 million for the three months ended September 30, 2022 increased by $15.2 million, or 16.4%, from $92.8 million for the three months ended September 30, 2021, primarily due to the corresponding increase in revenues. For the three months ended September 30, 2022, cost of revenue (excludes depreciation and amortization) as a percentage of total revenues decreased to 64.9% as compared to 70.0% for the three months ended September 30, 2021. This decrease was primarily due to the impact of the Finxera acquisition, partially offset by mix of bankcard volume growth from larger partners with higher commissions.</w:t>
      </w:r>
    </w:p>
    <w:p>
      <w:pPr>
        <w:spacing w:after="0" w:line="14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Cost of revenue (excludes depreciation and amortization) of $320.2 million for the nine months ended September 30, 2022 increased by $55.7 million, or 21.1% from $264.5 million for the nine months ended September 30, 2021. For the nine months ended September 30, 2022 cost of revenue (excludes depreciation and amortization) as a percentage of total revenues decreased to 65.9% as compared to 71.3% for the nine months ended September 30, 2021. This decrease was primarily due to the impact of the Finxera acquisition, partially offset by mix of bankcard volume growth from larger partners with higher commissions and risk management initiatives taken by the Company in the specialized merchant acquiring portfolio during the prior year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Salary and Employee Benefits</w:t>
      </w:r>
    </w:p>
    <w:p>
      <w:pPr>
        <w:spacing w:after="0" w:line="179"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Salary and employee benefits expense of $16.4 million for the three months ended September 30, 2022 increased by $4.5 million, or 37.8%, from $11.9 million for the three months ended September 30, 2021, primarily due to pay raises, increases in headcount related to our acquisition of Finxera in September 2021, an increase in stock-based compensation and overall growth of the Company.</w:t>
      </w:r>
    </w:p>
    <w:p>
      <w:pPr>
        <w:spacing w:after="0" w:line="136"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Salary and employee benefits expense of $48.2 million for the nine months ended September 30, 2022 increased by $16.4 million, or 51.6%, from $31.8 million for the nine months ended September 30, 2021, primarily due to increases in headcount related to our acquisition of Finxera in September 2021, an increase in stock-based compensation and overall growth of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Depreciation and Amortization Expense</w:t>
      </w:r>
    </w:p>
    <w:p>
      <w:pPr>
        <w:spacing w:after="0" w:line="179"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of $17.8 million for the three months ended September 30, 2022 increased by $5.5 million, or 44.7%, from $12.3 million for the three months ended September 30, 2021, primarily due to the amortization of finite-lived intangible assets acquired from the business combinations completed during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of $52.7 million for the nine months ended September 30, 2022 increased by $20.6 million, or 64.2%, from $32.1 million for the nine months ended September 30, 2021, primarily due to the amortization of finite-lived intangible assets acquired from the business combinations completed during 2021.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Selling, General and Administrative</w:t>
      </w:r>
    </w:p>
    <w:p>
      <w:pPr>
        <w:spacing w:after="0" w:line="179"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Selling, general and administrative expenses of $10.2 million for the three months ended September 30, 2022 increased by $3.0 million, or 41.7%, from $7.2 million for the three months ended September 30, 2021, primarily due to an increase in expenses from acquired businesses and certain non-recurring expenses.</w:t>
      </w:r>
    </w:p>
    <w:p>
      <w:pPr>
        <w:spacing w:after="0" w:line="124"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Selling, general and administrative expenses of $27.0 million for the nine months ended September 30, 2022 increased by $4.8 million, or 21.6%, from $22.2 million for the nine months ended September 30, 2021, primarily due to an increase in expenses from acquired businesses, offset by a decrease in certain non-recurring transaction related expenses.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expenses, net for three and nine months ended September 30, 2022 and 2021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0" w:type="dxa"/>
            <w:vAlign w:val="bottom"/>
            <w:tcBorders>
              <w:bottom w:val="single" w:sz="8" w:color="auto"/>
            </w:tcBorders>
          </w:tcPr>
          <w:p>
            <w:pPr>
              <w:spacing w:after="0"/>
              <w:rPr>
                <w:sz w:val="16"/>
                <w:szCs w:val="16"/>
                <w:color w:val="auto"/>
              </w:rPr>
            </w:pPr>
          </w:p>
        </w:tc>
      </w:tr>
      <w:tr>
        <w:trPr>
          <w:trHeight w:val="171"/>
        </w:trPr>
        <w:tc>
          <w:tcPr>
            <w:tcW w:w="34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242424"/>
              </w:rPr>
              <w:t>2022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242424"/>
              </w:rPr>
              <w:t>2021</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242424"/>
              </w:rPr>
              <w:t>2022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242424"/>
              </w:rPr>
              <w:t>2021</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6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80"/>
        </w:trPr>
        <w:tc>
          <w:tcPr>
            <w:tcW w:w="3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(13,412)</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(8,155)</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(5,257)</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(37,282)</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(24,608)</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(12,674)</w:t>
            </w:r>
          </w:p>
        </w:tc>
      </w:tr>
      <w:tr>
        <w:trPr>
          <w:trHeight w:val="180"/>
        </w:trPr>
        <w:tc>
          <w:tcPr>
            <w:tcW w:w="3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extinguishment and modification costs</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(8,322)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8,322</w:t>
            </w:r>
          </w:p>
        </w:tc>
      </w:tr>
      <w:tr>
        <w:trPr>
          <w:trHeight w:val="180"/>
        </w:trPr>
        <w:tc>
          <w:tcPr>
            <w:tcW w:w="3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219</w:t>
            </w:r>
          </w:p>
        </w:tc>
      </w:tr>
      <w:tr>
        <w:trPr>
          <w:trHeight w:val="196"/>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expense, net</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(13,181)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(8,009)</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(5,172)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(36,971)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(32,838)</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(4,133)</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Interest Expense</w:t>
      </w:r>
    </w:p>
    <w:p>
      <w:pPr>
        <w:spacing w:after="0" w:line="179"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Interest expense of $13.4 million for the three months ended September 30, 2022 increased by $5.2 million, or 63.4%, from $8.2 million for the three months ended September 30, 2021, due to additional borrowings to fund the acquisition of Finxera in September 2021 and increased interest rates in the three months ended September 30, 2022.</w:t>
      </w:r>
    </w:p>
    <w:p>
      <w:pPr>
        <w:spacing w:after="0" w:line="12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Interest expense of $37.3 million for the nine months ended September 30, 2022 increased by $12.7 million, or 51.6%, from $24.6 million for the nine months ended September 30, 2021, primarily due to additional borrowings to fund the acquisition of Finxera in September 2021 and increased interest rates in the nine months ended September 30,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Debt Extinguishment and Modification Costs</w:t>
      </w:r>
    </w:p>
    <w:p>
      <w:pPr>
        <w:spacing w:after="0" w:line="179"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In April 2021, the Company expensed unamortized deferred costs and discounts of $3.0 million associated with the retirement of our subordinated debt facility and refinancing of our senior debt facility, and expensed $5.3 million of third-party costs incurred in connection with the refinancing.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32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71"/>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9"/>
              </w:rPr>
              <w:t>Income Tax Expense (Benefit)</w:t>
            </w: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642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Income tax expense (benefit) for three and nine months ended September 30, 2022 and 2021 was as follows: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2"/>
        </w:trPr>
        <w:tc>
          <w:tcPr>
            <w:tcW w:w="32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Borders>
              <w:bottom w:val="single" w:sz="8" w:color="auto"/>
            </w:tcBorders>
          </w:tcPr>
          <w:p>
            <w:pPr>
              <w:spacing w:after="0"/>
              <w:rPr>
                <w:sz w:val="24"/>
                <w:szCs w:val="24"/>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42424"/>
              </w:rPr>
              <w:t>2022</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42424"/>
              </w:rPr>
              <w:t>2021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242424"/>
              </w:rPr>
              <w:t>2022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242424"/>
              </w:rPr>
              <w:t>2021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1"/>
        </w:trPr>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995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(12,656)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13,651</w:t>
            </w:r>
          </w:p>
        </w:tc>
      </w:tr>
      <w:tr>
        <w:trPr>
          <w:trHeight w:val="180"/>
        </w:trPr>
        <w:tc>
          <w:tcPr>
            <w:tcW w:w="32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0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95"/>
              </w:rPr>
              <w:t>1,691</w:t>
            </w:r>
          </w:p>
        </w:tc>
        <w:tc>
          <w:tcPr>
            <w:tcW w:w="100" w:type="dxa"/>
            <w:vAlign w:val="bottom"/>
          </w:tcPr>
          <w:p>
            <w:pPr>
              <w:spacing w:after="0"/>
              <w:rPr>
                <w:sz w:val="15"/>
                <w:szCs w:val="15"/>
                <w:color w:val="auto"/>
              </w:rPr>
            </w:pPr>
          </w:p>
        </w:tc>
        <w:tc>
          <w:tcPr>
            <w:tcW w:w="78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1,833</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w:t>
            </w:r>
          </w:p>
        </w:tc>
      </w:tr>
      <w:tr>
        <w:trPr>
          <w:trHeight w:val="180"/>
        </w:trPr>
        <w:tc>
          <w:tcPr>
            <w:tcW w:w="3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188.1 %</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327.8 %</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184.2 %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bl>
    <w:p>
      <w:pPr>
        <w:spacing w:after="0" w:line="229"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212529"/>
        </w:rPr>
        <w:t xml:space="preserve">We compute our interim period income tax expense or benefit by using a forecasted EAETR and adjust for any discrete items arising during the interim period and any changes in our projected full-year business interest expense and taxable income. The EAETR for 2022 is 162.7% and includes the income tax provision on pre-tax income and a tax provision related to establishment of a valuation allowance for deferred income tax on the future portion of the Section 163(j) limitation created by additional 2022 interest expense. </w:t>
      </w:r>
      <w:r>
        <w:rPr>
          <w:rFonts w:ascii="Times New Roman" w:cs="Times New Roman" w:eastAsia="Times New Roman" w:hAnsi="Times New Roman"/>
          <w:sz w:val="14"/>
          <w:szCs w:val="14"/>
          <w:color w:val="000000"/>
        </w:rPr>
        <w:t>The effective tax rate for 2022 changed primarily due to</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222222"/>
        </w:rPr>
        <w:t>an increase in the valuation allowance against certain business interest carryover deferred tax assets.</w:t>
      </w:r>
    </w:p>
    <w:p>
      <w:pPr>
        <w:spacing w:after="0" w:line="140"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Our consolidated effective income tax rates differ from the statutory rate due to timing and permanent differences between amounts calculated under accounting principles GAAP and the U.S. tax code. The consolidated effective income tax rate for 2022 may not be indicative of our effective tax rate for future periods.</w:t>
      </w:r>
    </w:p>
    <w:p>
      <w:pPr>
        <w:spacing w:after="0" w:line="12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On August 16, 2022, the U.S. government enacted the Inflation Reduction Act into law. The IRA, among other provisions, implements a 15% corporate alternative minimum tax based on global adjusted financial statement income and a 1% excise tax on share repurchases, which shall take effect in tax years beginning after December 31, 2022. We are in the process of evaluating the provisions of the IRA, but we do not currently believe the IRA will have a material effect on our reported results, cash flows, or financial position when it becomes effective. If applicable, we expect to reflect the excise tax within equity as part of the repurchase price of common stock.</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Results</w:t>
      </w:r>
    </w:p>
    <w:p>
      <w:pPr>
        <w:spacing w:after="0" w:line="181"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Company reorganized its business segments as of December 31, 2021, resulting in three segments: SMB Payments, B2B Payments and Enterprise Payments. Segment results included in the discussion below were restated in accordance with the new segment structure for comparison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903"/>
        </w:trPr>
        <w:tc>
          <w:tcPr>
            <w:tcW w:w="4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impact of the restatement of the prior period results is as follows:</w:t>
            </w:r>
          </w:p>
        </w:tc>
        <w:tc>
          <w:tcPr>
            <w:tcW w:w="1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72"/>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020" w:type="dxa"/>
            <w:vAlign w:val="bottom"/>
            <w:tcBorders>
              <w:bottom w:val="single" w:sz="8" w:color="auto"/>
            </w:tcBorders>
          </w:tcPr>
          <w:p>
            <w:pPr>
              <w:spacing w:after="0"/>
              <w:rPr>
                <w:sz w:val="24"/>
                <w:szCs w:val="24"/>
                <w:color w:val="auto"/>
              </w:rPr>
            </w:pPr>
          </w:p>
        </w:tc>
      </w:tr>
      <w:tr>
        <w:trPr>
          <w:trHeight w:val="171"/>
        </w:trPr>
        <w:tc>
          <w:tcPr>
            <w:tcW w:w="1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Times New Roman" w:cs="Times New Roman" w:eastAsia="Times New Roman" w:hAnsi="Times New Roman"/>
                <w:sz w:val="14"/>
                <w:szCs w:val="14"/>
                <w:b w:val="1"/>
                <w:bCs w:val="1"/>
                <w:color w:val="auto"/>
              </w:rPr>
              <w:t>SMB Payments</w:t>
            </w:r>
            <w:r>
              <w:rPr>
                <w:rFonts w:ascii="Times New Roman" w:cs="Times New Roman" w:eastAsia="Times New Roman" w:hAnsi="Times New Roman"/>
                <w:sz w:val="18"/>
                <w:szCs w:val="18"/>
                <w:b w:val="1"/>
                <w:bCs w:val="1"/>
                <w:color w:val="auto"/>
                <w:vertAlign w:val="superscript"/>
              </w:rPr>
              <w:t>(1)</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2"/>
          </w:tcPr>
          <w:p>
            <w:pPr>
              <w:jc w:val="center"/>
              <w:ind w:right="460"/>
              <w:spacing w:after="0" w:line="171" w:lineRule="exact"/>
              <w:rPr>
                <w:sz w:val="20"/>
                <w:szCs w:val="20"/>
                <w:color w:val="auto"/>
              </w:rPr>
            </w:pPr>
            <w:r>
              <w:rPr>
                <w:rFonts w:ascii="Times New Roman" w:cs="Times New Roman" w:eastAsia="Times New Roman" w:hAnsi="Times New Roman"/>
                <w:sz w:val="14"/>
                <w:szCs w:val="14"/>
                <w:b w:val="1"/>
                <w:bCs w:val="1"/>
                <w:color w:val="auto"/>
                <w:w w:val="98"/>
              </w:rPr>
              <w:t>B2B Payments</w:t>
            </w:r>
            <w:r>
              <w:rPr>
                <w:rFonts w:ascii="Times New Roman" w:cs="Times New Roman" w:eastAsia="Times New Roman" w:hAnsi="Times New Roman"/>
                <w:sz w:val="18"/>
                <w:szCs w:val="18"/>
                <w:b w:val="1"/>
                <w:bCs w:val="1"/>
                <w:color w:val="auto"/>
                <w:w w:val="98"/>
                <w:vertAlign w:val="superscript"/>
              </w:rPr>
              <w:t>(2)</w:t>
            </w:r>
          </w:p>
        </w:tc>
        <w:tc>
          <w:tcPr>
            <w:tcW w:w="260" w:type="dxa"/>
            <w:vAlign w:val="bottom"/>
          </w:tcPr>
          <w:p>
            <w:pPr>
              <w:spacing w:after="0"/>
              <w:rPr>
                <w:sz w:val="14"/>
                <w:szCs w:val="14"/>
                <w:color w:val="auto"/>
              </w:rPr>
            </w:pPr>
          </w:p>
        </w:tc>
        <w:tc>
          <w:tcPr>
            <w:tcW w:w="2020" w:type="dxa"/>
            <w:vAlign w:val="bottom"/>
          </w:tcPr>
          <w:p>
            <w:pPr>
              <w:jc w:val="right"/>
              <w:ind w:right="389"/>
              <w:spacing w:after="0" w:line="171" w:lineRule="exact"/>
              <w:rPr>
                <w:sz w:val="20"/>
                <w:szCs w:val="20"/>
                <w:color w:val="auto"/>
              </w:rPr>
            </w:pPr>
            <w:r>
              <w:rPr>
                <w:rFonts w:ascii="Times New Roman" w:cs="Times New Roman" w:eastAsia="Times New Roman" w:hAnsi="Times New Roman"/>
                <w:sz w:val="14"/>
                <w:szCs w:val="14"/>
                <w:b w:val="1"/>
                <w:bCs w:val="1"/>
                <w:color w:val="auto"/>
              </w:rPr>
              <w:t>Enterprise Payments</w:t>
            </w:r>
            <w:r>
              <w:rPr>
                <w:rFonts w:ascii="Times New Roman" w:cs="Times New Roman" w:eastAsia="Times New Roman" w:hAnsi="Times New Roman"/>
                <w:sz w:val="18"/>
                <w:szCs w:val="18"/>
                <w:b w:val="1"/>
                <w:bCs w:val="1"/>
                <w:color w:val="auto"/>
                <w:vertAlign w:val="superscript"/>
              </w:rPr>
              <w:t>(3)</w:t>
            </w:r>
          </w:p>
        </w:tc>
      </w:tr>
      <w:tr>
        <w:trPr>
          <w:trHeight w:val="160"/>
        </w:trPr>
        <w:tc>
          <w:tcPr>
            <w:tcW w:w="4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7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020" w:type="dxa"/>
            <w:vAlign w:val="bottom"/>
            <w:tcBorders>
              <w:top w:val="single" w:sz="8" w:color="auto"/>
            </w:tcBorders>
            <w:shd w:val="clear" w:color="auto" w:fill="CCEEFF"/>
          </w:tcPr>
          <w:p>
            <w:pPr>
              <w:spacing w:after="0"/>
              <w:rPr>
                <w:sz w:val="13"/>
                <w:szCs w:val="13"/>
                <w:color w:val="auto"/>
              </w:rPr>
            </w:pPr>
          </w:p>
        </w:tc>
      </w:tr>
      <w:tr>
        <w:trPr>
          <w:trHeight w:val="180"/>
        </w:trPr>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Restated</w:t>
            </w:r>
          </w:p>
        </w:tc>
        <w:tc>
          <w:tcPr>
            <w:tcW w:w="1700" w:type="dxa"/>
            <w:vAlign w:val="bottom"/>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124,737</w:t>
            </w:r>
          </w:p>
        </w:tc>
        <w:tc>
          <w:tcPr>
            <w:tcW w:w="52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4,181</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3,624</w:t>
            </w:r>
          </w:p>
        </w:tc>
      </w:tr>
      <w:tr>
        <w:trPr>
          <w:trHeight w:val="180"/>
        </w:trPr>
        <w:tc>
          <w:tcPr>
            <w:tcW w:w="4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Historically reported</w:t>
            </w:r>
          </w:p>
        </w:tc>
        <w:tc>
          <w:tcPr>
            <w:tcW w:w="17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124,027</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4,181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4,334</w:t>
            </w:r>
          </w:p>
        </w:tc>
      </w:tr>
      <w:tr>
        <w:trPr>
          <w:trHeight w:val="171"/>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Difference</w:t>
            </w:r>
          </w:p>
        </w:tc>
        <w:tc>
          <w:tcPr>
            <w:tcW w:w="1700" w:type="dxa"/>
            <w:vAlign w:val="bottom"/>
            <w:tcBorders>
              <w:bottom w:val="single" w:sz="8" w:color="auto"/>
            </w:tcBorders>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(710)</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42"/>
        </w:trPr>
        <w:tc>
          <w:tcPr>
            <w:tcW w:w="42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Operating Income (Loss):</w:t>
            </w:r>
          </w:p>
        </w:tc>
        <w:tc>
          <w:tcPr>
            <w:tcW w:w="1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r>
      <w:tr>
        <w:trPr>
          <w:trHeight w:val="180"/>
        </w:trPr>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Restated</w:t>
            </w:r>
          </w:p>
        </w:tc>
        <w:tc>
          <w:tcPr>
            <w:tcW w:w="1700" w:type="dxa"/>
            <w:vAlign w:val="bottom"/>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14,647</w:t>
            </w:r>
          </w:p>
        </w:tc>
        <w:tc>
          <w:tcPr>
            <w:tcW w:w="52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1,229</w:t>
            </w:r>
          </w:p>
        </w:tc>
      </w:tr>
      <w:tr>
        <w:trPr>
          <w:trHeight w:val="180"/>
        </w:trPr>
        <w:tc>
          <w:tcPr>
            <w:tcW w:w="4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Historically reported</w:t>
            </w:r>
          </w:p>
        </w:tc>
        <w:tc>
          <w:tcPr>
            <w:tcW w:w="17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14,656</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1,220</w:t>
            </w:r>
          </w:p>
        </w:tc>
      </w:tr>
      <w:tr>
        <w:trPr>
          <w:trHeight w:val="171"/>
        </w:trPr>
        <w:tc>
          <w:tcPr>
            <w:tcW w:w="4240" w:type="dxa"/>
            <w:vAlign w:val="bottom"/>
            <w:gridSpan w:val="2"/>
          </w:tcPr>
          <w:p>
            <w:pPr>
              <w:ind w:left="180"/>
              <w:spacing w:after="0" w:line="171" w:lineRule="exact"/>
              <w:rPr>
                <w:sz w:val="20"/>
                <w:szCs w:val="20"/>
                <w:color w:val="auto"/>
              </w:rPr>
            </w:pPr>
            <w:r>
              <w:rPr>
                <w:rFonts w:ascii="Times New Roman" w:cs="Times New Roman" w:eastAsia="Times New Roman" w:hAnsi="Times New Roman"/>
                <w:sz w:val="14"/>
                <w:szCs w:val="14"/>
                <w:color w:val="auto"/>
              </w:rPr>
              <w:t>Difference</w:t>
            </w:r>
            <w:r>
              <w:rPr>
                <w:rFonts w:ascii="Times New Roman" w:cs="Times New Roman" w:eastAsia="Times New Roman" w:hAnsi="Times New Roman"/>
                <w:sz w:val="18"/>
                <w:szCs w:val="18"/>
                <w:color w:val="auto"/>
                <w:vertAlign w:val="superscript"/>
              </w:rPr>
              <w:t>(4)</w:t>
            </w:r>
          </w:p>
        </w:tc>
        <w:tc>
          <w:tcPr>
            <w:tcW w:w="1700" w:type="dxa"/>
            <w:vAlign w:val="bottom"/>
            <w:tcBorders>
              <w:bottom w:val="single" w:sz="8" w:color="auto"/>
            </w:tcBorders>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42"/>
        </w:trPr>
        <w:tc>
          <w:tcPr>
            <w:tcW w:w="42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1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r>
      <w:tr>
        <w:trPr>
          <w:trHeight w:val="180"/>
        </w:trPr>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Restated</w:t>
            </w:r>
          </w:p>
        </w:tc>
        <w:tc>
          <w:tcPr>
            <w:tcW w:w="1700" w:type="dxa"/>
            <w:vAlign w:val="bottom"/>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11,049</w:t>
            </w:r>
          </w:p>
        </w:tc>
        <w:tc>
          <w:tcPr>
            <w:tcW w:w="52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939</w:t>
            </w:r>
          </w:p>
        </w:tc>
      </w:tr>
      <w:tr>
        <w:trPr>
          <w:trHeight w:val="180"/>
        </w:trPr>
        <w:tc>
          <w:tcPr>
            <w:tcW w:w="4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Historically reported</w:t>
            </w:r>
          </w:p>
        </w:tc>
        <w:tc>
          <w:tcPr>
            <w:tcW w:w="17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10,971</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1,017</w:t>
            </w:r>
          </w:p>
        </w:tc>
      </w:tr>
      <w:tr>
        <w:trPr>
          <w:trHeight w:val="171"/>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Difference</w:t>
            </w:r>
          </w:p>
        </w:tc>
        <w:tc>
          <w:tcPr>
            <w:tcW w:w="1700" w:type="dxa"/>
            <w:vAlign w:val="bottom"/>
            <w:tcBorders>
              <w:bottom w:val="single" w:sz="8" w:color="auto"/>
            </w:tcBorders>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(78)</w:t>
            </w:r>
          </w:p>
        </w:tc>
      </w:tr>
      <w:tr>
        <w:trPr>
          <w:trHeight w:val="20"/>
        </w:trPr>
        <w:tc>
          <w:tcPr>
            <w:tcW w:w="4240" w:type="dxa"/>
            <w:vAlign w:val="bottom"/>
            <w:gridSpan w:val="2"/>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789"/>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171"/>
        </w:trPr>
        <w:tc>
          <w:tcPr>
            <w:tcW w:w="1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tcPr>
          <w:p>
            <w:pPr>
              <w:jc w:val="right"/>
              <w:spacing w:after="0" w:line="171" w:lineRule="exact"/>
              <w:rPr>
                <w:sz w:val="20"/>
                <w:szCs w:val="20"/>
                <w:color w:val="auto"/>
              </w:rPr>
            </w:pPr>
            <w:r>
              <w:rPr>
                <w:rFonts w:ascii="Times New Roman" w:cs="Times New Roman" w:eastAsia="Times New Roman" w:hAnsi="Times New Roman"/>
                <w:sz w:val="14"/>
                <w:szCs w:val="14"/>
                <w:b w:val="1"/>
                <w:bCs w:val="1"/>
                <w:color w:val="auto"/>
              </w:rPr>
              <w:t>SMB Payments</w:t>
            </w:r>
            <w:r>
              <w:rPr>
                <w:rFonts w:ascii="Times New Roman" w:cs="Times New Roman" w:eastAsia="Times New Roman" w:hAnsi="Times New Roman"/>
                <w:sz w:val="18"/>
                <w:szCs w:val="18"/>
                <w:b w:val="1"/>
                <w:bCs w:val="1"/>
                <w:color w:val="auto"/>
                <w:vertAlign w:val="superscript"/>
              </w:rPr>
              <w:t>(1)</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2"/>
          </w:tcPr>
          <w:p>
            <w:pPr>
              <w:jc w:val="center"/>
              <w:ind w:right="460"/>
              <w:spacing w:after="0" w:line="171" w:lineRule="exact"/>
              <w:rPr>
                <w:sz w:val="20"/>
                <w:szCs w:val="20"/>
                <w:color w:val="auto"/>
              </w:rPr>
            </w:pPr>
            <w:r>
              <w:rPr>
                <w:rFonts w:ascii="Times New Roman" w:cs="Times New Roman" w:eastAsia="Times New Roman" w:hAnsi="Times New Roman"/>
                <w:sz w:val="14"/>
                <w:szCs w:val="14"/>
                <w:b w:val="1"/>
                <w:bCs w:val="1"/>
                <w:color w:val="auto"/>
                <w:w w:val="98"/>
              </w:rPr>
              <w:t>B2B Payments</w:t>
            </w:r>
            <w:r>
              <w:rPr>
                <w:rFonts w:ascii="Times New Roman" w:cs="Times New Roman" w:eastAsia="Times New Roman" w:hAnsi="Times New Roman"/>
                <w:sz w:val="18"/>
                <w:szCs w:val="18"/>
                <w:b w:val="1"/>
                <w:bCs w:val="1"/>
                <w:color w:val="auto"/>
                <w:w w:val="98"/>
                <w:vertAlign w:val="superscript"/>
              </w:rPr>
              <w:t>(2)</w:t>
            </w:r>
          </w:p>
        </w:tc>
        <w:tc>
          <w:tcPr>
            <w:tcW w:w="260" w:type="dxa"/>
            <w:vAlign w:val="bottom"/>
          </w:tcPr>
          <w:p>
            <w:pPr>
              <w:spacing w:after="0"/>
              <w:rPr>
                <w:sz w:val="14"/>
                <w:szCs w:val="14"/>
                <w:color w:val="auto"/>
              </w:rPr>
            </w:pPr>
          </w:p>
        </w:tc>
        <w:tc>
          <w:tcPr>
            <w:tcW w:w="2020" w:type="dxa"/>
            <w:vAlign w:val="bottom"/>
          </w:tcPr>
          <w:p>
            <w:pPr>
              <w:jc w:val="right"/>
              <w:ind w:right="389"/>
              <w:spacing w:after="0" w:line="171" w:lineRule="exact"/>
              <w:rPr>
                <w:sz w:val="20"/>
                <w:szCs w:val="20"/>
                <w:color w:val="auto"/>
              </w:rPr>
            </w:pPr>
            <w:r>
              <w:rPr>
                <w:rFonts w:ascii="Times New Roman" w:cs="Times New Roman" w:eastAsia="Times New Roman" w:hAnsi="Times New Roman"/>
                <w:sz w:val="14"/>
                <w:szCs w:val="14"/>
                <w:b w:val="1"/>
                <w:bCs w:val="1"/>
                <w:color w:val="auto"/>
              </w:rPr>
              <w:t>Enterprise Payments</w:t>
            </w:r>
            <w:r>
              <w:rPr>
                <w:rFonts w:ascii="Times New Roman" w:cs="Times New Roman" w:eastAsia="Times New Roman" w:hAnsi="Times New Roman"/>
                <w:sz w:val="18"/>
                <w:szCs w:val="18"/>
                <w:b w:val="1"/>
                <w:bCs w:val="1"/>
                <w:color w:val="auto"/>
                <w:vertAlign w:val="superscript"/>
              </w:rPr>
              <w:t>(3)</w:t>
            </w:r>
          </w:p>
        </w:tc>
      </w:tr>
      <w:tr>
        <w:trPr>
          <w:trHeight w:val="160"/>
        </w:trPr>
        <w:tc>
          <w:tcPr>
            <w:tcW w:w="4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7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2020" w:type="dxa"/>
            <w:vAlign w:val="bottom"/>
            <w:tcBorders>
              <w:top w:val="single" w:sz="8" w:color="auto"/>
            </w:tcBorders>
            <w:shd w:val="clear" w:color="auto" w:fill="CCEEFF"/>
          </w:tcPr>
          <w:p>
            <w:pPr>
              <w:spacing w:after="0"/>
              <w:rPr>
                <w:sz w:val="13"/>
                <w:szCs w:val="13"/>
                <w:color w:val="auto"/>
              </w:rPr>
            </w:pPr>
          </w:p>
        </w:tc>
      </w:tr>
      <w:tr>
        <w:trPr>
          <w:trHeight w:val="180"/>
        </w:trPr>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Restated</w:t>
            </w:r>
          </w:p>
        </w:tc>
        <w:tc>
          <w:tcPr>
            <w:tcW w:w="1700" w:type="dxa"/>
            <w:vAlign w:val="bottom"/>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354,149</w:t>
            </w:r>
          </w:p>
        </w:tc>
        <w:tc>
          <w:tcPr>
            <w:tcW w:w="52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11,722</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4,982</w:t>
            </w:r>
          </w:p>
        </w:tc>
      </w:tr>
      <w:tr>
        <w:trPr>
          <w:trHeight w:val="180"/>
        </w:trPr>
        <w:tc>
          <w:tcPr>
            <w:tcW w:w="4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Historically reported</w:t>
            </w:r>
          </w:p>
        </w:tc>
        <w:tc>
          <w:tcPr>
            <w:tcW w:w="17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352,045</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11,722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7,086</w:t>
            </w:r>
          </w:p>
        </w:tc>
      </w:tr>
      <w:tr>
        <w:trPr>
          <w:trHeight w:val="171"/>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Difference</w:t>
            </w:r>
          </w:p>
        </w:tc>
        <w:tc>
          <w:tcPr>
            <w:tcW w:w="1700" w:type="dxa"/>
            <w:vAlign w:val="bottom"/>
            <w:tcBorders>
              <w:bottom w:val="single" w:sz="8" w:color="auto"/>
            </w:tcBorders>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(2,104)</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42"/>
        </w:trPr>
        <w:tc>
          <w:tcPr>
            <w:tcW w:w="42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Operating Income (Loss):</w:t>
            </w:r>
          </w:p>
        </w:tc>
        <w:tc>
          <w:tcPr>
            <w:tcW w:w="1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r>
      <w:tr>
        <w:trPr>
          <w:trHeight w:val="180"/>
        </w:trPr>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Restated</w:t>
            </w:r>
          </w:p>
        </w:tc>
        <w:tc>
          <w:tcPr>
            <w:tcW w:w="1700" w:type="dxa"/>
            <w:vAlign w:val="bottom"/>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42,380</w:t>
            </w:r>
          </w:p>
        </w:tc>
        <w:tc>
          <w:tcPr>
            <w:tcW w:w="52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1,564</w:t>
            </w:r>
          </w:p>
        </w:tc>
      </w:tr>
      <w:tr>
        <w:trPr>
          <w:trHeight w:val="180"/>
        </w:trPr>
        <w:tc>
          <w:tcPr>
            <w:tcW w:w="4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Historically reported</w:t>
            </w:r>
          </w:p>
        </w:tc>
        <w:tc>
          <w:tcPr>
            <w:tcW w:w="17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42,467</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1,477</w:t>
            </w:r>
          </w:p>
        </w:tc>
      </w:tr>
      <w:tr>
        <w:trPr>
          <w:trHeight w:val="171"/>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Difference</w:t>
            </w:r>
          </w:p>
        </w:tc>
        <w:tc>
          <w:tcPr>
            <w:tcW w:w="1700" w:type="dxa"/>
            <w:vAlign w:val="bottom"/>
            <w:tcBorders>
              <w:bottom w:val="single" w:sz="8" w:color="auto"/>
            </w:tcBorders>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87</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42"/>
        </w:trPr>
        <w:tc>
          <w:tcPr>
            <w:tcW w:w="42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1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r>
      <w:tr>
        <w:trPr>
          <w:trHeight w:val="180"/>
        </w:trPr>
        <w:tc>
          <w:tcPr>
            <w:tcW w:w="4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Restated</w:t>
            </w:r>
          </w:p>
        </w:tc>
        <w:tc>
          <w:tcPr>
            <w:tcW w:w="1700" w:type="dxa"/>
            <w:vAlign w:val="bottom"/>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30,130</w:t>
            </w:r>
          </w:p>
        </w:tc>
        <w:tc>
          <w:tcPr>
            <w:tcW w:w="520" w:type="dxa"/>
            <w:vAlign w:val="bottom"/>
            <w:gridSpan w:val="3"/>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939</w:t>
            </w:r>
          </w:p>
        </w:tc>
      </w:tr>
      <w:tr>
        <w:trPr>
          <w:trHeight w:val="180"/>
        </w:trPr>
        <w:tc>
          <w:tcPr>
            <w:tcW w:w="4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Historically reported</w:t>
            </w:r>
          </w:p>
        </w:tc>
        <w:tc>
          <w:tcPr>
            <w:tcW w:w="17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29,847</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1,222</w:t>
            </w:r>
          </w:p>
        </w:tc>
      </w:tr>
      <w:tr>
        <w:trPr>
          <w:trHeight w:val="171"/>
        </w:trPr>
        <w:tc>
          <w:tcPr>
            <w:tcW w:w="42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Difference</w:t>
            </w:r>
          </w:p>
        </w:tc>
        <w:tc>
          <w:tcPr>
            <w:tcW w:w="1700" w:type="dxa"/>
            <w:vAlign w:val="bottom"/>
            <w:tcBorders>
              <w:bottom w:val="single" w:sz="8" w:color="auto"/>
            </w:tcBorders>
          </w:tcPr>
          <w:p>
            <w:pPr>
              <w:jc w:val="right"/>
              <w:ind w:right="154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(283)</w:t>
            </w:r>
          </w:p>
        </w:tc>
      </w:tr>
      <w:tr>
        <w:trPr>
          <w:trHeight w:val="20"/>
        </w:trPr>
        <w:tc>
          <w:tcPr>
            <w:tcW w:w="1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500" w:hanging="240"/>
        <w:spacing w:after="0"/>
        <w:tabs>
          <w:tab w:leader="none" w:pos="50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Compared to the Company's legacy Consumer Payments segment.</w:t>
      </w:r>
    </w:p>
    <w:p>
      <w:pPr>
        <w:spacing w:after="0" w:line="1" w:lineRule="exact"/>
        <w:rPr>
          <w:rFonts w:ascii="Times New Roman" w:cs="Times New Roman" w:eastAsia="Times New Roman" w:hAnsi="Times New Roman"/>
          <w:sz w:val="18"/>
          <w:szCs w:val="18"/>
          <w:color w:val="auto"/>
          <w:vertAlign w:val="superscript"/>
        </w:rPr>
      </w:pPr>
    </w:p>
    <w:p>
      <w:pPr>
        <w:ind w:left="500" w:hanging="240"/>
        <w:spacing w:after="0" w:line="194" w:lineRule="auto"/>
        <w:tabs>
          <w:tab w:leader="none" w:pos="50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Compared to the Company's legacy Commercial Payments segment.</w:t>
      </w:r>
    </w:p>
    <w:p>
      <w:pPr>
        <w:spacing w:after="0" w:line="2" w:lineRule="exact"/>
        <w:rPr>
          <w:rFonts w:ascii="Times New Roman" w:cs="Times New Roman" w:eastAsia="Times New Roman" w:hAnsi="Times New Roman"/>
          <w:sz w:val="18"/>
          <w:szCs w:val="18"/>
          <w:color w:val="auto"/>
          <w:vertAlign w:val="superscript"/>
        </w:rPr>
      </w:pPr>
    </w:p>
    <w:p>
      <w:pPr>
        <w:ind w:left="500" w:hanging="240"/>
        <w:spacing w:after="0" w:line="194" w:lineRule="auto"/>
        <w:tabs>
          <w:tab w:leader="none" w:pos="50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Compared to the Company's legacy Integrated Partners segment.</w:t>
      </w:r>
    </w:p>
    <w:p>
      <w:pPr>
        <w:spacing w:after="0" w:line="2" w:lineRule="exact"/>
        <w:rPr>
          <w:rFonts w:ascii="Times New Roman" w:cs="Times New Roman" w:eastAsia="Times New Roman" w:hAnsi="Times New Roman"/>
          <w:sz w:val="18"/>
          <w:szCs w:val="18"/>
          <w:color w:val="auto"/>
          <w:vertAlign w:val="superscript"/>
        </w:rPr>
      </w:pPr>
    </w:p>
    <w:p>
      <w:pPr>
        <w:ind w:left="500" w:hanging="240"/>
        <w:spacing w:after="0" w:line="194" w:lineRule="auto"/>
        <w:tabs>
          <w:tab w:leader="none" w:pos="50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Amounts may not net to zero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3"/>
        </w:trPr>
        <w:tc>
          <w:tcPr>
            <w:tcW w:w="10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SMB Payments</w:t>
            </w: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242424"/>
              </w:rPr>
              <w:t>2022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242424"/>
              </w:rPr>
              <w:t>2021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242424"/>
              </w:rPr>
              <w:t>2022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242424"/>
              </w:rPr>
              <w:t>2021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139,892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124,737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15,155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412,357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354,149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58,208</w:t>
            </w:r>
          </w:p>
        </w:tc>
        <w:tc>
          <w:tcPr>
            <w:tcW w:w="0" w:type="dxa"/>
            <w:vAlign w:val="bottom"/>
          </w:tcPr>
          <w:p>
            <w:pPr>
              <w:spacing w:after="0"/>
              <w:rPr>
                <w:sz w:val="1"/>
                <w:szCs w:val="1"/>
                <w:color w:val="auto"/>
              </w:rPr>
            </w:pPr>
          </w:p>
        </w:tc>
      </w:tr>
      <w:tr>
        <w:trPr>
          <w:trHeight w:val="180"/>
        </w:trPr>
        <w:tc>
          <w:tcPr>
            <w:tcW w:w="3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126,445</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110,090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16,355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372,429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311,769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60,660</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13,447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14,647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39,928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42,380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(2,452)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9.6 %</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11.7 %</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9.7 %</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12.0 %</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11,040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11,049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32,844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30,130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2,714</w:t>
            </w:r>
          </w:p>
        </w:tc>
        <w:tc>
          <w:tcPr>
            <w:tcW w:w="0" w:type="dxa"/>
            <w:vAlign w:val="bottom"/>
          </w:tcPr>
          <w:p>
            <w:pPr>
              <w:spacing w:after="0"/>
              <w:rPr>
                <w:sz w:val="1"/>
                <w:szCs w:val="1"/>
                <w:color w:val="auto"/>
              </w:rPr>
            </w:pPr>
          </w:p>
        </w:tc>
      </w:tr>
      <w:tr>
        <w:trPr>
          <w:trHeight w:val="18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Key Indicators: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Merchant bankcard processing dollar value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15,098,450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13,830,550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1,267,900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44,577,857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39,602,577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4,975,280</w:t>
            </w:r>
          </w:p>
        </w:tc>
        <w:tc>
          <w:tcPr>
            <w:tcW w:w="0" w:type="dxa"/>
            <w:vAlign w:val="bottom"/>
          </w:tcPr>
          <w:p>
            <w:pPr>
              <w:spacing w:after="0"/>
              <w:rPr>
                <w:sz w:val="1"/>
                <w:szCs w:val="1"/>
                <w:color w:val="auto"/>
              </w:rPr>
            </w:pPr>
          </w:p>
        </w:tc>
      </w:tr>
      <w:tr>
        <w:trPr>
          <w:trHeight w:val="184"/>
        </w:trPr>
        <w:tc>
          <w:tcPr>
            <w:tcW w:w="3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Merchant bankcard transaction volume</w:t>
            </w:r>
          </w:p>
        </w:tc>
        <w:tc>
          <w:tcPr>
            <w:tcW w:w="30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165,796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153,053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12,743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476,084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431,369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44,715</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Revenue</w:t>
      </w:r>
    </w:p>
    <w:p>
      <w:pPr>
        <w:spacing w:after="0" w:line="17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Revenue from our SMB Payments segment was $139.9 million for the three months ended September 30, 2022, compared to $124.7 million for the three months ended September 30, 2021. The increase of $15.2 million, or 12.2%, was primarily driven by increased merchant bankcard volume. The Company's revenue from the SMB Payments segment as a percentage of merchant bankcard processing dollar value during 2022 increased to 0.92% from 0.90% during 2021. The increase was primarily driven by increased volume (transaction count) related fees revenues and changes in the merchant mix.</w:t>
      </w:r>
    </w:p>
    <w:p>
      <w:pPr>
        <w:spacing w:after="0" w:line="140"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4"/>
          <w:szCs w:val="14"/>
          <w:color w:val="auto"/>
        </w:rPr>
        <w:t>Revenue from our SMB Payments segment was $412.4 million for the nine months ended September 30, 2022, compared to $354.1 million for the nine months ended September 30, 2021. The increase of $58.3 million, or 16.5%, was primarily driven by increased merchant bankcard volume and an increase in certain fee-based revenue. The Company's revenue from the SMB Payments segment as a percentage of merchant bankcard processing dollar value during 2022 increased to 0.92% from 0.89% during 2021. The increase was primarily driven by an increase in other fees revenues and changes in the merchant mix.</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Operating Income</w:t>
      </w:r>
    </w:p>
    <w:p>
      <w:pPr>
        <w:spacing w:after="0" w:line="17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Operating income from our SMB Payments segment was $13.4 million for the three months ended September 30, 2022, compared to $14.6 million for the three months ended September 30, 2021. The decrease of $1.2 million, or 8.2%, was primarily driven by mix-related margin compression, a $1.7 million increase in salary and employee benefits due to higher headcount, higher stock-based compensation and pay raises, a $0.7 million increase in selling, general and administrative expenses driven by higher travel and other operating costs and a $0.1 million increase in depreciation and amortization, offset by an increase in operating income from higher revenue. The increase in headcount and selling, general and administrative expenses are mainly attributable to growth initiatives.</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Operating income from our SMB Payments segment was $39.9 million for the nine months ended September 30, 2022, compared to $42.4 million for the nine months ended September 30, 2021. The decrease of $2.5 million, or 5.9%, was primarily driven by mix related margin compression, a $5.3 million increase in salary and employee benefits due to higher headcount, higher stock-based compensation and annual pay raises, a $2.3 million increase in selling, general and administrative expenses driven by higher software and travel and other operating costs and a $2.7 million increase in depreciation and amortization offset by an increase in operating income from higher revenue. The increase in headcount and selling, general and administrative expenses are mainly attributable to growth initiatives.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Depreciation and Amortization</w:t>
      </w:r>
    </w:p>
    <w:p>
      <w:pPr>
        <w:spacing w:after="0" w:line="179"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from our SMB Payments segment was $11.0 million for the three months ended September 30, 2022, compared to $11.0 million for the three months ended September 30, 2021.</w:t>
      </w:r>
    </w:p>
    <w:p>
      <w:pPr>
        <w:spacing w:after="0" w:line="124"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from our SMB Payments segment was $32.8 million for the nine months ended September 30, 2022, compared to $30.1 million for the nine months ended September 30, 2021. The increase of $2.7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 primarily driven by the amortization of acquired intangibles resulting from the C&amp;H and Wholesale Payments, Inc. acquisitions.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B2B Payments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242424"/>
              </w:rPr>
              <w:t>2022</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242424"/>
              </w:rPr>
              <w:t>2021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242424"/>
              </w:rPr>
              <w:t>2022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242424"/>
              </w:rPr>
              <w:t>2021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4,868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4,181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16,088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11,722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4,366</w:t>
            </w:r>
          </w:p>
        </w:tc>
        <w:tc>
          <w:tcPr>
            <w:tcW w:w="0" w:type="dxa"/>
            <w:vAlign w:val="bottom"/>
          </w:tcPr>
          <w:p>
            <w:pPr>
              <w:spacing w:after="0"/>
              <w:rPr>
                <w:sz w:val="1"/>
                <w:szCs w:val="1"/>
                <w:color w:val="auto"/>
              </w:rPr>
            </w:pPr>
          </w:p>
        </w:tc>
      </w:tr>
      <w:tr>
        <w:trPr>
          <w:trHeight w:val="180"/>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4,651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4,210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14,799</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12,139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2,660</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1,289</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1,706</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4.5 %</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8.0 %</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8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Key Indicators: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Merchant bankcard processing dollar value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116,348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87,116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29,232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380,217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226,056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154,161</w:t>
            </w:r>
          </w:p>
        </w:tc>
        <w:tc>
          <w:tcPr>
            <w:tcW w:w="0" w:type="dxa"/>
            <w:vAlign w:val="bottom"/>
          </w:tcPr>
          <w:p>
            <w:pPr>
              <w:spacing w:after="0"/>
              <w:rPr>
                <w:sz w:val="1"/>
                <w:szCs w:val="1"/>
                <w:color w:val="auto"/>
              </w:rPr>
            </w:pPr>
          </w:p>
        </w:tc>
      </w:tr>
      <w:tr>
        <w:trPr>
          <w:trHeight w:val="184"/>
        </w:trPr>
        <w:tc>
          <w:tcPr>
            <w:tcW w:w="3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Merchant bankcard transaction volume</w:t>
            </w:r>
          </w:p>
        </w:tc>
        <w:tc>
          <w:tcPr>
            <w:tcW w:w="280" w:type="dxa"/>
            <w:vAlign w:val="bottom"/>
          </w:tcPr>
          <w:p>
            <w:pPr>
              <w:spacing w:after="0"/>
              <w:rPr>
                <w:sz w:val="16"/>
                <w:szCs w:val="16"/>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Revenue</w:t>
      </w:r>
    </w:p>
    <w:p>
      <w:pPr>
        <w:spacing w:after="0" w:line="179"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Revenue from our B2B Payments segment was $4.9 million for the three months ended September 30, 2022, compared to $4.2 million for the three months ended September 30, 2021. The increase of $0.7 million, or 16.7%, was primarily driven by an increase of $1.1 million in the CPX business, of which $0.5 million is related to volume growth, and the remaining increase of $0.6 million is from the recognition of certain revenues for which recovery became probable during the current quarter. This increase was offset by a decrease of $0.4 million driven by wind down of certain customer programs in managed services business.</w:t>
      </w:r>
    </w:p>
    <w:p>
      <w:pPr>
        <w:spacing w:after="0" w:line="14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Revenue from our B2B Payments segment was $16.1 million for the nine months ended September 30, 2022, compared to $11.7 million for the nine months ended September 30, 2021. The increase of $4.4 million, or 37.6%, was primarily driven by an increase of $0.8 million, during the first six months of 2022, as a result of the acceleration of certain programs in the managed services business operations that were scaled back in 2021 as a result of the COVID-19 pandemic, an increase of $3.6 million in the CPX business, of which $2.0 million is related to volume growth, and the remaining increase of $1.6 million is from the recognition of certain revenues for which recovery became probable.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Operating Income (Loss)</w:t>
      </w:r>
    </w:p>
    <w:p>
      <w:pPr>
        <w:spacing w:after="0" w:line="17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Operating income from our B2B Payments segment was $0.2 million for the three months ended September 30, 2022, compared to a loss of $29 thousand for the three months ended September 30, 2021. The increase was primarily attributable to increases in revenue.</w:t>
      </w:r>
    </w:p>
    <w:p>
      <w:pPr>
        <w:spacing w:after="0" w:line="124"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Operating income from our B2B Payments segment was $1.3 million for the nine months ended September 30, 2022. compared to an operating loss of $0.4 million for the nine months ended September 30, 2021. The increase of $1.7 million was primarily attributable to increases in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3"/>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Enterprise Payments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242424"/>
              </w:rPr>
              <w:t>2022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242424"/>
              </w:rPr>
              <w:t>2021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242424"/>
              </w:rPr>
              <w:t>2022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242424"/>
              </w:rPr>
              <w:t>2021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0" w:type="dxa"/>
            <w:vAlign w:val="bottom"/>
          </w:tcPr>
          <w:p>
            <w:pPr>
              <w:spacing w:after="0"/>
              <w:rPr>
                <w:sz w:val="1"/>
                <w:szCs w:val="1"/>
                <w:color w:val="auto"/>
              </w:rPr>
            </w:pPr>
          </w:p>
        </w:tc>
      </w:tr>
      <w:tr>
        <w:trPr>
          <w:trHeight w:val="171"/>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21,657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3,624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18,033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57,641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4,982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52,659</w:t>
            </w:r>
          </w:p>
        </w:tc>
        <w:tc>
          <w:tcPr>
            <w:tcW w:w="0" w:type="dxa"/>
            <w:vAlign w:val="bottom"/>
          </w:tcPr>
          <w:p>
            <w:pPr>
              <w:spacing w:after="0"/>
              <w:rPr>
                <w:sz w:val="1"/>
                <w:szCs w:val="1"/>
                <w:color w:val="auto"/>
              </w:rPr>
            </w:pPr>
          </w:p>
        </w:tc>
      </w:tr>
      <w:tr>
        <w:trPr>
          <w:trHeight w:val="180"/>
        </w:trPr>
        <w:tc>
          <w:tcPr>
            <w:tcW w:w="3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12,345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2,395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9,950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38,137</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3,418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34,719</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9,312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1,229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8,083</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19,504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1,564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17,940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43.0 %</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33.9 %</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33.8 %</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31.4 %</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6,203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5,264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18,599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939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17,660</w:t>
            </w:r>
          </w:p>
        </w:tc>
        <w:tc>
          <w:tcPr>
            <w:tcW w:w="0" w:type="dxa"/>
            <w:vAlign w:val="bottom"/>
          </w:tcPr>
          <w:p>
            <w:pPr>
              <w:spacing w:after="0"/>
              <w:rPr>
                <w:sz w:val="1"/>
                <w:szCs w:val="1"/>
                <w:color w:val="auto"/>
              </w:rPr>
            </w:pPr>
          </w:p>
        </w:tc>
      </w:tr>
      <w:tr>
        <w:trPr>
          <w:trHeight w:val="18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Key Indicators: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Merchant bankcard processing dollar value</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585,382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585,359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1,189,034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1,189,011</w:t>
            </w:r>
          </w:p>
        </w:tc>
        <w:tc>
          <w:tcPr>
            <w:tcW w:w="0" w:type="dxa"/>
            <w:vAlign w:val="bottom"/>
          </w:tcPr>
          <w:p>
            <w:pPr>
              <w:spacing w:after="0"/>
              <w:rPr>
                <w:sz w:val="1"/>
                <w:szCs w:val="1"/>
                <w:color w:val="auto"/>
              </w:rPr>
            </w:pPr>
          </w:p>
        </w:tc>
      </w:tr>
      <w:tr>
        <w:trPr>
          <w:trHeight w:val="180"/>
        </w:trPr>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Merchant bankcard transaction volume</w:t>
            </w:r>
          </w:p>
        </w:tc>
        <w:tc>
          <w:tcPr>
            <w:tcW w:w="30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808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80"/>
        </w:trPr>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Average billed clients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387,384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342,789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44,595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363,993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349,595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14,398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Revenue</w:t>
      </w:r>
    </w:p>
    <w:p>
      <w:pPr>
        <w:spacing w:after="0" w:line="179"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Revenue from our Enterprise Payments segment was $21.7 million for the three months ended September 30, 2022, compared to $3.6 million for the three months ended September 30, 2021. The increase of $18.1 million was primarily driven by revenues contributed by the Finxera business acquired in September 2021.</w:t>
      </w:r>
    </w:p>
    <w:p>
      <w:pPr>
        <w:spacing w:after="0" w:line="124"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Revenue from our Enterprise Payments segment was $57.6 million for the nine months ended September 30, 2022, compared to $5.0 million for the nine months ended September 30, 2021. The increase of $52.6 million was primarily driven by revenues contributed by the Finxera business acquired in September 2021.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Operating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income from our Enterprise Payments segment was $9.3 million for the three months ended September 30, 2022, compared to $1.2 million for the three months ended September 30,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of $8.1 million was primarily driven by operating income contributed by the Finxera business acquired in September 2021.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income from our Enterprise Payments segment was $19.5 million for the nine months ended September 30, 2022, compared to $1.6 million for the nine months ended September 30,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of $17.9 million was primarily driven by operating income contributed by the Finxera business acquired in September 2021.</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Depreciation and Amortization</w:t>
      </w:r>
    </w:p>
    <w:p>
      <w:pPr>
        <w:spacing w:after="0" w:line="17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Depreciation and amortization expense from our Enterprise Payments segment was $6.2 million for the three months ended September 30, 2022, compared to $0.9 million depreciation and expense for the three months ended September 30, 2021. The increase of $5.3 million was primarily driven by the amortization of acquired intangibles resulting from the Finxera acquisition in September 2021.</w:t>
      </w:r>
    </w:p>
    <w:p>
      <w:pPr>
        <w:spacing w:after="0" w:line="136" w:lineRule="exact"/>
        <w:rPr>
          <w:sz w:val="20"/>
          <w:szCs w:val="20"/>
          <w:color w:val="auto"/>
        </w:rPr>
      </w:pPr>
    </w:p>
    <w:p>
      <w:pPr>
        <w:jc w:val="both"/>
        <w:ind w:right="360"/>
        <w:spacing w:after="0" w:line="270" w:lineRule="auto"/>
        <w:rPr>
          <w:sz w:val="20"/>
          <w:szCs w:val="20"/>
          <w:color w:val="auto"/>
        </w:rPr>
      </w:pPr>
      <w:r>
        <w:rPr>
          <w:rFonts w:ascii="Times New Roman" w:cs="Times New Roman" w:eastAsia="Times New Roman" w:hAnsi="Times New Roman"/>
          <w:sz w:val="14"/>
          <w:szCs w:val="14"/>
          <w:color w:val="auto"/>
        </w:rPr>
        <w:t>Depreciation and amortization from our Enterprise Payments segment was $18.6 million for the nine months ended September 30, 2022, compared to $0.9 million depreciation and amortization expense for the nine months ended September 30, 2021. The increase of $17.7 million was primarily driven by the amortization of acquired intangibles resulting from the Finxera acquisition in September 2021.</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Our Unaudited Consolidated Financial Statements have been prepared in accordance with GAAP for interim periods, which often require the judgment of management in the selection and application of certain accounting principles and methods.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critical accounting policies and estimates are discussed in "Management's Discussion and Analysis of Financial Condition and Results of Operations" in our Annual Report on Form 10-K for the year ended December 31, 2021. There have been no material changes to these critical accounting policies and estimates as of September 30, 2022.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Liquidity and capital resource management is a process focused on providing the funding we need to meet our short-term and long-term cash and working capital needs. We have used our funding sources to build our merchant portfolio, for technology solutions and to make acquisitions with the expectation that such investments will generate cash flows sufficient to cover our working capital and other anticipated needs, including our acquisition strategy. We anticipate that cash on hand, funds generated from operations and available borrowings under our revolving credit facility are sufficient to meet our working capital requirements for at least the next 12 months.</w:t>
      </w:r>
    </w:p>
    <w:p>
      <w:pPr>
        <w:spacing w:after="0" w:line="14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During the second quarter of 2022, PRTH's Board of Directors authorized the Company to implement a general share repurchase program under which the Company may purchase up to 2.0 million shares of its outstanding Common Stock for a total of up to $10.0 million. Under the terms of this plan, the Company may purchase shares through open market purchases, unsolicited or solicited privately negotiated transactions, or in another manner so long as it complies with applicable rules and regulations. As of September 30, 2022, 1,005,918 shares were repurchased under the plan, with a total purchase price of $4.2 million. Average price per share was $4.20 and there were approximately 1.0 million shares available for repurchase under the plan.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principal uses of cash are to fund business operations and administrative costs, and to service our debt.</w:t>
      </w:r>
    </w:p>
    <w:p>
      <w:pPr>
        <w:spacing w:after="0" w:line="179"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4"/>
          <w:szCs w:val="14"/>
          <w:color w:val="auto"/>
        </w:rPr>
        <w:t>Our working capital, defined as current assets less current liabilities, was $18.6 million at September 30, 2022 and $19.6 million at December 31, 2021. As of September 30, 2022, we had cash totaling $12.7 million compared to $20.3 million at December 31, 2021. These cash balances do not include restricted cash of $11.6 million and $28.9 million at September 30, 2022 and December 31, 2021, respectively, which reflects cash accounts holding customer settlement funds and cash reserves for potential losses. The current portion of long-term debt included in current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liabilities was $6.2 million at September 30, 2022 and December 31, 2021. At September 30, 2022, we had availability of approximately $34.0 million under our revolving credit facility.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4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and discussion reflect our changes in cash flows for the comparative nine month periods.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1"/>
        </w:trPr>
        <w:tc>
          <w:tcPr>
            <w:tcW w:w="77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0"/>
        </w:trPr>
        <w:tc>
          <w:tcPr>
            <w:tcW w:w="7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activities</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50,558</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w:t>
            </w:r>
          </w:p>
        </w:tc>
      </w:tr>
      <w:tr>
        <w:trPr>
          <w:trHeight w:val="180"/>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Investing activities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(462,878)</w:t>
            </w:r>
          </w:p>
        </w:tc>
      </w:tr>
      <w:tr>
        <w:trPr>
          <w:trHeight w:val="180"/>
        </w:trPr>
        <w:tc>
          <w:tcPr>
            <w:tcW w:w="7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Financing activities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(8,099)</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871,010</w:t>
            </w: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 and restricted cash</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405,565</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Provided by (Used in) Operating Activities</w:t>
      </w:r>
    </w:p>
    <w:p>
      <w:pPr>
        <w:spacing w:after="0" w:line="181"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Net cash provided by operating activities was $50.6 million for the nine months ended September 30, 2022 compared to $2.6 million of net cash used in operating activities for the nine months ended September 30, 2021. The $53.2 million increase in 2022 was primarily driven by the PIK interest upon the refinancing of our credit facilities in April 2021 and cash generated from the operations of the Company, offset by changes in operating assets and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Used in Investing Activities</w:t>
      </w:r>
    </w:p>
    <w:p>
      <w:pPr>
        <w:spacing w:after="0" w:line="18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was $21.1 million and $462.9 million for the nine months ended September 30, 2022 and 2021, respectively. For the nine months ended September 30, 2022, net cash used in investing activities included $3.3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related to the funding of new loans to ISOs, additions to property, equipment and software of $11.4 million, and acquisitions of intangible assets of $6.7 million. For the nine months ended September 30, 2021, net cash used in investing activities included $48.2 million of cash used to fund acquisitions of intangible assets, $407.1 million of net cash used for the acquisition of businesses and $7.5 million of cash used to acquire property, equipment and software.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(Used in) Provided by Financing Activities</w:t>
      </w:r>
    </w:p>
    <w:p>
      <w:pPr>
        <w:spacing w:after="0" w:line="18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Net cash used in financing activities was $8.1 million for the nine months ended September 30, 2022, compared to $871.0 million of cash provided by financing activities for the nine months ended September 30, 2021. The net cash provided by financing activities for the nine months ended September 30, 2022 included changes in the net obligations for funds held on the behalf of customers of $25.7 million and $23.0 million related to additional borrowings under the revolving credit facility, offset by $36.7 million of cash used for the repayment of debt, $11.5 million of cash dividends paid to redeemable senior preferred stockholders, $4.7 million of cash used for stock repurchases, including a portion related to shares withheld for taxes, and $4.0 million of payments of contingent consideration for business combinations and asset acquisitions. The net cash provided by financing activities for the nine months ended September 30, 2021 included $598.2 million of cash proceeds from the issuance of long-term debt, net of debt issuance and modification costs, $211.0 million of proceeds from the issuance of the redeemable senior preferred stock, net of issuance fees and costs, and $30.0 million related to borrowings under the revolving credit facility, offset by $359.9 million of cash used for the repayment of debt, $396.3 million of cash provided by related to changes in the net obligations for funds held on behalf of customers, and $4.0 million of cash dividends paid to the redeemable senior preferred stockholders.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Long-term Debt</w:t>
      </w:r>
    </w:p>
    <w:p>
      <w:pPr>
        <w:spacing w:after="0" w:line="181"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As of September 30, 2022, we had outstanding debt obligations, including the current portion and net of unamortized debt discount of $599.3 million, compared to $610.3 million at December 31, 2021, resulting in a decrease of $11.0 million. The debt balance at September 30, 2022 consisted of $612.3 million outstanding under the term facility and $6.0 million outstanding under the revolving credit facility, offset by $19.0 million of unamortized debt discounts and issuance costs. Minimum amortization of the term facility are equal quarterly installments in aggregate annual amounts equal to 1.0% of the original principal, with the balance paid upon maturity. The term facility matures in April 2027 and the revolving credit facility expires in April 2026.</w:t>
      </w:r>
    </w:p>
    <w:p>
      <w:pPr>
        <w:spacing w:after="0" w:line="140"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Credit Agreement contains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loan parties to the Company, merge or consolidate, dispose of assets, incur additional indebtedness, make certain investments or acquisitions, enter into certain transactions (including with affiliates) and to enter into certain leases.</w:t>
      </w:r>
    </w:p>
    <w:p>
      <w:pPr>
        <w:spacing w:after="0" w:line="13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If the aggregate principal amount of outstanding revolving loans and letters of credit under the Credit Agreement exceeds 35% of the total revolving credit facility thereunder, the loan parties are required to comply with certain restrictions on its Total Net Leverage Ratio. If applicable, the maximum permitted Total Net Leverage Ratio is: 1) 6.50:1.00 at each fiscal quarter ended September 30, 2021 through June 30, 2022; 2) 6.00:1.00 at each fiscal quarter ended September 30, 2022 through June 30, 2023; and 3) 5.50:1.00 at each fiscal quarter ended September 30, 2023 each fiscal quarter thereafter. As of September 30, 2022, the Total Net Leverage Ratio was not applicable and the Company was in compliance with our financial covenants.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 of New Accounting Pronouncements and Recently Issued Accounting Pronouncements Not Yet Adopted</w:t>
      </w:r>
    </w:p>
    <w:p>
      <w:pPr>
        <w:spacing w:after="0" w:line="181"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 xml:space="preserve">From time to time, new accounting pronouncements are issued by the FASB or other standards setting bodies that may affect our current and/or future financial statements. See </w:t>
      </w:r>
      <w:r>
        <w:rPr>
          <w:rFonts w:ascii="Times New Roman" w:cs="Times New Roman" w:eastAsia="Times New Roman" w:hAnsi="Times New Roman"/>
          <w:sz w:val="14"/>
          <w:szCs w:val="14"/>
          <w:u w:val="single" w:color="auto"/>
          <w:color w:val="0000FF"/>
        </w:rPr>
        <w:t>Note 1, Basis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Presentation and Significant Accounting Policies</w:t>
      </w:r>
      <w:r>
        <w:rPr>
          <w:rFonts w:ascii="Times New Roman" w:cs="Times New Roman" w:eastAsia="Times New Roman" w:hAnsi="Times New Roman"/>
          <w:sz w:val="14"/>
          <w:szCs w:val="14"/>
          <w:color w:val="000000"/>
        </w:rPr>
        <w:t>, to our Unaudited Consolidated Financial Statements included in Part I, Item 1 of this Quarterly Report on Form 10-Q, for a discussion of recently</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For quantitative and qualitative disclosures about market risk, see Item 7A, "Quantitative and Qualitative Disclosures About Market Risk," of our Annual Report on Form 10-K for the year ended December 31, 2021. Our exposures to market risk have not changed materially since December 31, 2021.</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Evaluation of Disclosure Controls and Procedures</w:t>
      </w:r>
    </w:p>
    <w:p>
      <w:pPr>
        <w:spacing w:after="0" w:line="18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Rules 13a-15(e) and 15d-15(e) of the Exchange Act, designed to provide reasonable assurance that information required to be disclosed by the Company in reports that it files or submits under the Exchange Act is recorded, processed, summarized or reported within the time periods specified in SEC rules and regulations and that such information is accumulated and communicated to our management, including our principal executive officer (CEO), our principal financial officer (CFO) and, as appropriate, to allow timely decisions regarding required disclosures.</w:t>
      </w:r>
    </w:p>
    <w:p>
      <w:pPr>
        <w:spacing w:after="0" w:line="14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Management, with the participation of the CEO and CFO, has evaluated the effectiveness of the Company's disclosure controls and procedures as of September 30, 2022. Based on that evaluation, the Company's CEO and CFO concluded that the Company's disclosure controls and procedures were effective as of September 30,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181" w:lineRule="exact"/>
        <w:rPr>
          <w:sz w:val="20"/>
          <w:szCs w:val="20"/>
          <w:color w:val="auto"/>
        </w:rPr>
      </w:pPr>
    </w:p>
    <w:p>
      <w:pPr>
        <w:jc w:val="both"/>
        <w:ind w:right="220"/>
        <w:spacing w:after="0" w:line="287" w:lineRule="auto"/>
        <w:rPr>
          <w:sz w:val="20"/>
          <w:szCs w:val="20"/>
          <w:color w:val="auto"/>
        </w:rPr>
      </w:pPr>
      <w:r>
        <w:rPr>
          <w:rFonts w:ascii="Times New Roman" w:cs="Times New Roman" w:eastAsia="Times New Roman" w:hAnsi="Times New Roman"/>
          <w:sz w:val="14"/>
          <w:szCs w:val="14"/>
          <w:color w:val="auto"/>
        </w:rPr>
        <w:t>During the three months ended September 30, 2022, the Company implemented new general ledger, accounts payable, consolidation and financial reporting systems. The implementation involved changes to certain processes and related internal controls over financial reporting. The Company has reviewed the system and controls affected and has made the appropriate changes as necessary.</w:t>
      </w:r>
    </w:p>
    <w:p>
      <w:pPr>
        <w:spacing w:after="0" w:line="124"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There have been no other changes in the Company's internal control over financial reporting during the three and nine months ended September 30, 2022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We are involved in certain legal proceedings and claims, which arise in the ordinary course of business. In the opinion of the Company, based on consultations with internal and external counsel, the results of any of these ordinary course matters, individually and in the aggregate, are not expected to have a material effect on our results of operations, financial condition, or cash flows. As more information becomes available and we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1"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In addition to the other information set forth in this report, you should carefully consider the factors discussed in our Annual Report under Part I, Item 1A "Risk Factors" because these risk factors may affect our operations and financial results. The risks described in the Annual Report are not the only risks we face. Additional risks and uncertainties not currently known to us or that we currently deem to be immaterial also may materially adversely affect our business, financial condition and operating results.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 and Use of Proceeds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purchases of its Common Stock during the three months ended September 30, 2022 were as follows:</w:t>
      </w:r>
    </w:p>
    <w:p>
      <w:pPr>
        <w:sectPr>
          <w:pgSz w:w="11900" w:h="16838" w:orient="portrait"/>
          <w:cols w:equalWidth="0" w:num="1">
            <w:col w:w="11260"/>
          </w:cols>
          <w:pgMar w:left="300" w:top="125" w:right="339" w:bottom="1440" w:gutter="0" w:footer="0" w:header="0"/>
        </w:sectPr>
      </w:pPr>
    </w:p>
    <w:p>
      <w:pPr>
        <w:spacing w:after="0" w:line="3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32" w:lineRule="exact"/>
        <w:rPr>
          <w:sz w:val="20"/>
          <w:szCs w:val="20"/>
          <w:color w:val="auto"/>
        </w:rPr>
      </w:pPr>
    </w:p>
    <w:p>
      <w:pPr>
        <w:ind w:left="40" w:right="180"/>
        <w:spacing w:after="0" w:line="284" w:lineRule="auto"/>
        <w:rPr>
          <w:sz w:val="20"/>
          <w:szCs w:val="20"/>
          <w:color w:val="auto"/>
        </w:rPr>
      </w:pPr>
      <w:r>
        <w:rPr>
          <w:rFonts w:ascii="Times New Roman" w:cs="Times New Roman" w:eastAsia="Times New Roman" w:hAnsi="Times New Roman"/>
          <w:sz w:val="14"/>
          <w:szCs w:val="14"/>
          <w:color w:val="auto"/>
        </w:rPr>
        <w:t>July 1-31, 2022 August 1-31, 2022 September 1-30, 2022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31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Total Number of Shares Purchased as Part of</w:t>
            </w:r>
          </w:p>
        </w:tc>
        <w:tc>
          <w:tcPr>
            <w:tcW w:w="80" w:type="dxa"/>
            <w:vAlign w:val="bottom"/>
          </w:tcPr>
          <w:p>
            <w:pPr>
              <w:spacing w:after="0"/>
              <w:rPr>
                <w:sz w:val="13"/>
                <w:szCs w:val="13"/>
                <w:color w:val="auto"/>
              </w:rPr>
            </w:pPr>
          </w:p>
        </w:tc>
        <w:tc>
          <w:tcPr>
            <w:tcW w:w="30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Maximum Number of Shares that May Yet Be</w:t>
            </w:r>
          </w:p>
        </w:tc>
      </w:tr>
      <w:tr>
        <w:trPr>
          <w:trHeight w:val="191"/>
        </w:trPr>
        <w:tc>
          <w:tcPr>
            <w:tcW w:w="1460" w:type="dxa"/>
            <w:vAlign w:val="bottom"/>
          </w:tcPr>
          <w:p>
            <w:pPr>
              <w:jc w:val="right"/>
              <w:ind w:right="69"/>
              <w:spacing w:after="0" w:line="191"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160" w:type="dxa"/>
            <w:vAlign w:val="bottom"/>
          </w:tcPr>
          <w:p>
            <w:pPr>
              <w:jc w:val="right"/>
              <w:ind w:right="249"/>
              <w:spacing w:after="0" w:line="191" w:lineRule="exact"/>
              <w:rPr>
                <w:sz w:val="20"/>
                <w:szCs w:val="20"/>
                <w:color w:val="auto"/>
              </w:rPr>
            </w:pPr>
            <w:r>
              <w:rPr>
                <w:rFonts w:ascii="Times New Roman" w:cs="Times New Roman" w:eastAsia="Times New Roman" w:hAnsi="Times New Roman"/>
                <w:sz w:val="14"/>
                <w:szCs w:val="14"/>
                <w:b w:val="1"/>
                <w:bCs w:val="1"/>
                <w:color w:val="auto"/>
              </w:rPr>
              <w:t>Publicly Announced Plans or Programs</w:t>
            </w:r>
            <w:r>
              <w:rPr>
                <w:rFonts w:ascii="Times New Roman" w:cs="Times New Roman" w:eastAsia="Times New Roman" w:hAnsi="Times New Roman"/>
                <w:sz w:val="18"/>
                <w:szCs w:val="18"/>
                <w:b w:val="1"/>
                <w:bCs w:val="1"/>
                <w:color w:val="auto"/>
                <w:vertAlign w:val="superscript"/>
              </w:rPr>
              <w:t>(2)</w:t>
            </w:r>
          </w:p>
        </w:tc>
        <w:tc>
          <w:tcPr>
            <w:tcW w:w="80" w:type="dxa"/>
            <w:vAlign w:val="bottom"/>
          </w:tcPr>
          <w:p>
            <w:pPr>
              <w:spacing w:after="0"/>
              <w:rPr>
                <w:sz w:val="16"/>
                <w:szCs w:val="16"/>
                <w:color w:val="auto"/>
              </w:rPr>
            </w:pPr>
          </w:p>
        </w:tc>
        <w:tc>
          <w:tcPr>
            <w:tcW w:w="300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Purchased Under the Plans or Programs</w:t>
            </w:r>
          </w:p>
        </w:tc>
      </w:tr>
      <w:tr>
        <w:trPr>
          <w:trHeight w:val="167"/>
        </w:trPr>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395,743</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tcPr>
          <w:p>
            <w:pPr>
              <w:spacing w:after="0"/>
              <w:rPr>
                <w:sz w:val="14"/>
                <w:szCs w:val="14"/>
                <w:color w:val="auto"/>
              </w:rPr>
            </w:pPr>
          </w:p>
        </w:tc>
        <w:tc>
          <w:tcPr>
            <w:tcW w:w="3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391,921</w:t>
            </w:r>
          </w:p>
        </w:tc>
        <w:tc>
          <w:tcPr>
            <w:tcW w:w="80" w:type="dxa"/>
            <w:vAlign w:val="bottom"/>
          </w:tcPr>
          <w:p>
            <w:pPr>
              <w:spacing w:after="0"/>
              <w:rPr>
                <w:sz w:val="14"/>
                <w:szCs w:val="14"/>
                <w:color w:val="auto"/>
              </w:rPr>
            </w:pPr>
          </w:p>
        </w:tc>
        <w:tc>
          <w:tcPr>
            <w:tcW w:w="3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1,228,834</w:t>
            </w:r>
          </w:p>
        </w:tc>
      </w:tr>
      <w:tr>
        <w:trPr>
          <w:trHeight w:val="180"/>
        </w:trPr>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103,305</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Pr>
          <w:p>
            <w:pPr>
              <w:spacing w:after="0"/>
              <w:rPr>
                <w:sz w:val="15"/>
                <w:szCs w:val="15"/>
                <w:color w:val="auto"/>
              </w:rPr>
            </w:pPr>
          </w:p>
        </w:tc>
        <w:tc>
          <w:tcPr>
            <w:tcW w:w="3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103,305</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1,125,529</w:t>
            </w:r>
          </w:p>
        </w:tc>
      </w:tr>
      <w:tr>
        <w:trPr>
          <w:trHeight w:val="184"/>
        </w:trPr>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131,447</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tcPr>
          <w:p>
            <w:pPr>
              <w:spacing w:after="0"/>
              <w:rPr>
                <w:sz w:val="16"/>
                <w:szCs w:val="16"/>
                <w:color w:val="auto"/>
              </w:rPr>
            </w:pP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131,447</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994,082</w:t>
            </w:r>
          </w:p>
        </w:tc>
      </w:tr>
      <w:tr>
        <w:trPr>
          <w:trHeight w:val="171"/>
        </w:trPr>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630,495</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Pr>
          <w:p>
            <w:pPr>
              <w:spacing w:after="0"/>
              <w:rPr>
                <w:sz w:val="14"/>
                <w:szCs w:val="14"/>
                <w:color w:val="auto"/>
              </w:rPr>
            </w:pP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626,673</w:t>
            </w:r>
          </w:p>
        </w:tc>
        <w:tc>
          <w:tcPr>
            <w:tcW w:w="8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-1379855</wp:posOffset>
            </wp:positionH>
            <wp:positionV relativeFrom="paragraph">
              <wp:posOffset>-262255</wp:posOffset>
            </wp:positionV>
            <wp:extent cx="7134860" cy="114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14300"/>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-497840</wp:posOffset>
            </wp:positionV>
            <wp:extent cx="7134860" cy="1212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21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80" w:space="720"/>
            <w:col w:w="9060"/>
          </w:cols>
          <w:pgMar w:left="300" w:top="125" w:right="339" w:bottom="1440" w:gutter="0" w:footer="0" w:header="0"/>
          <w:type w:val="continuous"/>
        </w:sectPr>
      </w:pPr>
    </w:p>
    <w:p>
      <w:pPr>
        <w:spacing w:after="0" w:line="51" w:lineRule="exact"/>
        <w:rPr>
          <w:sz w:val="20"/>
          <w:szCs w:val="20"/>
          <w:color w:val="auto"/>
        </w:rPr>
      </w:pPr>
    </w:p>
    <w:p>
      <w:pPr>
        <w:ind w:left="520" w:right="180" w:hanging="260"/>
        <w:spacing w:after="0" w:line="230" w:lineRule="auto"/>
        <w:tabs>
          <w:tab w:leader="none" w:pos="51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shares (in whole units) withheld to satisfy employees' tax withholding obligations related to the vesting of restricted stock awards, which was determined based on the fair market value on the vesting date.</w:t>
      </w:r>
    </w:p>
    <w:p>
      <w:pPr>
        <w:spacing w:after="0" w:line="1" w:lineRule="exact"/>
        <w:rPr>
          <w:rFonts w:ascii="Times New Roman" w:cs="Times New Roman" w:eastAsia="Times New Roman" w:hAnsi="Times New Roman"/>
          <w:sz w:val="18"/>
          <w:szCs w:val="18"/>
          <w:color w:val="auto"/>
          <w:vertAlign w:val="superscript"/>
        </w:rPr>
      </w:pPr>
    </w:p>
    <w:p>
      <w:pPr>
        <w:ind w:left="520" w:right="620" w:hanging="260"/>
        <w:spacing w:after="0" w:line="221" w:lineRule="auto"/>
        <w:tabs>
          <w:tab w:leader="none" w:pos="51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May 2022, the Company's Board of Directors approved a stock repurchase program for the purchase of up to 2.0 million of the Company's Common Stock outstanding for up to $10.0 million.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Item 6. Exhibits</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24"/>
                <w:szCs w:val="24"/>
                <w:color w:val="auto"/>
              </w:rPr>
            </w:pPr>
          </w:p>
        </w:tc>
        <w:tc>
          <w:tcPr>
            <w:tcW w:w="10220" w:type="dxa"/>
            <w:vAlign w:val="bottom"/>
            <w:gridSpan w:val="29"/>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80" w:type="dxa"/>
            <w:vAlign w:val="bottom"/>
            <w:tcBorders>
              <w:top w:val="single" w:sz="8" w:color="auto"/>
            </w:tcBorders>
            <w:shd w:val="clear" w:color="auto" w:fill="CCEEFF"/>
          </w:tcPr>
          <w:p>
            <w:pPr>
              <w:spacing w:after="0" w:line="139" w:lineRule="exact"/>
              <w:rPr>
                <w:rFonts w:ascii="Times New Roman" w:cs="Times New Roman" w:eastAsia="Times New Roman" w:hAnsi="Times New Roman"/>
                <w:sz w:val="14"/>
                <w:szCs w:val="14"/>
                <w:color w:val="0000FF"/>
                <w:w w:val="79"/>
              </w:rPr>
            </w:pPr>
            <w:hyperlink r:id="rId64">
              <w:r>
                <w:rPr>
                  <w:rFonts w:ascii="Times New Roman" w:cs="Times New Roman" w:eastAsia="Times New Roman" w:hAnsi="Times New Roman"/>
                  <w:sz w:val="14"/>
                  <w:szCs w:val="14"/>
                  <w:color w:val="0000FF"/>
                  <w:w w:val="79"/>
                </w:rPr>
                <w:t>2.</w:t>
              </w:r>
              <w:r>
                <w:rPr>
                  <w:rFonts w:ascii="Times New Roman" w:cs="Times New Roman" w:eastAsia="Times New Roman" w:hAnsi="Times New Roman"/>
                  <w:sz w:val="14"/>
                  <w:szCs w:val="14"/>
                  <w:u w:val="single" w:color="auto"/>
                  <w:color w:val="0000FF"/>
                  <w:w w:val="79"/>
                </w:rPr>
                <w:t>1</w:t>
              </w:r>
            </w:hyperlink>
          </w:p>
        </w:tc>
        <w:tc>
          <w:tcPr>
            <w:tcW w:w="140" w:type="dxa"/>
            <w:vAlign w:val="bottom"/>
            <w:tcBorders>
              <w:top w:val="single" w:sz="8" w:color="auto"/>
              <w:left w:val="single" w:sz="8" w:color="CCEEFF"/>
            </w:tcBorders>
            <w:shd w:val="clear" w:color="auto" w:fill="CCEEFF"/>
          </w:tcPr>
          <w:p>
            <w:pPr>
              <w:spacing w:after="0"/>
              <w:rPr>
                <w:sz w:val="12"/>
                <w:szCs w:val="12"/>
                <w:color w:val="auto"/>
              </w:rPr>
            </w:pPr>
          </w:p>
        </w:tc>
        <w:tc>
          <w:tcPr>
            <w:tcW w:w="760" w:type="dxa"/>
            <w:vAlign w:val="bottom"/>
            <w:tcBorders>
              <w:top w:val="single" w:sz="8" w:color="auto"/>
              <w:lef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right w:val="single" w:sz="8" w:color="CCEEFF"/>
            </w:tcBorders>
            <w:shd w:val="clear" w:color="auto" w:fill="CCEEFF"/>
          </w:tcPr>
          <w:p>
            <w:pPr>
              <w:spacing w:after="0"/>
              <w:rPr>
                <w:sz w:val="12"/>
                <w:szCs w:val="12"/>
                <w:color w:val="auto"/>
              </w:rPr>
            </w:pPr>
          </w:p>
        </w:tc>
        <w:tc>
          <w:tcPr>
            <w:tcW w:w="10220" w:type="dxa"/>
            <w:vAlign w:val="bottom"/>
            <w:tcBorders>
              <w:top w:val="single" w:sz="8" w:color="auto"/>
            </w:tcBorders>
            <w:gridSpan w:val="29"/>
            <w:shd w:val="clear" w:color="auto" w:fill="CCEEFF"/>
          </w:tcPr>
          <w:p>
            <w:pPr>
              <w:spacing w:after="0" w:line="139" w:lineRule="exact"/>
              <w:rPr>
                <w:rFonts w:ascii="Times New Roman" w:cs="Times New Roman" w:eastAsia="Times New Roman" w:hAnsi="Times New Roman"/>
                <w:sz w:val="14"/>
                <w:szCs w:val="14"/>
                <w:color w:val="0000FF"/>
              </w:rPr>
            </w:pPr>
            <w:hyperlink r:id="rId64">
              <w:r>
                <w:rPr>
                  <w:rFonts w:ascii="Times New Roman" w:cs="Times New Roman" w:eastAsia="Times New Roman" w:hAnsi="Times New Roman"/>
                  <w:sz w:val="14"/>
                  <w:szCs w:val="14"/>
                  <w:color w:val="0000FF"/>
                </w:rPr>
                <w:t>Second Amended and Restated Contribution Agreement, dated as of April 17, 2018, by and among Priority Investment Holdings, Priority Incentive Equity Holdings, LLC and M</w:t>
              </w:r>
            </w:hyperlink>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left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7500" w:type="dxa"/>
            <w:vAlign w:val="bottom"/>
            <w:tcBorders>
              <w:top w:val="single" w:sz="8" w:color="0000FF"/>
              <w:bottom w:val="single" w:sz="8" w:color="0000FF"/>
            </w:tcBorders>
            <w:gridSpan w:val="14"/>
            <w:shd w:val="clear" w:color="auto" w:fill="CCEEFF"/>
          </w:tcPr>
          <w:p>
            <w:pPr>
              <w:spacing w:after="0" w:line="118" w:lineRule="exact"/>
              <w:rPr>
                <w:rFonts w:ascii="Times New Roman" w:cs="Times New Roman" w:eastAsia="Times New Roman" w:hAnsi="Times New Roman"/>
                <w:sz w:val="13"/>
                <w:szCs w:val="13"/>
                <w:color w:val="0000FF"/>
              </w:rPr>
            </w:pPr>
            <w:hyperlink r:id="rId64">
              <w:r>
                <w:rPr>
                  <w:rFonts w:ascii="Times New Roman" w:cs="Times New Roman" w:eastAsia="Times New Roman" w:hAnsi="Times New Roman"/>
                  <w:sz w:val="13"/>
                  <w:szCs w:val="13"/>
                  <w:color w:val="0000FF"/>
                </w:rPr>
                <w:t>I Acquisitions, Inc. (incorporated by reference to Annex A to the Company's Proxy Statement on Schedule 14(a), filed July 5, 2018).</w:t>
              </w:r>
            </w:hyperlink>
          </w:p>
        </w:tc>
        <w:tc>
          <w:tcPr>
            <w:tcW w:w="2660" w:type="dxa"/>
            <w:vAlign w:val="bottom"/>
            <w:tcBorders>
              <w:top w:val="single" w:sz="8" w:color="0000FF"/>
              <w:bottom w:val="single" w:sz="8" w:color="CCEEFF"/>
            </w:tcBorders>
            <w:gridSpan w:val="12"/>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gridSpan w:val="4"/>
          </w:tcPr>
          <w:p>
            <w:pPr>
              <w:spacing w:after="0" w:line="149" w:lineRule="exact"/>
              <w:rPr>
                <w:rFonts w:ascii="Times New Roman" w:cs="Times New Roman" w:eastAsia="Times New Roman" w:hAnsi="Times New Roman"/>
                <w:sz w:val="14"/>
                <w:szCs w:val="14"/>
                <w:color w:val="0000FF"/>
              </w:rPr>
            </w:pPr>
            <w:hyperlink r:id="rId65">
              <w:r>
                <w:rPr>
                  <w:rFonts w:ascii="Times New Roman" w:cs="Times New Roman" w:eastAsia="Times New Roman" w:hAnsi="Times New Roman"/>
                  <w:sz w:val="14"/>
                  <w:szCs w:val="14"/>
                  <w:color w:val="0000FF"/>
                </w:rPr>
                <w:t>2.</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FF"/>
                </w:rPr>
                <w:t xml:space="preserve"> </w:t>
              </w:r>
            </w:hyperlink>
            <w:r>
              <w:rPr>
                <w:rFonts w:ascii="Arial" w:cs="Arial" w:eastAsia="Arial" w:hAnsi="Arial"/>
                <w:sz w:val="14"/>
                <w:szCs w:val="14"/>
                <w:color w:val="000000"/>
              </w:rPr>
              <w:t>†</w:t>
            </w:r>
          </w:p>
        </w:tc>
        <w:tc>
          <w:tcPr>
            <w:tcW w:w="40" w:type="dxa"/>
            <w:vAlign w:val="bottom"/>
          </w:tcPr>
          <w:p>
            <w:pPr>
              <w:spacing w:after="0"/>
              <w:rPr>
                <w:sz w:val="12"/>
                <w:szCs w:val="12"/>
                <w:color w:val="auto"/>
              </w:rPr>
            </w:pPr>
          </w:p>
        </w:tc>
        <w:tc>
          <w:tcPr>
            <w:tcW w:w="10220" w:type="dxa"/>
            <w:vAlign w:val="bottom"/>
            <w:gridSpan w:val="29"/>
          </w:tcPr>
          <w:p>
            <w:pPr>
              <w:spacing w:after="0" w:line="149" w:lineRule="exact"/>
              <w:rPr>
                <w:rFonts w:ascii="Times New Roman" w:cs="Times New Roman" w:eastAsia="Times New Roman" w:hAnsi="Times New Roman"/>
                <w:sz w:val="14"/>
                <w:szCs w:val="14"/>
                <w:color w:val="0000FF"/>
              </w:rPr>
            </w:pPr>
            <w:hyperlink r:id="rId65">
              <w:r>
                <w:rPr>
                  <w:rFonts w:ascii="Times New Roman" w:cs="Times New Roman" w:eastAsia="Times New Roman" w:hAnsi="Times New Roman"/>
                  <w:sz w:val="14"/>
                  <w:szCs w:val="14"/>
                  <w:color w:val="0000FF"/>
                </w:rPr>
                <w:t>Agreement and Plan of Merger, dated as of March 5, 2021, by and among the Company, Finxera, Merger Sub, and the Equityholder Representative.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80" w:type="dxa"/>
            <w:vAlign w:val="bottom"/>
            <w:shd w:val="clear" w:color="auto" w:fill="CCEEFF"/>
          </w:tcPr>
          <w:p>
            <w:pPr>
              <w:spacing w:after="0"/>
              <w:rPr>
                <w:rFonts w:ascii="Times New Roman" w:cs="Times New Roman" w:eastAsia="Times New Roman" w:hAnsi="Times New Roman"/>
                <w:sz w:val="14"/>
                <w:szCs w:val="14"/>
                <w:color w:val="0000FF"/>
                <w:w w:val="79"/>
              </w:rPr>
            </w:pPr>
            <w:hyperlink r:id="rId66">
              <w:r>
                <w:rPr>
                  <w:rFonts w:ascii="Times New Roman" w:cs="Times New Roman" w:eastAsia="Times New Roman" w:hAnsi="Times New Roman"/>
                  <w:sz w:val="14"/>
                  <w:szCs w:val="14"/>
                  <w:color w:val="0000FF"/>
                  <w:w w:val="79"/>
                </w:rPr>
                <w:t>2.</w:t>
              </w:r>
              <w:r>
                <w:rPr>
                  <w:rFonts w:ascii="Times New Roman" w:cs="Times New Roman" w:eastAsia="Times New Roman" w:hAnsi="Times New Roman"/>
                  <w:sz w:val="14"/>
                  <w:szCs w:val="14"/>
                  <w:u w:val="single" w:color="auto"/>
                  <w:color w:val="0000FF"/>
                  <w:w w:val="79"/>
                </w:rPr>
                <w:t>3</w:t>
              </w:r>
            </w:hyperlink>
          </w:p>
        </w:tc>
        <w:tc>
          <w:tcPr>
            <w:tcW w:w="140" w:type="dxa"/>
            <w:vAlign w:val="bottom"/>
            <w:tcBorders>
              <w:left w:val="single" w:sz="8" w:color="CCEEFF"/>
            </w:tcBorders>
            <w:shd w:val="clear" w:color="auto" w:fill="CCEEFF"/>
          </w:tcPr>
          <w:p>
            <w:pPr>
              <w:spacing w:after="0"/>
              <w:rPr>
                <w:sz w:val="13"/>
                <w:szCs w:val="13"/>
                <w:color w:val="auto"/>
              </w:rPr>
            </w:pPr>
          </w:p>
        </w:tc>
        <w:tc>
          <w:tcPr>
            <w:tcW w:w="7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0220" w:type="dxa"/>
            <w:vAlign w:val="bottom"/>
            <w:gridSpan w:val="29"/>
            <w:shd w:val="clear" w:color="auto" w:fill="CCEEFF"/>
          </w:tcPr>
          <w:p>
            <w:pPr>
              <w:spacing w:after="0"/>
              <w:rPr>
                <w:rFonts w:ascii="Times New Roman" w:cs="Times New Roman" w:eastAsia="Times New Roman" w:hAnsi="Times New Roman"/>
                <w:sz w:val="14"/>
                <w:szCs w:val="14"/>
                <w:color w:val="0000FF"/>
              </w:rPr>
            </w:pPr>
            <w:hyperlink r:id="rId66">
              <w:r>
                <w:rPr>
                  <w:rFonts w:ascii="Times New Roman" w:cs="Times New Roman" w:eastAsia="Times New Roman" w:hAnsi="Times New Roman"/>
                  <w:sz w:val="14"/>
                  <w:szCs w:val="14"/>
                  <w:color w:val="0000FF"/>
                </w:rPr>
                <w:t>Certificate of Amendment to the Certificate of Incorporation of Priority Technology Holdings dated April 16, 2021, filed April 29, 2021</w:t>
              </w:r>
            </w:hyperlink>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7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2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line="149" w:lineRule="exact"/>
              <w:rPr>
                <w:rFonts w:ascii="Times New Roman" w:cs="Times New Roman" w:eastAsia="Times New Roman" w:hAnsi="Times New Roman"/>
                <w:sz w:val="14"/>
                <w:szCs w:val="14"/>
                <w:color w:val="0000FF"/>
                <w:w w:val="79"/>
              </w:rPr>
            </w:pPr>
            <w:hyperlink r:id="rId67">
              <w:r>
                <w:rPr>
                  <w:rFonts w:ascii="Times New Roman" w:cs="Times New Roman" w:eastAsia="Times New Roman" w:hAnsi="Times New Roman"/>
                  <w:sz w:val="14"/>
                  <w:szCs w:val="14"/>
                  <w:color w:val="0000FF"/>
                  <w:w w:val="79"/>
                </w:rPr>
                <w:t>2.</w:t>
              </w:r>
              <w:r>
                <w:rPr>
                  <w:rFonts w:ascii="Times New Roman" w:cs="Times New Roman" w:eastAsia="Times New Roman" w:hAnsi="Times New Roman"/>
                  <w:sz w:val="14"/>
                  <w:szCs w:val="14"/>
                  <w:u w:val="single" w:color="auto"/>
                  <w:color w:val="0000FF"/>
                  <w:w w:val="79"/>
                </w:rPr>
                <w:t>4</w:t>
              </w:r>
            </w:hyperlink>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20" w:type="dxa"/>
            <w:vAlign w:val="bottom"/>
            <w:gridSpan w:val="29"/>
          </w:tcPr>
          <w:p>
            <w:pPr>
              <w:spacing w:after="0" w:line="149" w:lineRule="exact"/>
              <w:rPr>
                <w:rFonts w:ascii="Times New Roman" w:cs="Times New Roman" w:eastAsia="Times New Roman" w:hAnsi="Times New Roman"/>
                <w:sz w:val="14"/>
                <w:szCs w:val="14"/>
                <w:color w:val="0000FF"/>
              </w:rPr>
            </w:pPr>
            <w:hyperlink r:id="rId67">
              <w:r>
                <w:rPr>
                  <w:rFonts w:ascii="Times New Roman" w:cs="Times New Roman" w:eastAsia="Times New Roman" w:hAnsi="Times New Roman"/>
                  <w:sz w:val="14"/>
                  <w:szCs w:val="14"/>
                  <w:color w:val="0000FF"/>
                </w:rPr>
                <w:t>Agreement and Plan of Merger by and among the Company, Finxera Holdings, Inc., Prime Warrior Acquisition Corp., and Stone Point Capital LLC.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80" w:type="dxa"/>
            <w:vAlign w:val="bottom"/>
            <w:shd w:val="clear" w:color="auto" w:fill="CCEEFF"/>
          </w:tcPr>
          <w:p>
            <w:pPr>
              <w:spacing w:after="0"/>
              <w:rPr>
                <w:rFonts w:ascii="Times New Roman" w:cs="Times New Roman" w:eastAsia="Times New Roman" w:hAnsi="Times New Roman"/>
                <w:sz w:val="14"/>
                <w:szCs w:val="14"/>
                <w:color w:val="0000FF"/>
                <w:w w:val="79"/>
              </w:rPr>
            </w:pPr>
            <w:hyperlink r:id="rId68">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1</w:t>
              </w:r>
            </w:hyperlink>
          </w:p>
        </w:tc>
        <w:tc>
          <w:tcPr>
            <w:tcW w:w="140" w:type="dxa"/>
            <w:vAlign w:val="bottom"/>
            <w:tcBorders>
              <w:left w:val="single" w:sz="8" w:color="CCEEFF"/>
            </w:tcBorders>
            <w:shd w:val="clear" w:color="auto" w:fill="CCEEFF"/>
          </w:tcPr>
          <w:p>
            <w:pPr>
              <w:spacing w:after="0"/>
              <w:rPr>
                <w:sz w:val="13"/>
                <w:szCs w:val="13"/>
                <w:color w:val="auto"/>
              </w:rPr>
            </w:pPr>
          </w:p>
        </w:tc>
        <w:tc>
          <w:tcPr>
            <w:tcW w:w="7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0220" w:type="dxa"/>
            <w:vAlign w:val="bottom"/>
            <w:gridSpan w:val="29"/>
            <w:shd w:val="clear" w:color="auto" w:fill="CCEEFF"/>
          </w:tcPr>
          <w:p>
            <w:pPr>
              <w:spacing w:after="0"/>
              <w:rPr>
                <w:rFonts w:ascii="Times New Roman" w:cs="Times New Roman" w:eastAsia="Times New Roman" w:hAnsi="Times New Roman"/>
                <w:sz w:val="14"/>
                <w:szCs w:val="14"/>
                <w:color w:val="0000FF"/>
              </w:rPr>
            </w:pPr>
            <w:hyperlink r:id="rId68">
              <w:r>
                <w:rPr>
                  <w:rFonts w:ascii="Times New Roman" w:cs="Times New Roman" w:eastAsia="Times New Roman" w:hAnsi="Times New Roman"/>
                  <w:sz w:val="14"/>
                  <w:szCs w:val="14"/>
                  <w:color w:val="0000FF"/>
                </w:rPr>
                <w:t>Second Amended and Restated Certificate of Incorporation of Priority Technology Holdings, Inc. (incorporated by reference to Exhibit 3.1 to the Company's Current Report on</w:t>
              </w:r>
            </w:hyperlink>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left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1760" w:type="dxa"/>
            <w:vAlign w:val="bottom"/>
            <w:tcBorders>
              <w:top w:val="single" w:sz="8" w:color="0000FF"/>
              <w:bottom w:val="single" w:sz="8" w:color="0000FF"/>
            </w:tcBorders>
            <w:gridSpan w:val="2"/>
            <w:shd w:val="clear" w:color="auto" w:fill="CCEEFF"/>
          </w:tcPr>
          <w:p>
            <w:pPr>
              <w:spacing w:after="0" w:line="118" w:lineRule="exact"/>
              <w:rPr>
                <w:rFonts w:ascii="Times New Roman" w:cs="Times New Roman" w:eastAsia="Times New Roman" w:hAnsi="Times New Roman"/>
                <w:sz w:val="13"/>
                <w:szCs w:val="13"/>
                <w:color w:val="0000FF"/>
              </w:rPr>
            </w:pPr>
            <w:hyperlink r:id="rId68">
              <w:r>
                <w:rPr>
                  <w:rFonts w:ascii="Times New Roman" w:cs="Times New Roman" w:eastAsia="Times New Roman" w:hAnsi="Times New Roman"/>
                  <w:sz w:val="13"/>
                  <w:szCs w:val="13"/>
                  <w:color w:val="0000FF"/>
                </w:rPr>
                <w:t>Form 8-K, filed July 31, 2018).</w:t>
              </w:r>
            </w:hyperlink>
          </w:p>
        </w:tc>
        <w:tc>
          <w:tcPr>
            <w:tcW w:w="8440" w:type="dxa"/>
            <w:vAlign w:val="bottom"/>
            <w:tcBorders>
              <w:top w:val="single" w:sz="8" w:color="0000FF"/>
              <w:bottom w:val="single" w:sz="8" w:color="CCEEFF"/>
            </w:tcBorders>
            <w:gridSpan w:val="26"/>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line="149" w:lineRule="exact"/>
              <w:rPr>
                <w:rFonts w:ascii="Times New Roman" w:cs="Times New Roman" w:eastAsia="Times New Roman" w:hAnsi="Times New Roman"/>
                <w:sz w:val="14"/>
                <w:szCs w:val="14"/>
                <w:color w:val="0000FF"/>
                <w:w w:val="79"/>
              </w:rPr>
            </w:pPr>
            <w:hyperlink r:id="rId69">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2</w:t>
              </w:r>
            </w:hyperlink>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20" w:type="dxa"/>
            <w:vAlign w:val="bottom"/>
            <w:gridSpan w:val="29"/>
          </w:tcPr>
          <w:p>
            <w:pPr>
              <w:spacing w:after="0" w:line="149" w:lineRule="exact"/>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Amended and Restated Bylaws of Priority Technology Holdings, Inc. (incorporated by reference to Exhibit 3.2 to the Company's Current Report on Form 8-K, filed July 31,</w:t>
              </w:r>
            </w:hyperlink>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60" w:type="dxa"/>
            <w:vAlign w:val="bottom"/>
            <w:tcBorders>
              <w:top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69">
              <w:r>
                <w:rPr>
                  <w:rFonts w:ascii="Times New Roman" w:cs="Times New Roman" w:eastAsia="Times New Roman" w:hAnsi="Times New Roman"/>
                  <w:sz w:val="13"/>
                  <w:szCs w:val="13"/>
                  <w:color w:val="0000FF"/>
                </w:rPr>
                <w:t>2018).</w:t>
              </w:r>
            </w:hyperlink>
          </w:p>
        </w:tc>
        <w:tc>
          <w:tcPr>
            <w:tcW w:w="12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8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66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0" w:type="dxa"/>
            <w:vAlign w:val="bottom"/>
            <w:shd w:val="clear" w:color="auto" w:fill="CCEEFF"/>
          </w:tcPr>
          <w:p>
            <w:pPr>
              <w:spacing w:after="0" w:line="149" w:lineRule="exact"/>
              <w:rPr>
                <w:rFonts w:ascii="Times New Roman" w:cs="Times New Roman" w:eastAsia="Times New Roman" w:hAnsi="Times New Roman"/>
                <w:sz w:val="14"/>
                <w:szCs w:val="14"/>
                <w:color w:val="0000FF"/>
                <w:w w:val="79"/>
              </w:rPr>
            </w:pPr>
            <w:hyperlink r:id="rId70">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3</w:t>
              </w:r>
            </w:hyperlink>
          </w:p>
        </w:tc>
        <w:tc>
          <w:tcPr>
            <w:tcW w:w="140" w:type="dxa"/>
            <w:vAlign w:val="bottom"/>
            <w:tcBorders>
              <w:left w:val="single" w:sz="8" w:color="CCEEFF"/>
            </w:tcBorders>
            <w:shd w:val="clear" w:color="auto" w:fill="CCEEFF"/>
          </w:tcPr>
          <w:p>
            <w:pPr>
              <w:spacing w:after="0"/>
              <w:rPr>
                <w:sz w:val="12"/>
                <w:szCs w:val="12"/>
                <w:color w:val="auto"/>
              </w:rPr>
            </w:pPr>
          </w:p>
        </w:tc>
        <w:tc>
          <w:tcPr>
            <w:tcW w:w="7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0220" w:type="dxa"/>
            <w:vAlign w:val="bottom"/>
            <w:gridSpan w:val="29"/>
            <w:shd w:val="clear" w:color="auto" w:fill="CCEEFF"/>
          </w:tcPr>
          <w:p>
            <w:pPr>
              <w:spacing w:after="0" w:line="149" w:lineRule="exact"/>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Certificate of Designations of Senior Preferred Stock</w:t>
              </w:r>
            </w:hyperlink>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7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2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line="149" w:lineRule="exact"/>
              <w:rPr>
                <w:rFonts w:ascii="Times New Roman" w:cs="Times New Roman" w:eastAsia="Times New Roman" w:hAnsi="Times New Roman"/>
                <w:sz w:val="14"/>
                <w:szCs w:val="14"/>
                <w:color w:val="0000FF"/>
                <w:w w:val="79"/>
              </w:rPr>
            </w:pPr>
            <w:hyperlink r:id="rId71">
              <w:r>
                <w:rPr>
                  <w:rFonts w:ascii="Times New Roman" w:cs="Times New Roman" w:eastAsia="Times New Roman" w:hAnsi="Times New Roman"/>
                  <w:sz w:val="14"/>
                  <w:szCs w:val="14"/>
                  <w:color w:val="0000FF"/>
                  <w:w w:val="79"/>
                </w:rPr>
                <w:t>4.</w:t>
              </w:r>
              <w:r>
                <w:rPr>
                  <w:rFonts w:ascii="Times New Roman" w:cs="Times New Roman" w:eastAsia="Times New Roman" w:hAnsi="Times New Roman"/>
                  <w:sz w:val="14"/>
                  <w:szCs w:val="14"/>
                  <w:u w:val="single" w:color="auto"/>
                  <w:color w:val="0000FF"/>
                  <w:w w:val="79"/>
                </w:rPr>
                <w:t>4</w:t>
              </w:r>
            </w:hyperlink>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20" w:type="dxa"/>
            <w:vAlign w:val="bottom"/>
            <w:gridSpan w:val="29"/>
          </w:tcPr>
          <w:p>
            <w:pPr>
              <w:spacing w:after="0" w:line="149" w:lineRule="exact"/>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Warrant Agreement, dated September 13, 2016, by and between American Stock Transfer &amp; Trust Company, LLC and the Registrant (incorporated by reference to Exhibit 4.1 to</w:t>
              </w:r>
            </w:hyperlink>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6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71">
              <w:r>
                <w:rPr>
                  <w:rFonts w:ascii="Times New Roman" w:cs="Times New Roman" w:eastAsia="Times New Roman" w:hAnsi="Times New Roman"/>
                  <w:sz w:val="13"/>
                  <w:szCs w:val="13"/>
                  <w:color w:val="0000FF"/>
                </w:rPr>
                <w:t>the Current Report on Form 8-K, filed September 16,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 w:type="dxa"/>
            <w:vAlign w:val="bottom"/>
            <w:gridSpan w:val="2"/>
            <w:shd w:val="clear" w:color="auto" w:fill="CCEEFF"/>
          </w:tcPr>
          <w:p>
            <w:pPr>
              <w:spacing w:after="0" w:line="149" w:lineRule="exact"/>
              <w:rPr>
                <w:rFonts w:ascii="Times New Roman" w:cs="Times New Roman" w:eastAsia="Times New Roman" w:hAnsi="Times New Roman"/>
                <w:sz w:val="14"/>
                <w:szCs w:val="14"/>
                <w:color w:val="0000FF"/>
              </w:rPr>
            </w:pPr>
            <w:hyperlink r:id="rId72">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p>
        </w:tc>
        <w:tc>
          <w:tcPr>
            <w:tcW w:w="7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0220" w:type="dxa"/>
            <w:vAlign w:val="bottom"/>
            <w:gridSpan w:val="29"/>
            <w:shd w:val="clear" w:color="auto" w:fill="CCEEFF"/>
          </w:tcPr>
          <w:p>
            <w:pPr>
              <w:spacing w:after="0" w:line="149" w:lineRule="exact"/>
              <w:rPr>
                <w:rFonts w:ascii="Times New Roman" w:cs="Times New Roman" w:eastAsia="Times New Roman" w:hAnsi="Times New Roman"/>
                <w:sz w:val="14"/>
                <w:szCs w:val="14"/>
                <w:color w:val="0000FF"/>
              </w:rPr>
            </w:pPr>
            <w:hyperlink r:id="rId72">
              <w:r>
                <w:rPr>
                  <w:rFonts w:ascii="Times New Roman" w:cs="Times New Roman" w:eastAsia="Times New Roman" w:hAnsi="Times New Roman"/>
                  <w:sz w:val="14"/>
                  <w:szCs w:val="14"/>
                  <w:color w:val="0000FF"/>
                </w:rPr>
                <w:t>Registration Rights Agreement dated as of July 25, 2018 by and among M I Acquisitions, Inc. and the other parties thereto (incorporated by reference to Exhibit 10.1 to the</w:t>
              </w:r>
            </w:hyperlink>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shd w:val="clear" w:color="auto" w:fill="CCEEFF"/>
          </w:tcPr>
          <w:p>
            <w:pPr>
              <w:spacing w:after="0"/>
              <w:rPr>
                <w:sz w:val="10"/>
                <w:szCs w:val="10"/>
                <w:color w:val="auto"/>
              </w:rPr>
            </w:pPr>
          </w:p>
        </w:tc>
        <w:tc>
          <w:tcPr>
            <w:tcW w:w="140" w:type="dxa"/>
            <w:vAlign w:val="bottom"/>
            <w:tcBorders>
              <w:top w:val="single" w:sz="8" w:color="CCEEFF"/>
              <w:left w:val="single" w:sz="8" w:color="CCEEFF"/>
            </w:tcBorders>
            <w:shd w:val="clear" w:color="auto" w:fill="CCEEFF"/>
          </w:tcPr>
          <w:p>
            <w:pPr>
              <w:spacing w:after="0"/>
              <w:rPr>
                <w:sz w:val="10"/>
                <w:szCs w:val="10"/>
                <w:color w:val="auto"/>
              </w:rPr>
            </w:pPr>
          </w:p>
        </w:tc>
        <w:tc>
          <w:tcPr>
            <w:tcW w:w="760" w:type="dxa"/>
            <w:vAlign w:val="bottom"/>
            <w:tcBorders>
              <w:top w:val="single" w:sz="8" w:color="CCEEFF"/>
              <w:left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10140" w:type="dxa"/>
            <w:vAlign w:val="bottom"/>
            <w:tcBorders>
              <w:top w:val="single" w:sz="8" w:color="0000FF"/>
            </w:tcBorders>
            <w:gridSpan w:val="25"/>
            <w:shd w:val="clear" w:color="auto" w:fill="CCEEFF"/>
          </w:tcPr>
          <w:p>
            <w:pPr>
              <w:spacing w:after="0" w:line="118" w:lineRule="exact"/>
              <w:rPr>
                <w:rFonts w:ascii="Times New Roman" w:cs="Times New Roman" w:eastAsia="Times New Roman" w:hAnsi="Times New Roman"/>
                <w:sz w:val="13"/>
                <w:szCs w:val="13"/>
                <w:color w:val="0000FF"/>
              </w:rPr>
            </w:pPr>
            <w:hyperlink r:id="rId72">
              <w:r>
                <w:rPr>
                  <w:rFonts w:ascii="Times New Roman" w:cs="Times New Roman" w:eastAsia="Times New Roman" w:hAnsi="Times New Roman"/>
                  <w:sz w:val="13"/>
                  <w:szCs w:val="13"/>
                  <w:color w:val="0000FF"/>
                </w:rPr>
                <w:t>Company's Current Report on Form 8-K, filed July 31, 2018).</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gridSpan w:val="4"/>
          </w:tcPr>
          <w:p>
            <w:pPr>
              <w:spacing w:after="0" w:line="149" w:lineRule="exact"/>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FF"/>
                </w:rPr>
                <w:t xml:space="preserve"> </w:t>
              </w:r>
            </w:hyperlink>
            <w:r>
              <w:rPr>
                <w:rFonts w:ascii="Arial" w:cs="Arial" w:eastAsia="Arial" w:hAnsi="Arial"/>
                <w:sz w:val="14"/>
                <w:szCs w:val="14"/>
                <w:color w:val="000000"/>
              </w:rPr>
              <w:t>†</w:t>
            </w:r>
          </w:p>
        </w:tc>
        <w:tc>
          <w:tcPr>
            <w:tcW w:w="40" w:type="dxa"/>
            <w:vAlign w:val="bottom"/>
          </w:tcPr>
          <w:p>
            <w:pPr>
              <w:spacing w:after="0"/>
              <w:rPr>
                <w:sz w:val="12"/>
                <w:szCs w:val="12"/>
                <w:color w:val="auto"/>
              </w:rPr>
            </w:pPr>
          </w:p>
        </w:tc>
        <w:tc>
          <w:tcPr>
            <w:tcW w:w="10220" w:type="dxa"/>
            <w:vAlign w:val="bottom"/>
            <w:gridSpan w:val="29"/>
          </w:tcPr>
          <w:p>
            <w:pPr>
              <w:spacing w:after="0" w:line="149" w:lineRule="exact"/>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Priority Technology Holdings, Inc. 2018 Equity Incentive Plan (incorporated by reference to Exhibit 10.2 to the Company's Current Report on Form 8-K, filed July 31, 2018).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20" w:type="dxa"/>
            <w:vAlign w:val="bottom"/>
            <w:gridSpan w:val="2"/>
            <w:shd w:val="clear" w:color="auto" w:fill="CCEEFF"/>
          </w:tcPr>
          <w:p>
            <w:pPr>
              <w:spacing w:after="0"/>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hyperlink>
          </w:p>
        </w:tc>
        <w:tc>
          <w:tcPr>
            <w:tcW w:w="7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0220" w:type="dxa"/>
            <w:vAlign w:val="bottom"/>
            <w:gridSpan w:val="29"/>
            <w:shd w:val="clear" w:color="auto" w:fill="CCEEFF"/>
          </w:tcPr>
          <w:p>
            <w:pPr>
              <w:spacing w:after="0"/>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Priority Technology Holdings, Inc. 2021 Employee Stock Purchase Plan</w:t>
              </w:r>
            </w:hyperlink>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CCEEFF"/>
          </w:tcPr>
          <w:p>
            <w:pPr>
              <w:spacing w:after="0"/>
              <w:rPr>
                <w:sz w:val="2"/>
                <w:szCs w:val="2"/>
                <w:color w:val="auto"/>
              </w:rPr>
            </w:pPr>
          </w:p>
        </w:tc>
        <w:tc>
          <w:tcPr>
            <w:tcW w:w="7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2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gridSpan w:val="2"/>
          </w:tcPr>
          <w:p>
            <w:pPr>
              <w:spacing w:after="0" w:line="149" w:lineRule="exact"/>
              <w:rPr>
                <w:rFonts w:ascii="Times New Roman" w:cs="Times New Roman" w:eastAsia="Times New Roman" w:hAnsi="Times New Roman"/>
                <w:sz w:val="14"/>
                <w:szCs w:val="14"/>
                <w:color w:val="0000FF"/>
                <w:w w:val="79"/>
              </w:rPr>
            </w:pPr>
            <w:hyperlink r:id="rId75">
              <w:r>
                <w:rPr>
                  <w:rFonts w:ascii="Times New Roman" w:cs="Times New Roman" w:eastAsia="Times New Roman" w:hAnsi="Times New Roman"/>
                  <w:sz w:val="14"/>
                  <w:szCs w:val="14"/>
                  <w:color w:val="0000FF"/>
                  <w:w w:val="79"/>
                </w:rPr>
                <w:t>10.</w:t>
              </w:r>
              <w:r>
                <w:rPr>
                  <w:rFonts w:ascii="Times New Roman" w:cs="Times New Roman" w:eastAsia="Times New Roman" w:hAnsi="Times New Roman"/>
                  <w:sz w:val="14"/>
                  <w:szCs w:val="14"/>
                  <w:u w:val="single" w:color="auto"/>
                  <w:color w:val="0000FF"/>
                  <w:w w:val="79"/>
                </w:rPr>
                <w:t>3.1</w:t>
              </w:r>
            </w:hyperlink>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20" w:type="dxa"/>
            <w:vAlign w:val="bottom"/>
            <w:gridSpan w:val="29"/>
          </w:tcPr>
          <w:p>
            <w:pPr>
              <w:spacing w:after="0" w:line="149" w:lineRule="exact"/>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Amendment No. 1 to Priority Technology Holdings, Inc. 2021 Employee Stock Purchase Plan</w:t>
              </w:r>
            </w:hyperlink>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760" w:type="dxa"/>
            <w:vAlign w:val="bottom"/>
            <w:tcBorders>
              <w:lef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2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1160" w:type="dxa"/>
            <w:vAlign w:val="bottom"/>
            <w:gridSpan w:val="4"/>
            <w:shd w:val="clear" w:color="auto" w:fill="CCEEFF"/>
          </w:tcPr>
          <w:p>
            <w:pPr>
              <w:spacing w:after="0" w:line="155" w:lineRule="exact"/>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FF"/>
                </w:rPr>
                <w:t xml:space="preserve"> </w:t>
              </w:r>
            </w:hyperlink>
            <w:r>
              <w:rPr>
                <w:rFonts w:ascii="Arial" w:cs="Arial" w:eastAsia="Arial" w:hAnsi="Arial"/>
                <w:sz w:val="14"/>
                <w:szCs w:val="14"/>
                <w:color w:val="000000"/>
              </w:rPr>
              <w:t>†</w:t>
            </w:r>
          </w:p>
        </w:tc>
        <w:tc>
          <w:tcPr>
            <w:tcW w:w="40" w:type="dxa"/>
            <w:vAlign w:val="bottom"/>
            <w:tcBorders>
              <w:right w:val="single" w:sz="8" w:color="CCEEFF"/>
            </w:tcBorders>
            <w:shd w:val="clear" w:color="auto" w:fill="CCEEFF"/>
          </w:tcPr>
          <w:p>
            <w:pPr>
              <w:spacing w:after="0"/>
              <w:rPr>
                <w:sz w:val="13"/>
                <w:szCs w:val="13"/>
                <w:color w:val="auto"/>
              </w:rPr>
            </w:pPr>
          </w:p>
        </w:tc>
        <w:tc>
          <w:tcPr>
            <w:tcW w:w="10220" w:type="dxa"/>
            <w:vAlign w:val="bottom"/>
            <w:gridSpan w:val="29"/>
            <w:shd w:val="clear" w:color="auto" w:fill="CCEEFF"/>
          </w:tcPr>
          <w:p>
            <w:pPr>
              <w:spacing w:after="0" w:line="155" w:lineRule="exact"/>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Credit Agreement, dated as of April 27, 2021, among the Loan Parties name therein and Truist Bank.</w:t>
              </w:r>
            </w:hyperlink>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CCEEFF"/>
          </w:tcPr>
          <w:p>
            <w:pPr>
              <w:spacing w:after="0"/>
              <w:rPr>
                <w:sz w:val="2"/>
                <w:szCs w:val="2"/>
                <w:color w:val="auto"/>
              </w:rPr>
            </w:pPr>
          </w:p>
        </w:tc>
        <w:tc>
          <w:tcPr>
            <w:tcW w:w="7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2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gridSpan w:val="4"/>
          </w:tcPr>
          <w:p>
            <w:pPr>
              <w:spacing w:after="0" w:line="149" w:lineRule="exact"/>
              <w:rPr>
                <w:rFonts w:ascii="Times New Roman" w:cs="Times New Roman" w:eastAsia="Times New Roman" w:hAnsi="Times New Roman"/>
                <w:sz w:val="14"/>
                <w:szCs w:val="14"/>
                <w:color w:val="0000FF"/>
              </w:rPr>
            </w:pPr>
            <w:hyperlink r:id="rId7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w:t>
              </w:r>
              <w:r>
                <w:rPr>
                  <w:rFonts w:ascii="Times New Roman" w:cs="Times New Roman" w:eastAsia="Times New Roman" w:hAnsi="Times New Roman"/>
                  <w:sz w:val="14"/>
                  <w:szCs w:val="14"/>
                  <w:color w:val="0000FF"/>
                </w:rPr>
                <w:t xml:space="preserve"> </w:t>
              </w:r>
            </w:hyperlink>
            <w:r>
              <w:rPr>
                <w:rFonts w:ascii="Arial" w:cs="Arial" w:eastAsia="Arial" w:hAnsi="Arial"/>
                <w:sz w:val="14"/>
                <w:szCs w:val="14"/>
                <w:color w:val="000000"/>
              </w:rPr>
              <w:t>†</w:t>
            </w:r>
          </w:p>
        </w:tc>
        <w:tc>
          <w:tcPr>
            <w:tcW w:w="40" w:type="dxa"/>
            <w:vAlign w:val="bottom"/>
          </w:tcPr>
          <w:p>
            <w:pPr>
              <w:spacing w:after="0"/>
              <w:rPr>
                <w:sz w:val="12"/>
                <w:szCs w:val="12"/>
                <w:color w:val="auto"/>
              </w:rPr>
            </w:pPr>
          </w:p>
        </w:tc>
        <w:tc>
          <w:tcPr>
            <w:tcW w:w="10220" w:type="dxa"/>
            <w:vAlign w:val="bottom"/>
            <w:gridSpan w:val="29"/>
          </w:tcPr>
          <w:p>
            <w:pPr>
              <w:spacing w:after="0" w:line="149" w:lineRule="exact"/>
              <w:rPr>
                <w:rFonts w:ascii="Times New Roman" w:cs="Times New Roman" w:eastAsia="Times New Roman" w:hAnsi="Times New Roman"/>
                <w:sz w:val="14"/>
                <w:szCs w:val="14"/>
                <w:color w:val="0000FF"/>
              </w:rPr>
            </w:pPr>
            <w:hyperlink r:id="rId77">
              <w:r>
                <w:rPr>
                  <w:rFonts w:ascii="Times New Roman" w:cs="Times New Roman" w:eastAsia="Times New Roman" w:hAnsi="Times New Roman"/>
                  <w:sz w:val="14"/>
                  <w:szCs w:val="14"/>
                  <w:color w:val="0000FF"/>
                </w:rPr>
                <w:t>Director Agreement by and among Priority Holdings LLC, Pipeline Cynergy Holdings, LLC, Priority Payment Systems Holdings, LLC and Thomas C. Priore, dated May 21,</w:t>
              </w:r>
            </w:hyperlink>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8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77">
              <w:r>
                <w:rPr>
                  <w:rFonts w:ascii="Times New Roman" w:cs="Times New Roman" w:eastAsia="Times New Roman" w:hAnsi="Times New Roman"/>
                  <w:sz w:val="13"/>
                  <w:szCs w:val="13"/>
                  <w:color w:val="0000FF"/>
                </w:rPr>
                <w:t>2014 (incorporated by reference to Exhibit 10.6 to the Company's Registration Statement on Form S-4/A, filed December 26, 2018).</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gridSpan w:val="4"/>
            <w:shd w:val="clear" w:color="auto" w:fill="CCEEFF"/>
          </w:tcPr>
          <w:p>
            <w:pPr>
              <w:spacing w:after="0" w:line="149" w:lineRule="exact"/>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6</w:t>
              </w:r>
              <w:r>
                <w:rPr>
                  <w:rFonts w:ascii="Times New Roman" w:cs="Times New Roman" w:eastAsia="Times New Roman" w:hAnsi="Times New Roman"/>
                  <w:sz w:val="14"/>
                  <w:szCs w:val="14"/>
                  <w:color w:val="0000FF"/>
                </w:rPr>
                <w:t xml:space="preserve"> </w:t>
              </w:r>
            </w:hyperlink>
            <w:r>
              <w:rPr>
                <w:rFonts w:ascii="Arial" w:cs="Arial" w:eastAsia="Arial" w:hAnsi="Arial"/>
                <w:sz w:val="14"/>
                <w:szCs w:val="14"/>
                <w:color w:val="000000"/>
              </w:rPr>
              <w:t>†</w:t>
            </w:r>
          </w:p>
        </w:tc>
        <w:tc>
          <w:tcPr>
            <w:tcW w:w="40" w:type="dxa"/>
            <w:vAlign w:val="bottom"/>
            <w:tcBorders>
              <w:right w:val="single" w:sz="8" w:color="CCEEFF"/>
            </w:tcBorders>
            <w:shd w:val="clear" w:color="auto" w:fill="CCEEFF"/>
          </w:tcPr>
          <w:p>
            <w:pPr>
              <w:spacing w:after="0"/>
              <w:rPr>
                <w:sz w:val="12"/>
                <w:szCs w:val="12"/>
                <w:color w:val="auto"/>
              </w:rPr>
            </w:pPr>
          </w:p>
        </w:tc>
        <w:tc>
          <w:tcPr>
            <w:tcW w:w="10220" w:type="dxa"/>
            <w:vAlign w:val="bottom"/>
            <w:gridSpan w:val="29"/>
            <w:shd w:val="clear" w:color="auto" w:fill="CCEEFF"/>
          </w:tcPr>
          <w:p>
            <w:pPr>
              <w:spacing w:after="0" w:line="149" w:lineRule="exact"/>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Amendment No. 1 to Director Agreement by and among Priority Holdings LLC, Pipeline Cynergy Holdings, LLC, Priority Payment Systems Holdings, LLC and Thomas C.</w:t>
              </w:r>
            </w:hyperlink>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left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8780" w:type="dxa"/>
            <w:vAlign w:val="bottom"/>
            <w:tcBorders>
              <w:top w:val="single" w:sz="8" w:color="0000FF"/>
              <w:bottom w:val="single" w:sz="8" w:color="0000FF"/>
            </w:tcBorders>
            <w:gridSpan w:val="17"/>
            <w:shd w:val="clear" w:color="auto" w:fill="CCEEFF"/>
          </w:tcPr>
          <w:p>
            <w:pPr>
              <w:spacing w:after="0" w:line="118" w:lineRule="exact"/>
              <w:rPr>
                <w:rFonts w:ascii="Times New Roman" w:cs="Times New Roman" w:eastAsia="Times New Roman" w:hAnsi="Times New Roman"/>
                <w:sz w:val="13"/>
                <w:szCs w:val="13"/>
                <w:color w:val="0000FF"/>
              </w:rPr>
            </w:pPr>
            <w:hyperlink r:id="rId78">
              <w:r>
                <w:rPr>
                  <w:rFonts w:ascii="Times New Roman" w:cs="Times New Roman" w:eastAsia="Times New Roman" w:hAnsi="Times New Roman"/>
                  <w:sz w:val="13"/>
                  <w:szCs w:val="13"/>
                  <w:color w:val="0000FF"/>
                </w:rPr>
                <w:t>Priore, dated April 19, 2018 (incorporated by reference to Exhibit 10.7 to the Company's Registration Statement on Form S-4/A, filed December 26, 2018).</w:t>
              </w:r>
            </w:hyperlink>
          </w:p>
        </w:tc>
        <w:tc>
          <w:tcPr>
            <w:tcW w:w="1260" w:type="dxa"/>
            <w:vAlign w:val="bottom"/>
            <w:tcBorders>
              <w:top w:val="single" w:sz="8" w:color="0000FF"/>
              <w:bottom w:val="single" w:sz="8" w:color="CCEEFF"/>
            </w:tcBorders>
            <w:gridSpan w:val="3"/>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gridSpan w:val="4"/>
          </w:tcPr>
          <w:p>
            <w:pPr>
              <w:spacing w:after="0" w:line="149" w:lineRule="exact"/>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11</w:t>
              </w:r>
              <w:r>
                <w:rPr>
                  <w:rFonts w:ascii="Times New Roman" w:cs="Times New Roman" w:eastAsia="Times New Roman" w:hAnsi="Times New Roman"/>
                  <w:sz w:val="14"/>
                  <w:szCs w:val="14"/>
                  <w:color w:val="0000FF"/>
                </w:rPr>
                <w:t xml:space="preserve"> </w:t>
              </w:r>
            </w:hyperlink>
            <w:r>
              <w:rPr>
                <w:rFonts w:ascii="Arial" w:cs="Arial" w:eastAsia="Arial" w:hAnsi="Arial"/>
                <w:sz w:val="14"/>
                <w:szCs w:val="14"/>
                <w:color w:val="000000"/>
              </w:rPr>
              <w:t>†</w:t>
            </w:r>
          </w:p>
        </w:tc>
        <w:tc>
          <w:tcPr>
            <w:tcW w:w="40" w:type="dxa"/>
            <w:vAlign w:val="bottom"/>
          </w:tcPr>
          <w:p>
            <w:pPr>
              <w:spacing w:after="0"/>
              <w:rPr>
                <w:sz w:val="12"/>
                <w:szCs w:val="12"/>
                <w:color w:val="auto"/>
              </w:rPr>
            </w:pPr>
          </w:p>
        </w:tc>
        <w:tc>
          <w:tcPr>
            <w:tcW w:w="10220" w:type="dxa"/>
            <w:vAlign w:val="bottom"/>
            <w:gridSpan w:val="29"/>
          </w:tcPr>
          <w:p>
            <w:pPr>
              <w:spacing w:after="0" w:line="149" w:lineRule="exact"/>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Executive Employment Agreement between Priority Technology Holdings, Inc. and Michael Vollkommer, dated December 20, 2018 (incorporated by reference to Exhibit 10.1 to</w:t>
              </w:r>
            </w:hyperlink>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10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79">
              <w:r>
                <w:rPr>
                  <w:rFonts w:ascii="Times New Roman" w:cs="Times New Roman" w:eastAsia="Times New Roman" w:hAnsi="Times New Roman"/>
                  <w:sz w:val="13"/>
                  <w:szCs w:val="13"/>
                  <w:color w:val="0000FF"/>
                </w:rPr>
                <w:t>the Company's Current Report on Form 8-K, filed December 26, 2018).</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gridSpan w:val="4"/>
            <w:shd w:val="clear" w:color="auto" w:fill="CCEEFF"/>
          </w:tcPr>
          <w:p>
            <w:pPr>
              <w:spacing w:after="0" w:line="149" w:lineRule="exact"/>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12</w:t>
              </w:r>
              <w:r>
                <w:rPr>
                  <w:rFonts w:ascii="Times New Roman" w:cs="Times New Roman" w:eastAsia="Times New Roman" w:hAnsi="Times New Roman"/>
                  <w:sz w:val="14"/>
                  <w:szCs w:val="14"/>
                  <w:color w:val="0000FF"/>
                </w:rPr>
                <w:t xml:space="preserve"> </w:t>
              </w:r>
            </w:hyperlink>
            <w:r>
              <w:rPr>
                <w:rFonts w:ascii="Arial" w:cs="Arial" w:eastAsia="Arial" w:hAnsi="Arial"/>
                <w:sz w:val="14"/>
                <w:szCs w:val="14"/>
                <w:color w:val="000000"/>
              </w:rPr>
              <w:t>†</w:t>
            </w:r>
          </w:p>
        </w:tc>
        <w:tc>
          <w:tcPr>
            <w:tcW w:w="40" w:type="dxa"/>
            <w:vAlign w:val="bottom"/>
            <w:tcBorders>
              <w:right w:val="single" w:sz="8" w:color="CCEEFF"/>
            </w:tcBorders>
            <w:shd w:val="clear" w:color="auto" w:fill="CCEEFF"/>
          </w:tcPr>
          <w:p>
            <w:pPr>
              <w:spacing w:after="0"/>
              <w:rPr>
                <w:sz w:val="12"/>
                <w:szCs w:val="12"/>
                <w:color w:val="auto"/>
              </w:rPr>
            </w:pPr>
          </w:p>
        </w:tc>
        <w:tc>
          <w:tcPr>
            <w:tcW w:w="10220" w:type="dxa"/>
            <w:vAlign w:val="bottom"/>
            <w:gridSpan w:val="29"/>
            <w:shd w:val="clear" w:color="auto" w:fill="CCEEFF"/>
          </w:tcPr>
          <w:p>
            <w:pPr>
              <w:spacing w:after="0" w:line="149" w:lineRule="exact"/>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Restricted Stock Unit Award Agreement between Priority Technology Holdings, Inc. and Michael Vollkommer, dated December 20, 2018 (incorporated by reference to Exhibit</w:t>
              </w:r>
            </w:hyperlink>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Borders>
              <w:top w:val="single" w:sz="8" w:color="0000FF"/>
            </w:tcBorders>
            <w:shd w:val="clear" w:color="auto" w:fill="CCEEFF"/>
          </w:tcPr>
          <w:p>
            <w:pPr>
              <w:spacing w:after="0"/>
              <w:rPr>
                <w:sz w:val="10"/>
                <w:szCs w:val="10"/>
                <w:color w:val="auto"/>
              </w:rPr>
            </w:pPr>
          </w:p>
        </w:tc>
        <w:tc>
          <w:tcPr>
            <w:tcW w:w="140" w:type="dxa"/>
            <w:vAlign w:val="bottom"/>
            <w:tcBorders>
              <w:top w:val="single" w:sz="8" w:color="0000FF"/>
              <w:left w:val="single" w:sz="8" w:color="CCEEFF"/>
            </w:tcBorders>
            <w:shd w:val="clear" w:color="auto" w:fill="CCEEFF"/>
          </w:tcPr>
          <w:p>
            <w:pPr>
              <w:spacing w:after="0"/>
              <w:rPr>
                <w:sz w:val="10"/>
                <w:szCs w:val="10"/>
                <w:color w:val="auto"/>
              </w:rPr>
            </w:pPr>
          </w:p>
        </w:tc>
        <w:tc>
          <w:tcPr>
            <w:tcW w:w="760" w:type="dxa"/>
            <w:vAlign w:val="bottom"/>
            <w:tcBorders>
              <w:top w:val="single" w:sz="8" w:color="CCEEFF"/>
              <w:left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right w:val="single" w:sz="8" w:color="CCEEFF"/>
            </w:tcBorders>
            <w:shd w:val="clear" w:color="auto" w:fill="CCEEFF"/>
          </w:tcPr>
          <w:p>
            <w:pPr>
              <w:spacing w:after="0"/>
              <w:rPr>
                <w:sz w:val="10"/>
                <w:szCs w:val="10"/>
                <w:color w:val="auto"/>
              </w:rPr>
            </w:pPr>
          </w:p>
        </w:tc>
        <w:tc>
          <w:tcPr>
            <w:tcW w:w="10180" w:type="dxa"/>
            <w:vAlign w:val="bottom"/>
            <w:tcBorders>
              <w:top w:val="single" w:sz="8" w:color="0000FF"/>
            </w:tcBorders>
            <w:gridSpan w:val="27"/>
            <w:shd w:val="clear" w:color="auto" w:fill="CCEEFF"/>
          </w:tcPr>
          <w:p>
            <w:pPr>
              <w:spacing w:after="0" w:line="118" w:lineRule="exact"/>
              <w:rPr>
                <w:rFonts w:ascii="Times New Roman" w:cs="Times New Roman" w:eastAsia="Times New Roman" w:hAnsi="Times New Roman"/>
                <w:sz w:val="13"/>
                <w:szCs w:val="13"/>
                <w:color w:val="0000FF"/>
              </w:rPr>
            </w:pPr>
            <w:hyperlink r:id="rId80">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13</w:t>
              </w:r>
              <w:r>
                <w:rPr>
                  <w:rFonts w:ascii="Times New Roman" w:cs="Times New Roman" w:eastAsia="Times New Roman" w:hAnsi="Times New Roman"/>
                  <w:sz w:val="13"/>
                  <w:szCs w:val="13"/>
                  <w:color w:val="0000FF"/>
                </w:rPr>
                <w:t xml:space="preserve"> to the Company's Annual Report on Form 10-K, filed March 29, 2019).</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gridSpan w:val="4"/>
          </w:tcPr>
          <w:p>
            <w:pPr>
              <w:spacing w:after="0" w:line="149" w:lineRule="exact"/>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13</w:t>
              </w:r>
              <w:r>
                <w:rPr>
                  <w:rFonts w:ascii="Times New Roman" w:cs="Times New Roman" w:eastAsia="Times New Roman" w:hAnsi="Times New Roman"/>
                  <w:sz w:val="14"/>
                  <w:szCs w:val="14"/>
                  <w:color w:val="0000FF"/>
                </w:rPr>
                <w:t xml:space="preserve"> </w:t>
              </w:r>
            </w:hyperlink>
            <w:r>
              <w:rPr>
                <w:rFonts w:ascii="Arial" w:cs="Arial" w:eastAsia="Arial" w:hAnsi="Arial"/>
                <w:sz w:val="14"/>
                <w:szCs w:val="14"/>
                <w:color w:val="000000"/>
              </w:rPr>
              <w:t>†</w:t>
            </w:r>
          </w:p>
        </w:tc>
        <w:tc>
          <w:tcPr>
            <w:tcW w:w="40" w:type="dxa"/>
            <w:vAlign w:val="bottom"/>
          </w:tcPr>
          <w:p>
            <w:pPr>
              <w:spacing w:after="0"/>
              <w:rPr>
                <w:sz w:val="12"/>
                <w:szCs w:val="12"/>
                <w:color w:val="auto"/>
              </w:rPr>
            </w:pPr>
          </w:p>
        </w:tc>
        <w:tc>
          <w:tcPr>
            <w:tcW w:w="10220" w:type="dxa"/>
            <w:vAlign w:val="bottom"/>
            <w:gridSpan w:val="29"/>
          </w:tcPr>
          <w:p>
            <w:pPr>
              <w:spacing w:after="0" w:line="149" w:lineRule="exact"/>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Form of Independent Director Agreement (incorporated by reference to Exhibit 10.19 to the Company's Annual Report on Form 10-K, filed March 29, 2019).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20" w:type="dxa"/>
            <w:vAlign w:val="bottom"/>
            <w:gridSpan w:val="2"/>
            <w:shd w:val="clear" w:color="auto" w:fill="CCEEFF"/>
          </w:tcPr>
          <w:p>
            <w:pPr>
              <w:spacing w:after="0"/>
              <w:rPr>
                <w:rFonts w:ascii="Times New Roman" w:cs="Times New Roman" w:eastAsia="Times New Roman" w:hAnsi="Times New Roman"/>
                <w:sz w:val="14"/>
                <w:szCs w:val="14"/>
                <w:color w:val="0000FF"/>
                <w:w w:val="88"/>
              </w:rPr>
            </w:pPr>
            <w:hyperlink r:id="rId82">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14</w:t>
              </w:r>
            </w:hyperlink>
          </w:p>
        </w:tc>
        <w:tc>
          <w:tcPr>
            <w:tcW w:w="7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0220" w:type="dxa"/>
            <w:vAlign w:val="bottom"/>
            <w:gridSpan w:val="29"/>
            <w:shd w:val="clear" w:color="auto" w:fill="CCEEFF"/>
          </w:tcPr>
          <w:p>
            <w:pPr>
              <w:spacing w:after="0"/>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Asset Purchase Agreement by and between MRI Payments LLC, MRI Software LLC, and Priority Real Estate Technology LLC, dated August 31, 2020 (incorporated by</w:t>
              </w:r>
            </w:hyperlink>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140" w:type="dxa"/>
            <w:vAlign w:val="bottom"/>
            <w:tcBorders>
              <w:top w:val="single" w:sz="8" w:color="0000FF"/>
              <w:left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left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5540" w:type="dxa"/>
            <w:vAlign w:val="bottom"/>
            <w:tcBorders>
              <w:top w:val="single" w:sz="8" w:color="0000FF"/>
              <w:bottom w:val="single" w:sz="8" w:color="0000FF"/>
            </w:tcBorders>
            <w:gridSpan w:val="10"/>
            <w:shd w:val="clear" w:color="auto" w:fill="CCEEFF"/>
          </w:tcPr>
          <w:p>
            <w:pPr>
              <w:spacing w:after="0" w:line="118" w:lineRule="exact"/>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reference to Exhibit 10.1 to the Company's Current Report on Form 8-K filed September 1, 2020).</w:t>
              </w:r>
            </w:hyperlink>
          </w:p>
        </w:tc>
        <w:tc>
          <w:tcPr>
            <w:tcW w:w="4580" w:type="dxa"/>
            <w:vAlign w:val="bottom"/>
            <w:tcBorders>
              <w:top w:val="single" w:sz="8" w:color="0000FF"/>
              <w:bottom w:val="single" w:sz="8" w:color="CCEEFF"/>
            </w:tcBorders>
            <w:gridSpan w:val="14"/>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5"/>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gridSpan w:val="2"/>
          </w:tcPr>
          <w:p>
            <w:pPr>
              <w:spacing w:after="0" w:line="149" w:lineRule="exact"/>
              <w:rPr>
                <w:rFonts w:ascii="Times New Roman" w:cs="Times New Roman" w:eastAsia="Times New Roman" w:hAnsi="Times New Roman"/>
                <w:sz w:val="14"/>
                <w:szCs w:val="14"/>
                <w:color w:val="0000FF"/>
                <w:w w:val="88"/>
              </w:rPr>
            </w:pPr>
            <w:hyperlink r:id="rId83">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15</w:t>
              </w:r>
            </w:hyperlink>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20" w:type="dxa"/>
            <w:vAlign w:val="bottom"/>
            <w:gridSpan w:val="29"/>
          </w:tcPr>
          <w:p>
            <w:pPr>
              <w:spacing w:after="0" w:line="149" w:lineRule="exact"/>
              <w:rPr>
                <w:rFonts w:ascii="Times New Roman" w:cs="Times New Roman" w:eastAsia="Times New Roman" w:hAnsi="Times New Roman"/>
                <w:sz w:val="14"/>
                <w:szCs w:val="14"/>
                <w:color w:val="0000FF"/>
              </w:rPr>
            </w:pPr>
            <w:hyperlink r:id="rId83">
              <w:r>
                <w:rPr>
                  <w:rFonts w:ascii="Times New Roman" w:cs="Times New Roman" w:eastAsia="Times New Roman" w:hAnsi="Times New Roman"/>
                  <w:sz w:val="14"/>
                  <w:szCs w:val="14"/>
                  <w:color w:val="0000FF"/>
                </w:rPr>
                <w:t>Support Agreement, dated as of March 5, 2021, by and among the Stockholders and Finxera</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20" w:type="dxa"/>
            <w:vAlign w:val="bottom"/>
            <w:gridSpan w:val="2"/>
            <w:shd w:val="clear" w:color="auto" w:fill="CCEEFF"/>
          </w:tcPr>
          <w:p>
            <w:pPr>
              <w:spacing w:after="0"/>
              <w:rPr>
                <w:rFonts w:ascii="Times New Roman" w:cs="Times New Roman" w:eastAsia="Times New Roman" w:hAnsi="Times New Roman"/>
                <w:sz w:val="14"/>
                <w:szCs w:val="14"/>
                <w:color w:val="0000FF"/>
                <w:w w:val="88"/>
              </w:rPr>
            </w:pPr>
            <w:hyperlink r:id="rId84">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16</w:t>
              </w:r>
            </w:hyperlink>
          </w:p>
        </w:tc>
        <w:tc>
          <w:tcPr>
            <w:tcW w:w="7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10220" w:type="dxa"/>
            <w:vAlign w:val="bottom"/>
            <w:gridSpan w:val="29"/>
            <w:shd w:val="clear" w:color="auto" w:fill="CCEEFF"/>
          </w:tcPr>
          <w:p>
            <w:pPr>
              <w:spacing w:after="0"/>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Debt Commitment Letter, dated as of March 5, 2021, between Priority Holdings, LLC and Truist Securities, Inc.</w:t>
              </w:r>
            </w:hyperlink>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76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42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1"/>
        </w:trPr>
        <w:tc>
          <w:tcPr>
            <w:tcW w:w="11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903"/>
        </w:trPr>
        <w:tc>
          <w:tcPr>
            <w:tcW w:w="340" w:type="dxa"/>
            <w:vAlign w:val="bottom"/>
            <w:tcBorders>
              <w:top w:val="single" w:sz="8" w:color="0000FF"/>
            </w:tcBorders>
            <w:gridSpan w:val="4"/>
          </w:tcPr>
          <w:p>
            <w:pPr>
              <w:ind w:left="20"/>
              <w:spacing w:after="0"/>
              <w:rPr>
                <w:rFonts w:ascii="Times New Roman" w:cs="Times New Roman" w:eastAsia="Times New Roman" w:hAnsi="Times New Roman"/>
                <w:sz w:val="14"/>
                <w:szCs w:val="14"/>
                <w:color w:val="0000FF"/>
                <w:w w:val="88"/>
              </w:rPr>
            </w:pPr>
            <w:hyperlink r:id="rId86">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17</w:t>
              </w:r>
            </w:hyperlink>
          </w:p>
        </w:tc>
        <w:tc>
          <w:tcPr>
            <w:tcW w:w="1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2"/>
          </w:tcPr>
          <w:p>
            <w:pPr>
              <w:ind w:left="100"/>
              <w:spacing w:after="0"/>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Preferred Stock Commitment Letter, dated as of March 5, 2021, among the Company and certain affiliates of Ares Capital Management LLC</w:t>
              </w:r>
            </w:hyperlink>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
        </w:trPr>
        <w:tc>
          <w:tcPr>
            <w:tcW w:w="340" w:type="dxa"/>
            <w:vAlign w:val="bottom"/>
            <w:gridSpan w:val="4"/>
            <w:shd w:val="clear" w:color="auto" w:fill="CCEEFF"/>
          </w:tcPr>
          <w:p>
            <w:pPr>
              <w:ind w:left="20"/>
              <w:spacing w:after="0"/>
              <w:rPr>
                <w:rFonts w:ascii="Times New Roman" w:cs="Times New Roman" w:eastAsia="Times New Roman" w:hAnsi="Times New Roman"/>
                <w:sz w:val="14"/>
                <w:szCs w:val="14"/>
                <w:color w:val="0000FF"/>
                <w:w w:val="88"/>
              </w:rPr>
            </w:pPr>
            <w:hyperlink r:id="rId87">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18</w:t>
              </w:r>
            </w:hyperlink>
          </w:p>
        </w:tc>
        <w:tc>
          <w:tcPr>
            <w:tcW w:w="76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180" w:type="dxa"/>
            <w:vAlign w:val="bottom"/>
            <w:gridSpan w:val="12"/>
            <w:shd w:val="clear" w:color="auto" w:fill="CCEEFF"/>
          </w:tcPr>
          <w:p>
            <w:pPr>
              <w:ind w:left="100"/>
              <w:spacing w:after="0"/>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Securities Purchase Agreement, dated as of April 27, 2021, among the Company and the Investors named therein</w:t>
              </w:r>
            </w:hyperlink>
          </w:p>
        </w:tc>
      </w:tr>
      <w:tr>
        <w:trPr>
          <w:trHeight w:val="32"/>
        </w:trPr>
        <w:tc>
          <w:tcPr>
            <w:tcW w:w="20" w:type="dxa"/>
            <w:vAlign w:val="bottom"/>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940" w:type="dxa"/>
            <w:vAlign w:val="bottom"/>
            <w:shd w:val="clear" w:color="auto" w:fill="0000FF"/>
          </w:tcPr>
          <w:p>
            <w:pPr>
              <w:spacing w:after="0"/>
              <w:rPr>
                <w:sz w:val="2"/>
                <w:szCs w:val="2"/>
                <w:color w:val="auto"/>
              </w:rPr>
            </w:pPr>
          </w:p>
        </w:tc>
        <w:tc>
          <w:tcPr>
            <w:tcW w:w="30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49"/>
        </w:trPr>
        <w:tc>
          <w:tcPr>
            <w:tcW w:w="340" w:type="dxa"/>
            <w:vAlign w:val="bottom"/>
            <w:gridSpan w:val="4"/>
          </w:tcPr>
          <w:p>
            <w:pPr>
              <w:ind w:left="20"/>
              <w:spacing w:after="0" w:line="149" w:lineRule="exact"/>
              <w:rPr>
                <w:rFonts w:ascii="Times New Roman" w:cs="Times New Roman" w:eastAsia="Times New Roman" w:hAnsi="Times New Roman"/>
                <w:sz w:val="14"/>
                <w:szCs w:val="14"/>
                <w:color w:val="0000FF"/>
                <w:w w:val="88"/>
              </w:rPr>
            </w:pPr>
            <w:hyperlink r:id="rId88">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19</w:t>
              </w:r>
            </w:hyperlink>
          </w:p>
        </w:tc>
        <w:tc>
          <w:tcPr>
            <w:tcW w:w="7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w:t>
            </w:r>
          </w:p>
        </w:tc>
        <w:tc>
          <w:tcPr>
            <w:tcW w:w="10180" w:type="dxa"/>
            <w:vAlign w:val="bottom"/>
            <w:gridSpan w:val="12"/>
          </w:tcPr>
          <w:p>
            <w:pPr>
              <w:ind w:left="100"/>
              <w:spacing w:after="0" w:line="149" w:lineRule="exact"/>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Registration Rights Agreement, dated as of April 27, 2021, among the Company and the Investors name therein</w:t>
              </w:r>
            </w:hyperlink>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
        </w:trPr>
        <w:tc>
          <w:tcPr>
            <w:tcW w:w="340" w:type="dxa"/>
            <w:vAlign w:val="bottom"/>
            <w:gridSpan w:val="4"/>
            <w:shd w:val="clear" w:color="auto" w:fill="CCEEFF"/>
          </w:tcPr>
          <w:p>
            <w:pPr>
              <w:ind w:left="20"/>
              <w:spacing w:after="0"/>
              <w:rPr>
                <w:rFonts w:ascii="Times New Roman" w:cs="Times New Roman" w:eastAsia="Times New Roman" w:hAnsi="Times New Roman"/>
                <w:sz w:val="14"/>
                <w:szCs w:val="14"/>
                <w:color w:val="0000FF"/>
                <w:w w:val="88"/>
              </w:rPr>
            </w:pPr>
            <w:hyperlink r:id="rId76">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21</w:t>
              </w:r>
            </w:hyperlink>
          </w:p>
        </w:tc>
        <w:tc>
          <w:tcPr>
            <w:tcW w:w="76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180" w:type="dxa"/>
            <w:vAlign w:val="bottom"/>
            <w:gridSpan w:val="12"/>
            <w:shd w:val="clear" w:color="auto" w:fill="CCEEFF"/>
          </w:tcPr>
          <w:p>
            <w:pPr>
              <w:ind w:left="100"/>
              <w:spacing w:after="0"/>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Credit Agreement, dated as of April 27, 2021, among the Loan Parties name therein and Truist Bank</w:t>
              </w:r>
            </w:hyperlink>
          </w:p>
        </w:tc>
      </w:tr>
      <w:tr>
        <w:trPr>
          <w:trHeight w:val="32"/>
        </w:trPr>
        <w:tc>
          <w:tcPr>
            <w:tcW w:w="20" w:type="dxa"/>
            <w:vAlign w:val="bottom"/>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940" w:type="dxa"/>
            <w:vAlign w:val="bottom"/>
            <w:shd w:val="clear" w:color="auto" w:fill="0000FF"/>
          </w:tcPr>
          <w:p>
            <w:pPr>
              <w:spacing w:after="0"/>
              <w:rPr>
                <w:sz w:val="2"/>
                <w:szCs w:val="2"/>
                <w:color w:val="auto"/>
              </w:rPr>
            </w:pPr>
          </w:p>
        </w:tc>
        <w:tc>
          <w:tcPr>
            <w:tcW w:w="3060" w:type="dxa"/>
            <w:vAlign w:val="bottom"/>
            <w:shd w:val="clear" w:color="auto" w:fill="0000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49"/>
        </w:trPr>
        <w:tc>
          <w:tcPr>
            <w:tcW w:w="340" w:type="dxa"/>
            <w:vAlign w:val="bottom"/>
            <w:gridSpan w:val="4"/>
          </w:tcPr>
          <w:p>
            <w:pPr>
              <w:ind w:left="20"/>
              <w:spacing w:after="0" w:line="149" w:lineRule="exact"/>
              <w:rPr>
                <w:rFonts w:ascii="Times New Roman" w:cs="Times New Roman" w:eastAsia="Times New Roman" w:hAnsi="Times New Roman"/>
                <w:sz w:val="14"/>
                <w:szCs w:val="14"/>
                <w:color w:val="0000FF"/>
                <w:w w:val="88"/>
              </w:rPr>
            </w:pPr>
            <w:hyperlink r:id="rId89">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22</w:t>
              </w:r>
            </w:hyperlink>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180" w:type="dxa"/>
            <w:vAlign w:val="bottom"/>
            <w:gridSpan w:val="12"/>
          </w:tcPr>
          <w:p>
            <w:pPr>
              <w:ind w:left="100"/>
              <w:spacing w:after="0" w:line="149" w:lineRule="exact"/>
              <w:rPr>
                <w:rFonts w:ascii="Times New Roman" w:cs="Times New Roman" w:eastAsia="Times New Roman" w:hAnsi="Times New Roman"/>
                <w:sz w:val="14"/>
                <w:szCs w:val="14"/>
                <w:color w:val="0000FF"/>
              </w:rPr>
            </w:pPr>
            <w:hyperlink r:id="rId89">
              <w:r>
                <w:rPr>
                  <w:rFonts w:ascii="Times New Roman" w:cs="Times New Roman" w:eastAsia="Times New Roman" w:hAnsi="Times New Roman"/>
                  <w:sz w:val="14"/>
                  <w:szCs w:val="14"/>
                  <w:color w:val="0000FF"/>
                </w:rPr>
                <w:t>Amendment No. 2, dated September 17, 2021, to the Credit Agreement, dated as of April 27, 2021, by and among the Loan Parties named therein and Truist Bank.</w:t>
              </w:r>
            </w:hyperlink>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
        </w:trPr>
        <w:tc>
          <w:tcPr>
            <w:tcW w:w="340" w:type="dxa"/>
            <w:vAlign w:val="bottom"/>
            <w:gridSpan w:val="4"/>
            <w:shd w:val="clear" w:color="auto" w:fill="CCEEFF"/>
          </w:tcPr>
          <w:p>
            <w:pPr>
              <w:ind w:left="20"/>
              <w:spacing w:after="0"/>
              <w:rPr>
                <w:rFonts w:ascii="Times New Roman" w:cs="Times New Roman" w:eastAsia="Times New Roman" w:hAnsi="Times New Roman"/>
                <w:sz w:val="14"/>
                <w:szCs w:val="14"/>
                <w:color w:val="0000FF"/>
                <w:w w:val="88"/>
              </w:rPr>
            </w:pPr>
            <w:hyperlink r:id="rId90">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23</w:t>
              </w:r>
            </w:hyperlink>
          </w:p>
        </w:tc>
        <w:tc>
          <w:tcPr>
            <w:tcW w:w="100" w:type="dxa"/>
            <w:vAlign w:val="bottom"/>
            <w:tcBorders>
              <w:lef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180" w:type="dxa"/>
            <w:vAlign w:val="bottom"/>
            <w:gridSpan w:val="12"/>
            <w:shd w:val="clear" w:color="auto" w:fill="CCEEFF"/>
          </w:tcPr>
          <w:p>
            <w:pPr>
              <w:ind w:left="100"/>
              <w:spacing w:after="0"/>
              <w:rPr>
                <w:rFonts w:ascii="Times New Roman" w:cs="Times New Roman" w:eastAsia="Times New Roman" w:hAnsi="Times New Roman"/>
                <w:sz w:val="14"/>
                <w:szCs w:val="14"/>
                <w:color w:val="0000FF"/>
              </w:rPr>
            </w:pPr>
            <w:hyperlink r:id="rId90">
              <w:r>
                <w:rPr>
                  <w:rFonts w:ascii="Times New Roman" w:cs="Times New Roman" w:eastAsia="Times New Roman" w:hAnsi="Times New Roman"/>
                  <w:sz w:val="14"/>
                  <w:szCs w:val="14"/>
                  <w:color w:val="0000FF"/>
                </w:rPr>
                <w:t>Form Restricted Stock Unit Award Agreement</w:t>
              </w:r>
            </w:hyperlink>
          </w:p>
        </w:tc>
      </w:tr>
      <w:tr>
        <w:trPr>
          <w:trHeight w:val="32"/>
        </w:trPr>
        <w:tc>
          <w:tcPr>
            <w:tcW w:w="20" w:type="dxa"/>
            <w:vAlign w:val="bottom"/>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940" w:type="dxa"/>
            <w:vAlign w:val="bottom"/>
            <w:shd w:val="clear" w:color="auto" w:fill="0000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49"/>
        </w:trPr>
        <w:tc>
          <w:tcPr>
            <w:tcW w:w="3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24</w:t>
            </w:r>
          </w:p>
        </w:tc>
        <w:tc>
          <w:tcPr>
            <w:tcW w:w="6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0000FF"/>
              </w:rPr>
              <w:t>*</w:t>
            </w:r>
          </w:p>
        </w:tc>
        <w:tc>
          <w:tcPr>
            <w:tcW w:w="100" w:type="dxa"/>
            <w:vAlign w:val="bottom"/>
          </w:tcPr>
          <w:p>
            <w:pPr>
              <w:spacing w:after="0"/>
              <w:rPr>
                <w:sz w:val="12"/>
                <w:szCs w:val="12"/>
                <w:color w:val="auto"/>
              </w:rPr>
            </w:pPr>
          </w:p>
        </w:tc>
        <w:tc>
          <w:tcPr>
            <w:tcW w:w="10180" w:type="dxa"/>
            <w:vAlign w:val="bottom"/>
            <w:gridSpan w:val="12"/>
          </w:tcPr>
          <w:p>
            <w:pPr>
              <w:ind w:left="100"/>
              <w:spacing w:after="0" w:line="149" w:lineRule="exact"/>
              <w:rPr>
                <w:sz w:val="20"/>
                <w:szCs w:val="20"/>
                <w:color w:val="auto"/>
              </w:rPr>
            </w:pPr>
            <w:r>
              <w:rPr>
                <w:rFonts w:ascii="Times New Roman" w:cs="Times New Roman" w:eastAsia="Times New Roman" w:hAnsi="Times New Roman"/>
                <w:sz w:val="14"/>
                <w:szCs w:val="14"/>
                <w:color w:val="0000FF"/>
              </w:rPr>
              <w:t>Executive Employment Agreement between Priority Technology Holdings, Inc. and Tim O'Leary, dated September 19, 2022</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
        </w:trPr>
        <w:tc>
          <w:tcPr>
            <w:tcW w:w="340" w:type="dxa"/>
            <w:vAlign w:val="bottom"/>
            <w:gridSpan w:val="4"/>
            <w:shd w:val="clear" w:color="auto" w:fill="CCEEFF"/>
          </w:tcPr>
          <w:p>
            <w:pPr>
              <w:ind w:left="20"/>
              <w:spacing w:after="0"/>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21.</w:t>
              </w:r>
              <w:r>
                <w:rPr>
                  <w:rFonts w:ascii="Times New Roman" w:cs="Times New Roman" w:eastAsia="Times New Roman" w:hAnsi="Times New Roman"/>
                  <w:sz w:val="14"/>
                  <w:szCs w:val="14"/>
                  <w:u w:val="single" w:color="auto"/>
                  <w:color w:val="0000FF"/>
                </w:rPr>
                <w:t>1</w:t>
              </w:r>
            </w:hyperlink>
          </w:p>
        </w:tc>
        <w:tc>
          <w:tcPr>
            <w:tcW w:w="100" w:type="dxa"/>
            <w:vAlign w:val="bottom"/>
            <w:tcBorders>
              <w:lef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180" w:type="dxa"/>
            <w:vAlign w:val="bottom"/>
            <w:gridSpan w:val="12"/>
            <w:shd w:val="clear" w:color="auto" w:fill="CCEEFF"/>
          </w:tcPr>
          <w:p>
            <w:pPr>
              <w:ind w:left="100"/>
              <w:spacing w:after="0"/>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Subsidiaries</w:t>
              </w:r>
            </w:hyperlink>
          </w:p>
        </w:tc>
      </w:tr>
      <w:tr>
        <w:trPr>
          <w:trHeight w:val="32"/>
        </w:trPr>
        <w:tc>
          <w:tcPr>
            <w:tcW w:w="20" w:type="dxa"/>
            <w:vAlign w:val="bottom"/>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49"/>
        </w:trPr>
        <w:tc>
          <w:tcPr>
            <w:tcW w:w="3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0000FF"/>
                <w:w w:val="79"/>
              </w:rPr>
              <w:t>31.</w:t>
            </w:r>
            <w:r>
              <w:rPr>
                <w:rFonts w:ascii="Times New Roman" w:cs="Times New Roman" w:eastAsia="Times New Roman" w:hAnsi="Times New Roman"/>
                <w:sz w:val="14"/>
                <w:szCs w:val="14"/>
                <w:u w:val="single" w:color="auto"/>
                <w:color w:val="0000FF"/>
                <w:w w:val="79"/>
              </w:rPr>
              <w:t>1</w:t>
            </w:r>
            <w:r>
              <w:rPr>
                <w:rFonts w:ascii="Times New Roman" w:cs="Times New Roman" w:eastAsia="Times New Roman" w:hAnsi="Times New Roman"/>
                <w:sz w:val="14"/>
                <w:szCs w:val="14"/>
                <w:color w:val="0000FF"/>
                <w:w w:val="79"/>
              </w:rPr>
              <w:t xml:space="preserve"> </w:t>
            </w:r>
            <w:r>
              <w:rPr>
                <w:rFonts w:ascii="Times New Roman" w:cs="Times New Roman" w:eastAsia="Times New Roman" w:hAnsi="Times New Roman"/>
                <w:sz w:val="14"/>
                <w:szCs w:val="14"/>
                <w:color w:val="000000"/>
                <w:w w:val="79"/>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180" w:type="dxa"/>
            <w:vAlign w:val="bottom"/>
            <w:gridSpan w:val="12"/>
          </w:tcPr>
          <w:p>
            <w:pPr>
              <w:ind w:left="100"/>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pursuant to Rule 13a-14 and Rule 15d-14(a), promulgated under the Securities and Exchange Act of 1934, as amended.</w:t>
            </w: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
        </w:trPr>
        <w:tc>
          <w:tcPr>
            <w:tcW w:w="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0000FF"/>
                <w:w w:val="79"/>
              </w:rPr>
              <w:t>31.</w:t>
            </w:r>
            <w:r>
              <w:rPr>
                <w:rFonts w:ascii="Times New Roman" w:cs="Times New Roman" w:eastAsia="Times New Roman" w:hAnsi="Times New Roman"/>
                <w:sz w:val="14"/>
                <w:szCs w:val="14"/>
                <w:u w:val="single" w:color="auto"/>
                <w:color w:val="0000FF"/>
                <w:w w:val="79"/>
              </w:rPr>
              <w:t>2</w:t>
            </w:r>
            <w:r>
              <w:rPr>
                <w:rFonts w:ascii="Times New Roman" w:cs="Times New Roman" w:eastAsia="Times New Roman" w:hAnsi="Times New Roman"/>
                <w:sz w:val="14"/>
                <w:szCs w:val="14"/>
                <w:color w:val="0000FF"/>
                <w:w w:val="79"/>
              </w:rPr>
              <w:t xml:space="preserve"> </w:t>
            </w:r>
            <w:r>
              <w:rPr>
                <w:rFonts w:ascii="Times New Roman" w:cs="Times New Roman" w:eastAsia="Times New Roman" w:hAnsi="Times New Roman"/>
                <w:sz w:val="14"/>
                <w:szCs w:val="14"/>
                <w:color w:val="000000"/>
                <w:w w:val="79"/>
              </w:rPr>
              <w:t>*</w:t>
            </w:r>
          </w:p>
        </w:tc>
        <w:tc>
          <w:tcPr>
            <w:tcW w:w="100" w:type="dxa"/>
            <w:vAlign w:val="bottom"/>
            <w:tcBorders>
              <w:lef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18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 and Rule 15d-14(a), promulgated under the Securities and Exchange Act of 1934, as amended.</w:t>
            </w:r>
          </w:p>
        </w:tc>
      </w:tr>
      <w:tr>
        <w:trPr>
          <w:trHeight w:val="32"/>
        </w:trPr>
        <w:tc>
          <w:tcPr>
            <w:tcW w:w="20" w:type="dxa"/>
            <w:vAlign w:val="bottom"/>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940" w:type="dxa"/>
            <w:vAlign w:val="bottom"/>
            <w:shd w:val="clear" w:color="auto" w:fill="0000FF"/>
          </w:tcPr>
          <w:p>
            <w:pPr>
              <w:spacing w:after="0"/>
              <w:rPr>
                <w:sz w:val="2"/>
                <w:szCs w:val="2"/>
                <w:color w:val="auto"/>
              </w:rPr>
            </w:pPr>
          </w:p>
        </w:tc>
        <w:tc>
          <w:tcPr>
            <w:tcW w:w="30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060" w:type="dxa"/>
            <w:vAlign w:val="bottom"/>
            <w:tcBorders>
              <w:right w:val="single" w:sz="8" w:color="CCEEFF"/>
            </w:tcBorders>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49"/>
        </w:trPr>
        <w:tc>
          <w:tcPr>
            <w:tcW w:w="3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0000FF"/>
                <w:w w:val="88"/>
              </w:rPr>
              <w:t xml:space="preserve">32 </w:t>
            </w:r>
            <w:r>
              <w:rPr>
                <w:rFonts w:ascii="Times New Roman" w:cs="Times New Roman" w:eastAsia="Times New Roman" w:hAnsi="Times New Roman"/>
                <w:sz w:val="14"/>
                <w:szCs w:val="14"/>
                <w:color w:val="000000"/>
                <w:w w:val="88"/>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180" w:type="dxa"/>
            <w:vAlign w:val="bottom"/>
            <w:gridSpan w:val="12"/>
          </w:tcPr>
          <w:p>
            <w:pPr>
              <w:ind w:left="100"/>
              <w:spacing w:after="0" w:line="149" w:lineRule="exact"/>
              <w:rPr>
                <w:sz w:val="20"/>
                <w:szCs w:val="20"/>
                <w:color w:val="auto"/>
              </w:rPr>
            </w:pPr>
            <w:r>
              <w:rPr>
                <w:rFonts w:ascii="Times New Roman" w:cs="Times New Roman" w:eastAsia="Times New Roman" w:hAnsi="Times New Roman"/>
                <w:sz w:val="14"/>
                <w:szCs w:val="14"/>
                <w:color w:val="0000FF"/>
              </w:rPr>
              <w:t>Certification of Chief Executive Officer and Chief Financial Officer pursuant to 18 U.S.C. Section 1350, as adopted pursuant to Section 906 of the Sarbanes-Oxley Act of 2002.</w:t>
            </w:r>
          </w:p>
        </w:tc>
      </w:tr>
      <w:tr>
        <w:trPr>
          <w:trHeight w:val="26"/>
        </w:trPr>
        <w:tc>
          <w:tcPr>
            <w:tcW w:w="2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1940" w:type="dxa"/>
            <w:vAlign w:val="bottom"/>
            <w:shd w:val="clear" w:color="auto" w:fill="0000FF"/>
          </w:tcPr>
          <w:p>
            <w:pPr>
              <w:spacing w:after="0"/>
              <w:rPr>
                <w:sz w:val="2"/>
                <w:szCs w:val="2"/>
                <w:color w:val="auto"/>
              </w:rPr>
            </w:pPr>
          </w:p>
        </w:tc>
        <w:tc>
          <w:tcPr>
            <w:tcW w:w="306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106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r>
      <w:tr>
        <w:trPr>
          <w:trHeight w:val="186"/>
        </w:trPr>
        <w:tc>
          <w:tcPr>
            <w:tcW w:w="20" w:type="dxa"/>
            <w:vAlign w:val="bottom"/>
            <w:shd w:val="clear" w:color="auto" w:fill="CCEEFF"/>
          </w:tcPr>
          <w:p>
            <w:pPr>
              <w:spacing w:after="0"/>
              <w:rPr>
                <w:sz w:val="16"/>
                <w:szCs w:val="16"/>
                <w:color w:val="auto"/>
              </w:rPr>
            </w:pPr>
          </w:p>
        </w:tc>
        <w:tc>
          <w:tcPr>
            <w:tcW w:w="1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101.INS *</w:t>
            </w:r>
          </w:p>
        </w:tc>
        <w:tc>
          <w:tcPr>
            <w:tcW w:w="1018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 because its XBRL tags are embedded within the Inline XBRL document.</w:t>
            </w:r>
          </w:p>
        </w:tc>
      </w:tr>
      <w:tr>
        <w:trPr>
          <w:trHeight w:val="180"/>
        </w:trPr>
        <w:tc>
          <w:tcPr>
            <w:tcW w:w="20" w:type="dxa"/>
            <w:vAlign w:val="bottom"/>
          </w:tcPr>
          <w:p>
            <w:pPr>
              <w:spacing w:after="0"/>
              <w:rPr>
                <w:sz w:val="15"/>
                <w:szCs w:val="15"/>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101.SCH *</w:t>
            </w:r>
          </w:p>
        </w:tc>
        <w:tc>
          <w:tcPr>
            <w:tcW w:w="1018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180"/>
        </w:trPr>
        <w:tc>
          <w:tcPr>
            <w:tcW w:w="20" w:type="dxa"/>
            <w:vAlign w:val="bottom"/>
            <w:shd w:val="clear" w:color="auto" w:fill="CCEEFF"/>
          </w:tcPr>
          <w:p>
            <w:pPr>
              <w:spacing w:after="0"/>
              <w:rPr>
                <w:sz w:val="15"/>
                <w:szCs w:val="15"/>
                <w:color w:val="auto"/>
              </w:rPr>
            </w:pPr>
          </w:p>
        </w:tc>
        <w:tc>
          <w:tcPr>
            <w:tcW w:w="1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101.CAL *</w:t>
            </w:r>
          </w:p>
        </w:tc>
        <w:tc>
          <w:tcPr>
            <w:tcW w:w="1018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180"/>
        </w:trPr>
        <w:tc>
          <w:tcPr>
            <w:tcW w:w="20" w:type="dxa"/>
            <w:vAlign w:val="bottom"/>
          </w:tcPr>
          <w:p>
            <w:pPr>
              <w:spacing w:after="0"/>
              <w:rPr>
                <w:sz w:val="15"/>
                <w:szCs w:val="15"/>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101.LAB *</w:t>
            </w:r>
          </w:p>
        </w:tc>
        <w:tc>
          <w:tcPr>
            <w:tcW w:w="1018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180"/>
        </w:trPr>
        <w:tc>
          <w:tcPr>
            <w:tcW w:w="20" w:type="dxa"/>
            <w:vAlign w:val="bottom"/>
            <w:shd w:val="clear" w:color="auto" w:fill="CCEEFF"/>
          </w:tcPr>
          <w:p>
            <w:pPr>
              <w:spacing w:after="0"/>
              <w:rPr>
                <w:sz w:val="15"/>
                <w:szCs w:val="15"/>
                <w:color w:val="auto"/>
              </w:rPr>
            </w:pPr>
          </w:p>
        </w:tc>
        <w:tc>
          <w:tcPr>
            <w:tcW w:w="10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101.PRE *</w:t>
            </w:r>
          </w:p>
        </w:tc>
        <w:tc>
          <w:tcPr>
            <w:tcW w:w="1018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184"/>
        </w:trPr>
        <w:tc>
          <w:tcPr>
            <w:tcW w:w="20" w:type="dxa"/>
            <w:vAlign w:val="bottom"/>
          </w:tcPr>
          <w:p>
            <w:pPr>
              <w:spacing w:after="0"/>
              <w:rPr>
                <w:sz w:val="16"/>
                <w:szCs w:val="16"/>
                <w:color w:val="auto"/>
              </w:rPr>
            </w:pPr>
          </w:p>
        </w:tc>
        <w:tc>
          <w:tcPr>
            <w:tcW w:w="10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101.DEF *</w:t>
            </w:r>
          </w:p>
        </w:tc>
        <w:tc>
          <w:tcPr>
            <w:tcW w:w="10180" w:type="dxa"/>
            <w:vAlign w:val="bottom"/>
            <w:gridSpan w:val="12"/>
          </w:tcPr>
          <w:p>
            <w:pPr>
              <w:ind w:left="10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9" w:lineRule="exact"/>
        <w:rPr>
          <w:sz w:val="20"/>
          <w:szCs w:val="20"/>
          <w:color w:val="auto"/>
        </w:rPr>
      </w:pPr>
    </w:p>
    <w:p>
      <w:pPr>
        <w:ind w:left="120" w:hanging="115"/>
        <w:spacing w:after="0"/>
        <w:tabs>
          <w:tab w:leader="none" w:pos="120" w:val="left"/>
        </w:tabs>
        <w:numPr>
          <w:ilvl w:val="0"/>
          <w:numId w:val="17"/>
        </w:numPr>
        <w:rPr>
          <w:rFonts w:ascii="Arial" w:cs="Arial" w:eastAsia="Arial" w:hAnsi="Arial"/>
          <w:sz w:val="14"/>
          <w:szCs w:val="14"/>
          <w:color w:val="auto"/>
        </w:rPr>
      </w:pPr>
      <w:r>
        <w:rPr>
          <w:rFonts w:ascii="Times New Roman" w:cs="Times New Roman" w:eastAsia="Times New Roman" w:hAnsi="Times New Roman"/>
          <w:sz w:val="14"/>
          <w:szCs w:val="14"/>
          <w:color w:val="auto"/>
        </w:rPr>
        <w:t>Indicates exhibits that constitute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900" w:type="dxa"/>
            <w:vAlign w:val="bottom"/>
          </w:tcPr>
          <w:p>
            <w:pPr>
              <w:spacing w:after="0"/>
              <w:rPr>
                <w:sz w:val="16"/>
                <w:szCs w:val="16"/>
                <w:color w:val="auto"/>
              </w:rPr>
            </w:pPr>
          </w:p>
        </w:tc>
        <w:tc>
          <w:tcPr>
            <w:tcW w:w="5740" w:type="dxa"/>
            <w:vAlign w:val="bottom"/>
            <w:gridSpan w:val="4"/>
          </w:tcPr>
          <w:p>
            <w:pPr>
              <w:ind w:left="1760"/>
              <w:spacing w:after="0"/>
              <w:rPr>
                <w:sz w:val="20"/>
                <w:szCs w:val="20"/>
                <w:color w:val="auto"/>
              </w:rPr>
            </w:pPr>
            <w:r>
              <w:rPr>
                <w:rFonts w:ascii="Times New Roman" w:cs="Times New Roman" w:eastAsia="Times New Roman" w:hAnsi="Times New Roman"/>
                <w:sz w:val="14"/>
                <w:szCs w:val="14"/>
                <w:color w:val="auto"/>
              </w:rPr>
              <w:t>PRIORITY TECHNOLOGY HOLDINGS, INC.</w:t>
            </w:r>
          </w:p>
        </w:tc>
      </w:tr>
      <w:tr>
        <w:trPr>
          <w:trHeight w:val="287"/>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November 10, 2022</w:t>
            </w:r>
          </w:p>
        </w:tc>
        <w:tc>
          <w:tcPr>
            <w:tcW w:w="296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Thomas C. Priore</w:t>
            </w:r>
          </w:p>
        </w:tc>
      </w:tr>
      <w:tr>
        <w:trPr>
          <w:trHeight w:val="112"/>
        </w:trPr>
        <w:tc>
          <w:tcPr>
            <w:tcW w:w="29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160" w:type="dxa"/>
            <w:vAlign w:val="bottom"/>
            <w:tcBorders>
              <w:top w:val="single" w:sz="8" w:color="auto"/>
            </w:tcBorders>
          </w:tcPr>
          <w:p>
            <w:pPr>
              <w:spacing w:after="0" w:line="112" w:lineRule="exact"/>
              <w:rPr>
                <w:sz w:val="20"/>
                <w:szCs w:val="20"/>
                <w:color w:val="auto"/>
              </w:rPr>
            </w:pPr>
            <w:r>
              <w:rPr>
                <w:rFonts w:ascii="Times New Roman" w:cs="Times New Roman" w:eastAsia="Times New Roman" w:hAnsi="Times New Roman"/>
                <w:sz w:val="12"/>
                <w:szCs w:val="12"/>
                <w:color w:val="auto"/>
              </w:rPr>
              <w:t>Thomas C. Priore</w:t>
            </w: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44"/>
        </w:trPr>
        <w:tc>
          <w:tcPr>
            <w:tcW w:w="29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780" w:type="dxa"/>
            <w:vAlign w:val="bottom"/>
            <w:gridSpan w:val="3"/>
          </w:tcPr>
          <w:p>
            <w:pPr>
              <w:spacing w:after="0" w:line="144" w:lineRule="exact"/>
              <w:rPr>
                <w:sz w:val="20"/>
                <w:szCs w:val="20"/>
                <w:color w:val="auto"/>
              </w:rPr>
            </w:pPr>
            <w:r>
              <w:rPr>
                <w:rFonts w:ascii="Times New Roman" w:cs="Times New Roman" w:eastAsia="Times New Roman" w:hAnsi="Times New Roman"/>
                <w:sz w:val="14"/>
                <w:szCs w:val="14"/>
                <w:i w:val="1"/>
                <w:iCs w:val="1"/>
                <w:color w:val="auto"/>
                <w:w w:val="99"/>
              </w:rPr>
              <w:t>President, Chief Executive Officer and Chairman</w:t>
            </w:r>
          </w:p>
        </w:tc>
      </w:tr>
      <w:tr>
        <w:trPr>
          <w:trHeight w:val="186"/>
        </w:trPr>
        <w:tc>
          <w:tcPr>
            <w:tcW w:w="29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260"/>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November 10, 2022</w:t>
            </w:r>
          </w:p>
        </w:tc>
        <w:tc>
          <w:tcPr>
            <w:tcW w:w="2960" w:type="dxa"/>
            <w:vAlign w:val="bottom"/>
          </w:tcPr>
          <w:p>
            <w:pPr>
              <w:spacing w:after="0"/>
              <w:rPr>
                <w:sz w:val="22"/>
                <w:szCs w:val="22"/>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 Timothy M. O'Leary</w:t>
            </w:r>
          </w:p>
        </w:tc>
      </w:tr>
      <w:tr>
        <w:trPr>
          <w:trHeight w:val="112"/>
        </w:trPr>
        <w:tc>
          <w:tcPr>
            <w:tcW w:w="29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340" w:type="dxa"/>
            <w:vAlign w:val="bottom"/>
            <w:tcBorders>
              <w:top w:val="single" w:sz="8" w:color="auto"/>
            </w:tcBorders>
            <w:gridSpan w:val="2"/>
          </w:tcPr>
          <w:p>
            <w:pPr>
              <w:spacing w:after="0" w:line="112" w:lineRule="exact"/>
              <w:rPr>
                <w:sz w:val="20"/>
                <w:szCs w:val="20"/>
                <w:color w:val="auto"/>
              </w:rPr>
            </w:pPr>
            <w:r>
              <w:rPr>
                <w:rFonts w:ascii="Times New Roman" w:cs="Times New Roman" w:eastAsia="Times New Roman" w:hAnsi="Times New Roman"/>
                <w:sz w:val="12"/>
                <w:szCs w:val="12"/>
                <w:color w:val="auto"/>
              </w:rPr>
              <w:t>Tim O'Leary</w:t>
            </w:r>
          </w:p>
        </w:tc>
        <w:tc>
          <w:tcPr>
            <w:tcW w:w="1440" w:type="dxa"/>
            <w:vAlign w:val="bottom"/>
          </w:tcPr>
          <w:p>
            <w:pPr>
              <w:spacing w:after="0"/>
              <w:rPr>
                <w:sz w:val="9"/>
                <w:szCs w:val="9"/>
                <w:color w:val="auto"/>
              </w:rPr>
            </w:pPr>
          </w:p>
        </w:tc>
      </w:tr>
      <w:tr>
        <w:trPr>
          <w:trHeight w:val="144"/>
        </w:trPr>
        <w:tc>
          <w:tcPr>
            <w:tcW w:w="29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780" w:type="dxa"/>
            <w:vAlign w:val="bottom"/>
            <w:gridSpan w:val="3"/>
          </w:tcPr>
          <w:p>
            <w:pPr>
              <w:spacing w:after="0" w:line="144" w:lineRule="exact"/>
              <w:rPr>
                <w:sz w:val="20"/>
                <w:szCs w:val="20"/>
                <w:color w:val="auto"/>
              </w:rPr>
            </w:pPr>
            <w:r>
              <w:rPr>
                <w:rFonts w:ascii="Times New Roman" w:cs="Times New Roman" w:eastAsia="Times New Roman" w:hAnsi="Times New Roman"/>
                <w:sz w:val="14"/>
                <w:szCs w:val="14"/>
                <w:i w:val="1"/>
                <w:iCs w:val="1"/>
                <w:color w:val="auto"/>
              </w:rPr>
              <w:t>Chief Financial Officer</w:t>
            </w:r>
          </w:p>
        </w:tc>
      </w:tr>
      <w:tr>
        <w:trPr>
          <w:trHeight w:val="186"/>
        </w:trPr>
        <w:tc>
          <w:tcPr>
            <w:tcW w:w="29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320"/>
          </w:cols>
          <w:pgMar w:left="300" w:top="125" w:right="1279" w:bottom="1440"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ACT RULE 13a-14(a)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303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Thomas C. Priore, certify that:</w:t>
      </w:r>
    </w:p>
    <w:p>
      <w:pPr>
        <w:spacing w:after="0" w:line="200" w:lineRule="exact"/>
        <w:rPr>
          <w:sz w:val="20"/>
          <w:szCs w:val="20"/>
          <w:color w:val="auto"/>
        </w:rPr>
      </w:pPr>
    </w:p>
    <w:p>
      <w:pPr>
        <w:ind w:left="260" w:hanging="255"/>
        <w:spacing w:after="0"/>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Priority Technology Holdings, Inc.;</w:t>
      </w:r>
    </w:p>
    <w:p>
      <w:pPr>
        <w:spacing w:after="0" w:line="199"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260" w:right="160" w:hanging="255"/>
        <w:spacing w:after="0" w:line="287" w:lineRule="auto"/>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760" w:right="20" w:hanging="246"/>
        <w:spacing w:after="0" w:line="263" w:lineRule="auto"/>
        <w:tabs>
          <w:tab w:leader="none" w:pos="758"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60" w:right="240" w:hanging="246"/>
        <w:spacing w:after="0" w:line="253" w:lineRule="auto"/>
        <w:tabs>
          <w:tab w:leader="none" w:pos="755"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760" w:right="420" w:hanging="246"/>
        <w:spacing w:after="0" w:line="253" w:lineRule="auto"/>
        <w:tabs>
          <w:tab w:leader="none" w:pos="758"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60" w:right="80" w:hanging="246"/>
        <w:spacing w:after="0" w:line="266" w:lineRule="auto"/>
        <w:tabs>
          <w:tab w:leader="none" w:pos="755"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Times New Roman" w:cs="Times New Roman" w:eastAsia="Times New Roman" w:hAnsi="Times New Roman"/>
          <w:sz w:val="14"/>
          <w:szCs w:val="14"/>
          <w:color w:val="auto"/>
        </w:rPr>
      </w:pPr>
    </w:p>
    <w:p>
      <w:pPr>
        <w:ind w:left="260" w:right="40" w:hanging="255"/>
        <w:spacing w:after="0" w:line="287" w:lineRule="auto"/>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760" w:right="120" w:hanging="246"/>
        <w:spacing w:after="0" w:line="263" w:lineRule="auto"/>
        <w:tabs>
          <w:tab w:leader="none" w:pos="758"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246"/>
        <w:spacing w:after="0"/>
        <w:tabs>
          <w:tab w:leader="none" w:pos="7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8" w:lineRule="exact"/>
        <w:rPr>
          <w:sz w:val="20"/>
          <w:szCs w:val="20"/>
          <w:color w:val="auto"/>
        </w:rPr>
      </w:pPr>
    </w:p>
    <w:p>
      <w:pPr>
        <w:ind w:left="980"/>
        <w:spacing w:after="0"/>
        <w:tabs>
          <w:tab w:leader="none" w:pos="6660" w:val="left"/>
        </w:tabs>
        <w:rPr>
          <w:sz w:val="20"/>
          <w:szCs w:val="20"/>
          <w:color w:val="auto"/>
        </w:rPr>
      </w:pPr>
      <w:r>
        <w:rPr>
          <w:rFonts w:ascii="Times New Roman" w:cs="Times New Roman" w:eastAsia="Times New Roman" w:hAnsi="Times New Roman"/>
          <w:sz w:val="14"/>
          <w:szCs w:val="14"/>
          <w:color w:val="auto"/>
        </w:rPr>
        <w:t>November 10, 2022</w:t>
      </w:r>
      <w:r>
        <w:rPr>
          <w:sz w:val="20"/>
          <w:szCs w:val="20"/>
          <w:color w:val="auto"/>
        </w:rPr>
        <w:tab/>
      </w:r>
      <w:r>
        <w:rPr>
          <w:rFonts w:ascii="Times New Roman" w:cs="Times New Roman" w:eastAsia="Times New Roman" w:hAnsi="Times New Roman"/>
          <w:sz w:val="14"/>
          <w:szCs w:val="14"/>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14605</wp:posOffset>
            </wp:positionV>
            <wp:extent cx="373253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3732530" cy="13335"/>
                    </a:xfrm>
                    <a:prstGeom prst="rect">
                      <a:avLst/>
                    </a:prstGeom>
                    <a:noFill/>
                  </pic:spPr>
                </pic:pic>
              </a:graphicData>
            </a:graphic>
          </wp:anchor>
        </w:drawing>
      </w:r>
    </w:p>
    <w:p>
      <w:pPr>
        <w:spacing w:after="0" w:line="21" w:lineRule="exact"/>
        <w:rPr>
          <w:sz w:val="20"/>
          <w:szCs w:val="20"/>
          <w:color w:val="auto"/>
        </w:rPr>
      </w:pPr>
    </w:p>
    <w:p>
      <w:pPr>
        <w:jc w:val="center"/>
        <w:ind w:left="3520"/>
        <w:spacing w:after="0"/>
        <w:rPr>
          <w:sz w:val="20"/>
          <w:szCs w:val="20"/>
          <w:color w:val="auto"/>
        </w:rPr>
      </w:pPr>
      <w:r>
        <w:rPr>
          <w:rFonts w:ascii="Times New Roman" w:cs="Times New Roman" w:eastAsia="Times New Roman" w:hAnsi="Times New Roman"/>
          <w:sz w:val="14"/>
          <w:szCs w:val="14"/>
          <w:color w:val="auto"/>
        </w:rPr>
        <w:t>Thomas C. Priore</w:t>
      </w:r>
    </w:p>
    <w:p>
      <w:pPr>
        <w:spacing w:after="0" w:line="23" w:lineRule="exact"/>
        <w:rPr>
          <w:sz w:val="20"/>
          <w:szCs w:val="20"/>
          <w:color w:val="auto"/>
        </w:rPr>
      </w:pPr>
    </w:p>
    <w:p>
      <w:pPr>
        <w:jc w:val="center"/>
        <w:ind w:left="3520"/>
        <w:spacing w:after="0"/>
        <w:rPr>
          <w:sz w:val="20"/>
          <w:szCs w:val="20"/>
          <w:color w:val="auto"/>
        </w:rPr>
      </w:pPr>
      <w:r>
        <w:rPr>
          <w:rFonts w:ascii="Times New Roman" w:cs="Times New Roman" w:eastAsia="Times New Roman" w:hAnsi="Times New Roman"/>
          <w:sz w:val="14"/>
          <w:szCs w:val="14"/>
          <w:i w:val="1"/>
          <w:iCs w:val="1"/>
          <w:color w:val="auto"/>
        </w:rPr>
        <w:t>Chief Executive Officer and Chairman</w:t>
      </w:r>
    </w:p>
    <w:p>
      <w:pPr>
        <w:spacing w:after="0" w:line="19" w:lineRule="exact"/>
        <w:rPr>
          <w:sz w:val="20"/>
          <w:szCs w:val="20"/>
          <w:color w:val="auto"/>
        </w:rPr>
      </w:pPr>
    </w:p>
    <w:p>
      <w:pPr>
        <w:jc w:val="center"/>
        <w:ind w:left="35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125" w:right="3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ACT RULE 13a-14(a)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303 OF THE SARBANES-OXLEY ACT OF 2002</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Timothy M. O’Leary, certify that:</w:t>
      </w:r>
    </w:p>
    <w:p>
      <w:pPr>
        <w:spacing w:after="0" w:line="200" w:lineRule="exact"/>
        <w:rPr>
          <w:sz w:val="20"/>
          <w:szCs w:val="20"/>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Priority Technology Holdings, Inc.;</w:t>
      </w:r>
    </w:p>
    <w:p>
      <w:pPr>
        <w:spacing w:after="0" w:line="199"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260" w:right="160" w:hanging="255"/>
        <w:spacing w:after="0" w:line="287" w:lineRule="auto"/>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760" w:right="20" w:hanging="246"/>
        <w:spacing w:after="0" w:line="263" w:lineRule="auto"/>
        <w:tabs>
          <w:tab w:leader="none" w:pos="758"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60" w:right="240" w:hanging="246"/>
        <w:spacing w:after="0" w:line="253" w:lineRule="auto"/>
        <w:tabs>
          <w:tab w:leader="none" w:pos="755"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760" w:right="420" w:hanging="246"/>
        <w:spacing w:after="0" w:line="253" w:lineRule="auto"/>
        <w:tabs>
          <w:tab w:leader="none" w:pos="758"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60" w:right="80" w:hanging="246"/>
        <w:spacing w:after="0" w:line="266" w:lineRule="auto"/>
        <w:tabs>
          <w:tab w:leader="none" w:pos="755"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Times New Roman" w:cs="Times New Roman" w:eastAsia="Times New Roman" w:hAnsi="Times New Roman"/>
          <w:sz w:val="14"/>
          <w:szCs w:val="14"/>
          <w:color w:val="auto"/>
        </w:rPr>
      </w:pPr>
    </w:p>
    <w:p>
      <w:pPr>
        <w:ind w:left="260" w:right="40" w:hanging="255"/>
        <w:spacing w:after="0" w:line="287" w:lineRule="auto"/>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760" w:right="120" w:hanging="246"/>
        <w:spacing w:after="0" w:line="263" w:lineRule="auto"/>
        <w:tabs>
          <w:tab w:leader="none" w:pos="758"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hanging="246"/>
        <w:spacing w:after="0"/>
        <w:tabs>
          <w:tab w:leader="none" w:pos="76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02" w:lineRule="exact"/>
        <w:rPr>
          <w:sz w:val="20"/>
          <w:szCs w:val="20"/>
          <w:color w:val="auto"/>
        </w:rPr>
      </w:pPr>
    </w:p>
    <w:p>
      <w:pPr>
        <w:ind w:left="100"/>
        <w:spacing w:after="0"/>
        <w:tabs>
          <w:tab w:leader="none" w:pos="7920" w:val="left"/>
        </w:tabs>
        <w:rPr>
          <w:sz w:val="20"/>
          <w:szCs w:val="20"/>
          <w:color w:val="auto"/>
        </w:rPr>
      </w:pPr>
      <w:r>
        <w:rPr>
          <w:rFonts w:ascii="Times New Roman" w:cs="Times New Roman" w:eastAsia="Times New Roman" w:hAnsi="Times New Roman"/>
          <w:sz w:val="14"/>
          <w:szCs w:val="14"/>
          <w:color w:val="auto"/>
        </w:rPr>
        <w:t>November 10, 2022</w:t>
      </w:r>
      <w:r>
        <w:rPr>
          <w:sz w:val="20"/>
          <w:szCs w:val="20"/>
          <w:color w:val="auto"/>
        </w:rPr>
        <w:tab/>
      </w:r>
      <w:r>
        <w:rPr>
          <w:rFonts w:ascii="Times New Roman" w:cs="Times New Roman" w:eastAsia="Times New Roman" w:hAnsi="Times New Roman"/>
          <w:sz w:val="14"/>
          <w:szCs w:val="14"/>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14605</wp:posOffset>
            </wp:positionV>
            <wp:extent cx="307213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3072130" cy="13335"/>
                    </a:xfrm>
                    <a:prstGeom prst="rect">
                      <a:avLst/>
                    </a:prstGeom>
                    <a:noFill/>
                  </pic:spPr>
                </pic:pic>
              </a:graphicData>
            </a:graphic>
          </wp:anchor>
        </w:drawing>
      </w:r>
    </w:p>
    <w:p>
      <w:pPr>
        <w:spacing w:after="0" w:line="21"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color w:val="auto"/>
        </w:rPr>
        <w:t>Timothy M. O’Leary</w:t>
      </w:r>
    </w:p>
    <w:p>
      <w:pPr>
        <w:spacing w:after="0" w:line="23"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19"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280"/>
          </w:cols>
          <w:pgMar w:left="300" w:top="125" w:right="31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4"/>
          <w:szCs w:val="14"/>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line="271" w:lineRule="auto"/>
        <w:rPr>
          <w:sz w:val="20"/>
          <w:szCs w:val="20"/>
          <w:color w:val="auto"/>
        </w:rPr>
      </w:pPr>
      <w:r>
        <w:rPr>
          <w:rFonts w:ascii="Times New Roman" w:cs="Times New Roman" w:eastAsia="Times New Roman" w:hAnsi="Times New Roman"/>
          <w:sz w:val="14"/>
          <w:szCs w:val="14"/>
          <w:b w:val="1"/>
          <w:bCs w:val="1"/>
          <w:color w:val="auto"/>
        </w:rPr>
        <w:t>CERTIFICATION OF PRINCIPAL EXECUTIVE OFFICER AND PRINCIPAL FINANCIAL OFFICER PURSUANT TO 18 U.S.C. SECTION 1350, AS ADOPTED PURSUANT TO SECTION 906 OF THE SARBANES-OXLEY ACT OF 2002</w:t>
      </w:r>
    </w:p>
    <w:p>
      <w:pPr>
        <w:spacing w:after="0" w:line="3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Priority Technology Holdings, Inc. (the "Company") for the quarter ended September 30, 2022 as filed with the Securities and Exchange Commission (the "Report"), each of the undersigned, on the dates indicated below, hereby certifies pursuant to 18 U.S.C. Section 1350, as adopted pursuant to Section 906 of the Sarbanes-Oxley Act of 2002, that:</w:t>
      </w:r>
    </w:p>
    <w:p>
      <w:pPr>
        <w:spacing w:after="0" w:line="157"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Act of 1934; and</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19" w:lineRule="exact"/>
        <w:rPr>
          <w:sz w:val="20"/>
          <w:szCs w:val="20"/>
          <w:color w:val="auto"/>
        </w:rPr>
      </w:pPr>
    </w:p>
    <w:p>
      <w:pPr>
        <w:ind w:left="60"/>
        <w:spacing w:after="0"/>
        <w:tabs>
          <w:tab w:leader="none" w:pos="4680" w:val="left"/>
        </w:tabs>
        <w:rPr>
          <w:sz w:val="20"/>
          <w:szCs w:val="20"/>
          <w:color w:val="auto"/>
        </w:rPr>
      </w:pPr>
      <w:r>
        <w:rPr>
          <w:rFonts w:ascii="Times New Roman" w:cs="Times New Roman" w:eastAsia="Times New Roman" w:hAnsi="Times New Roman"/>
          <w:sz w:val="14"/>
          <w:szCs w:val="14"/>
          <w:color w:val="auto"/>
        </w:rPr>
        <w:t>November 10, 2022</w:t>
      </w:r>
      <w:r>
        <w:rPr>
          <w:sz w:val="20"/>
          <w:szCs w:val="20"/>
          <w:color w:val="auto"/>
        </w:rPr>
        <w:tab/>
      </w:r>
      <w:r>
        <w:rPr>
          <w:rFonts w:ascii="Times New Roman" w:cs="Times New Roman" w:eastAsia="Times New Roman" w:hAnsi="Times New Roman"/>
          <w:sz w:val="14"/>
          <w:szCs w:val="14"/>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14605</wp:posOffset>
            </wp:positionV>
            <wp:extent cx="4210685"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4210685" cy="13335"/>
                    </a:xfrm>
                    <a:prstGeom prst="rect">
                      <a:avLst/>
                    </a:prstGeom>
                    <a:noFill/>
                  </pic:spPr>
                </pic:pic>
              </a:graphicData>
            </a:graphic>
          </wp:anchor>
        </w:drawing>
      </w:r>
    </w:p>
    <w:p>
      <w:pPr>
        <w:spacing w:after="0" w:line="2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Thomas C. Priore</w:t>
      </w:r>
    </w:p>
    <w:p>
      <w:pPr>
        <w:spacing w:after="0" w:line="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i w:val="1"/>
          <w:iCs w:val="1"/>
          <w:color w:val="auto"/>
        </w:rPr>
        <w:t>Chief Executive Officer and Chairman</w:t>
      </w:r>
    </w:p>
    <w:p>
      <w:pPr>
        <w:spacing w:after="0" w:line="1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tabs>
          <w:tab w:leader="none" w:pos="4680" w:val="left"/>
        </w:tabs>
        <w:rPr>
          <w:sz w:val="20"/>
          <w:szCs w:val="20"/>
          <w:color w:val="auto"/>
        </w:rPr>
      </w:pPr>
      <w:r>
        <w:rPr>
          <w:rFonts w:ascii="Times New Roman" w:cs="Times New Roman" w:eastAsia="Times New Roman" w:hAnsi="Times New Roman"/>
          <w:sz w:val="14"/>
          <w:szCs w:val="14"/>
          <w:color w:val="auto"/>
        </w:rPr>
        <w:t>November 10, 2022</w:t>
      </w:r>
      <w:r>
        <w:rPr>
          <w:sz w:val="20"/>
          <w:szCs w:val="20"/>
          <w:color w:val="auto"/>
        </w:rPr>
        <w:tab/>
      </w:r>
      <w:r>
        <w:rPr>
          <w:rFonts w:ascii="Times New Roman" w:cs="Times New Roman" w:eastAsia="Times New Roman" w:hAnsi="Times New Roman"/>
          <w:sz w:val="14"/>
          <w:szCs w:val="14"/>
          <w:color w:val="auto"/>
        </w:rPr>
        <w:t>/s/ TIMOTHY M.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14605</wp:posOffset>
            </wp:positionV>
            <wp:extent cx="4210685" cy="1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4210685" cy="13335"/>
                    </a:xfrm>
                    <a:prstGeom prst="rect">
                      <a:avLst/>
                    </a:prstGeom>
                    <a:noFill/>
                  </pic:spPr>
                </pic:pic>
              </a:graphicData>
            </a:graphic>
          </wp:anchor>
        </w:drawing>
      </w:r>
    </w:p>
    <w:p>
      <w:pPr>
        <w:spacing w:after="0" w:line="2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Timothy M. O’Leary</w:t>
      </w:r>
    </w:p>
    <w:p>
      <w:pPr>
        <w:spacing w:after="0" w:line="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1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15"/>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85" Type="http://schemas.openxmlformats.org/officeDocument/2006/relationships/image" Target="media/image57.png"/><Relationship Id="rId92" Type="http://schemas.openxmlformats.org/officeDocument/2006/relationships/image" Target="media/image58.png"/><Relationship Id="rId93" Type="http://schemas.openxmlformats.org/officeDocument/2006/relationships/image" Target="media/image59.png"/><Relationship Id="rId94" Type="http://schemas.openxmlformats.org/officeDocument/2006/relationships/image" Target="media/image60.png"/><Relationship Id="rId95" Type="http://schemas.openxmlformats.org/officeDocument/2006/relationships/image" Target="media/image61.png"/><Relationship Id="rId96" Type="http://schemas.openxmlformats.org/officeDocument/2006/relationships/image" Target="media/image62.png"/><Relationship Id="rId97" Type="http://schemas.openxmlformats.org/officeDocument/2006/relationships/image" Target="media/image63.png"/><Relationship Id="rId98" Type="http://schemas.openxmlformats.org/officeDocument/2006/relationships/image" Target="media/image64.png"/><Relationship Id="rId99" Type="http://schemas.openxmlformats.org/officeDocument/2006/relationships/image" Target="media/image65.png"/><Relationship Id="rId100" Type="http://schemas.openxmlformats.org/officeDocument/2006/relationships/image" Target="media/image66.png"/><Relationship Id="rId101" Type="http://schemas.openxmlformats.org/officeDocument/2006/relationships/image" Target="media/image67.png"/><Relationship Id="rId102" Type="http://schemas.openxmlformats.org/officeDocument/2006/relationships/image" Target="media/image68.png"/><Relationship Id="rId103"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64" Type="http://schemas.openxmlformats.org/officeDocument/2006/relationships/hyperlink" Target="https://www.sec.gov/Archives/edgar/data/1653558/000161577418006226/s111183_defm14a.htm" TargetMode="External"/><Relationship Id="rId65" Type="http://schemas.openxmlformats.org/officeDocument/2006/relationships/hyperlink" Target="https://www.sec.gov/Archives/edgar/data/1653558/000165355821000031/projectwarriorfinxera-merg.htm" TargetMode="External"/><Relationship Id="rId66" Type="http://schemas.openxmlformats.org/officeDocument/2006/relationships/hyperlink" Target="https://www.sec.gov/Archives/edgar/data/1653558/000165355821000060/annex1certificateofamendme.htm" TargetMode="External"/><Relationship Id="rId67" Type="http://schemas.openxmlformats.org/officeDocument/2006/relationships/hyperlink" Target="https://www.sec.gov/Archives/edgar/data/0001653558/000165355821000031/projectwarriorfinxera-merg.htm" TargetMode="External"/><Relationship Id="rId68" Type="http://schemas.openxmlformats.org/officeDocument/2006/relationships/hyperlink" Target="http://www.sec.gov/Archives/edgar/data/1653558/000161577418007231/s111606_ex3-1.htm" TargetMode="External"/><Relationship Id="rId69" Type="http://schemas.openxmlformats.org/officeDocument/2006/relationships/hyperlink" Target="http://www.sec.gov/Archives/edgar/data/1653558/000161577418007231/s111606_ex3-2.htm" TargetMode="External"/><Relationship Id="rId70" Type="http://schemas.openxmlformats.org/officeDocument/2006/relationships/hyperlink" Target="https://www.sec.gov/Archives/edgar/data/0001653558/000165355821000065/exhibit31-priorityxcertifi.htm" TargetMode="External"/><Relationship Id="rId71" Type="http://schemas.openxmlformats.org/officeDocument/2006/relationships/hyperlink" Target="http://www.sec.gov/Archives/edgar/data/1653558/000161577416007233/s104127_ex4-1.htm" TargetMode="External"/><Relationship Id="rId72" Type="http://schemas.openxmlformats.org/officeDocument/2006/relationships/hyperlink" Target="http://www.sec.gov/Archives/edgar/data/1653558/000161577418007231/s111606_ex10-1.htm" TargetMode="External"/><Relationship Id="rId73" Type="http://schemas.openxmlformats.org/officeDocument/2006/relationships/hyperlink" Target="http://www.sec.gov/Archives/edgar/data/1653558/000161577418007231/s111606_ex10-2.htm" TargetMode="External"/><Relationship Id="rId74" Type="http://schemas.openxmlformats.org/officeDocument/2006/relationships/hyperlink" Target="https://www.sec.gov/Archives/edgar/data/0001653558/000165355821000101/ex1021prioritytechnologyq2.htm" TargetMode="External"/><Relationship Id="rId75" Type="http://schemas.openxmlformats.org/officeDocument/2006/relationships/hyperlink" Target="https://www.sec.gov/Archives/edgar/data/1653558/000165355822000028/prioritytechnology-ex1031x.htm" TargetMode="External"/><Relationship Id="rId76" Type="http://schemas.openxmlformats.org/officeDocument/2006/relationships/hyperlink" Target="https://www.sec.gov/Archives/edgar/data/0001653558/000165355821000065/exhibit103-prioritypayment.htm" TargetMode="External"/><Relationship Id="rId77" Type="http://schemas.openxmlformats.org/officeDocument/2006/relationships/hyperlink" Target="http://www.sec.gov/Archives/edgar/data/1653558/000161577418014981/s114881_ex10-6.htm" TargetMode="External"/><Relationship Id="rId78" Type="http://schemas.openxmlformats.org/officeDocument/2006/relationships/hyperlink" Target="http://www.sec.gov/Archives/edgar/data/1653558/000161577418014981/s114881_ex10-7.htm" TargetMode="External"/><Relationship Id="rId79" Type="http://schemas.openxmlformats.org/officeDocument/2006/relationships/hyperlink" Target="http://www.sec.gov/Archives/edgar/data/1653558/000161577418014966/s114910_ex10-1.htm" TargetMode="External"/><Relationship Id="rId80" Type="http://schemas.openxmlformats.org/officeDocument/2006/relationships/hyperlink" Target="http://www.sec.gov/Archives/edgar/data/1653558/000162828019003666/prioritytechnology-ex1013.htm" TargetMode="External"/><Relationship Id="rId81" Type="http://schemas.openxmlformats.org/officeDocument/2006/relationships/hyperlink" Target="http://www.sec.gov/Archives/edgar/data/1653558/000162828019003666/prioritytechnology-ex1019.htm" TargetMode="External"/><Relationship Id="rId82" Type="http://schemas.openxmlformats.org/officeDocument/2006/relationships/hyperlink" Target="https://www.sec.gov/Archives/edgar/data/1653558/000165355820000148/assetpurchaseagreement.htm" TargetMode="External"/><Relationship Id="rId83" Type="http://schemas.openxmlformats.org/officeDocument/2006/relationships/hyperlink" Target="https://www.sec.gov/Archives/edgar/data/0001653558/000165355821000031/exhibith-supportagreemente.htm" TargetMode="External"/><Relationship Id="rId84" Type="http://schemas.openxmlformats.org/officeDocument/2006/relationships/hyperlink" Target="https://www.sec.gov/Archives/edgar/data/0001653558/000165355821000031/priorityprojectwarrior-tru.htm" TargetMode="External"/><Relationship Id="rId86" Type="http://schemas.openxmlformats.org/officeDocument/2006/relationships/hyperlink" Target="https://www.sec.gov/Archives/edgar/data/0001653558/000165355821000031/priority-arespreferredcomm.htm" TargetMode="External"/><Relationship Id="rId87" Type="http://schemas.openxmlformats.org/officeDocument/2006/relationships/hyperlink" Target="https://www.sec.gov/Archives/edgar/data/0001653558/000165355821000065/exhibit101-priorityxpurcha.htm" TargetMode="External"/><Relationship Id="rId88" Type="http://schemas.openxmlformats.org/officeDocument/2006/relationships/hyperlink" Target="https://www.sec.gov/Archives/edgar/data/0001653558/000165355821000065/exhibit102-priorityxregist.htm" TargetMode="External"/><Relationship Id="rId89" Type="http://schemas.openxmlformats.org/officeDocument/2006/relationships/hyperlink" Target="https://www.sec.gov/Archives/edgar/data/0001653558/000165355821000114/prioritypayments-secondame.htm" TargetMode="External"/><Relationship Id="rId90" Type="http://schemas.openxmlformats.org/officeDocument/2006/relationships/hyperlink" Target="https://www.sec.gov/Archives/edgar/data/1653558/000165355822000094/ex1023formrestrictedstocku.htm" TargetMode="External"/><Relationship Id="rId91" Type="http://schemas.openxmlformats.org/officeDocument/2006/relationships/hyperlink" Target="https://www.sec.gov/Archives/edgar/data/1653558/000165355822000028/prioritytechnology-ex211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2022-11-10T07:37:20Z</dcterms:created>
  <dcterms:modified xsi:type="dcterms:W3CDTF">2022-11-10T07:37:20Z</dcterms:modified>
</cp:coreProperties>
</file>