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560" w:right="2840" w:hanging="1730"/>
        <w:spacing w:after="0" w:line="320" w:lineRule="auto"/>
        <w:tabs>
          <w:tab w:leader="none" w:pos="295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March 31, 2026</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116205</wp:posOffset>
            </wp:positionV>
            <wp:extent cx="1697355" cy="537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right="10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4"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May 4, 2026, the number of the registrant's Common Stock outstanding was 82,355,170.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4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585"/>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4840" w:type="dxa"/>
            <w:vAlign w:val="bottom"/>
            <w:gridSpan w:val="30"/>
          </w:tcPr>
          <w:p>
            <w:pPr>
              <w:spacing w:after="0" w:line="124" w:lineRule="exact"/>
              <w:rPr>
                <w:sz w:val="20"/>
                <w:szCs w:val="20"/>
                <w:color w:val="auto"/>
              </w:rPr>
            </w:pPr>
            <w:r>
              <w:rPr>
                <w:rFonts w:ascii="Times New Roman" w:cs="Times New Roman" w:eastAsia="Times New Roman" w:hAnsi="Times New Roman"/>
                <w:sz w:val="11"/>
                <w:szCs w:val="11"/>
                <w:color w:val="0000FF"/>
              </w:rPr>
              <w:t>Commonly Used or Defined Terms</w:t>
            </w:r>
          </w:p>
        </w:tc>
        <w:tc>
          <w:tcPr>
            <w:tcW w:w="6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740" w:type="dxa"/>
            <w:vAlign w:val="bottom"/>
            <w:tcBorders>
              <w:bottom w:val="single" w:sz="8" w:color="0000FF"/>
            </w:tcBorders>
            <w:gridSpan w:val="19"/>
          </w:tcPr>
          <w:p>
            <w:pPr>
              <w:spacing w:after="0" w:line="124" w:lineRule="exact"/>
              <w:rPr>
                <w:sz w:val="20"/>
                <w:szCs w:val="20"/>
                <w:color w:val="auto"/>
              </w:rPr>
            </w:pPr>
            <w:r>
              <w:rPr>
                <w:rFonts w:ascii="Times New Roman" w:cs="Times New Roman" w:eastAsia="Times New Roman" w:hAnsi="Times New Roman"/>
                <w:sz w:val="11"/>
                <w:szCs w:val="11"/>
                <w:color w:val="0000FF"/>
                <w:w w:val="96"/>
              </w:rPr>
              <w:t>PART I. FINANCIAL INFORMATION</w:t>
            </w: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1"/>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3520" w:type="dxa"/>
            <w:vAlign w:val="bottom"/>
            <w:gridSpan w:val="18"/>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680" w:type="dxa"/>
            <w:vAlign w:val="bottom"/>
            <w:tcBorders>
              <w:bottom w:val="single" w:sz="8" w:color="0000FF"/>
            </w:tcBorders>
            <w:gridSpan w:val="20"/>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Balance Sheets</w:t>
            </w:r>
          </w:p>
        </w:tc>
        <w:tc>
          <w:tcPr>
            <w:tcW w:w="3020" w:type="dxa"/>
            <w:vAlign w:val="bottom"/>
            <w:gridSpan w:val="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Income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21"/>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7"/>
          </w:tcPr>
          <w:p>
            <w:pPr>
              <w:spacing w:after="0"/>
              <w:rPr>
                <w:sz w:val="10"/>
                <w:szCs w:val="10"/>
                <w:color w:val="auto"/>
              </w:rPr>
            </w:pPr>
          </w:p>
        </w:tc>
        <w:tc>
          <w:tcPr>
            <w:tcW w:w="380" w:type="dxa"/>
            <w:vAlign w:val="bottom"/>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4</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22"/>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2080" w:type="dxa"/>
            <w:vAlign w:val="bottom"/>
            <w:gridSpan w:val="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6</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4600" w:type="dxa"/>
            <w:vAlign w:val="bottom"/>
            <w:gridSpan w:val="28"/>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top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tcBorders>
              <w:top w:val="single" w:sz="8" w:color="0000FF"/>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20" w:type="dxa"/>
            <w:vAlign w:val="bottom"/>
            <w:tcBorders>
              <w:top w:val="single" w:sz="8" w:color="0000FF"/>
            </w:tcBorders>
            <w:gridSpan w:val="2"/>
          </w:tcPr>
          <w:p>
            <w:pPr>
              <w:spacing w:after="0"/>
              <w:rPr>
                <w:sz w:val="10"/>
                <w:szCs w:val="10"/>
                <w:color w:val="auto"/>
              </w:rPr>
            </w:pPr>
          </w:p>
        </w:tc>
        <w:tc>
          <w:tcPr>
            <w:tcW w:w="4040" w:type="dxa"/>
            <w:vAlign w:val="bottom"/>
            <w:gridSpan w:val="2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4600" w:type="dxa"/>
            <w:vAlign w:val="bottom"/>
            <w:gridSpan w:val="28"/>
          </w:tcPr>
          <w:p>
            <w:pPr>
              <w:ind w:left="20"/>
              <w:spacing w:after="0" w:line="124" w:lineRule="exact"/>
              <w:rPr>
                <w:sz w:val="20"/>
                <w:szCs w:val="20"/>
                <w:color w:val="auto"/>
              </w:rPr>
            </w:pPr>
            <w:r>
              <w:rPr>
                <w:rFonts w:ascii="Times New Roman" w:cs="Times New Roman" w:eastAsia="Times New Roman" w:hAnsi="Times New Roman"/>
                <w:sz w:val="11"/>
                <w:szCs w:val="11"/>
                <w:color w:val="0000FF"/>
              </w:rPr>
              <w:t>Settlement Assets and Obligations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13</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0"/>
              </w:rPr>
              <w:t>Notes Receivable</w:t>
            </w:r>
          </w:p>
        </w:tc>
        <w:tc>
          <w:tcPr>
            <w:tcW w:w="740" w:type="dxa"/>
            <w:vAlign w:val="bottom"/>
            <w:gridSpan w:val="11"/>
          </w:tcPr>
          <w:p>
            <w:pPr>
              <w:spacing w:after="0"/>
              <w:rPr>
                <w:sz w:val="10"/>
                <w:szCs w:val="10"/>
                <w:color w:val="auto"/>
              </w:rPr>
            </w:pP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4600" w:type="dxa"/>
            <w:vAlign w:val="bottom"/>
            <w:gridSpan w:val="28"/>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1500" w:type="dxa"/>
            <w:vAlign w:val="bottom"/>
            <w:gridSpan w:val="17"/>
          </w:tcPr>
          <w:p>
            <w:pPr>
              <w:ind w:left="20"/>
              <w:spacing w:after="0" w:line="124" w:lineRule="exact"/>
              <w:rPr>
                <w:sz w:val="20"/>
                <w:szCs w:val="20"/>
                <w:color w:val="auto"/>
              </w:rPr>
            </w:pPr>
            <w:r>
              <w:rPr>
                <w:rFonts w:ascii="Times New Roman" w:cs="Times New Roman" w:eastAsia="Times New Roman" w:hAnsi="Times New Roman"/>
                <w:sz w:val="11"/>
                <w:szCs w:val="11"/>
                <w:color w:val="0000FF"/>
              </w:rPr>
              <w:t>Goodwill and Intangible Assets</w:t>
            </w: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16</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2"/>
              </w:rPr>
              <w:t>Debt Obligations</w:t>
            </w:r>
          </w:p>
        </w:tc>
        <w:tc>
          <w:tcPr>
            <w:tcW w:w="740" w:type="dxa"/>
            <w:vAlign w:val="bottom"/>
            <w:gridSpan w:val="11"/>
          </w:tcPr>
          <w:p>
            <w:pPr>
              <w:spacing w:after="0"/>
              <w:rPr>
                <w:sz w:val="10"/>
                <w:szCs w:val="10"/>
                <w:color w:val="auto"/>
              </w:rPr>
            </w:pP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18</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62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Income Taxes</w:t>
            </w:r>
          </w:p>
        </w:tc>
        <w:tc>
          <w:tcPr>
            <w:tcW w:w="140" w:type="dxa"/>
            <w:vAlign w:val="bottom"/>
          </w:tcPr>
          <w:p>
            <w:pPr>
              <w:spacing w:after="0"/>
              <w:rPr>
                <w:sz w:val="10"/>
                <w:szCs w:val="10"/>
                <w:color w:val="auto"/>
              </w:rPr>
            </w:pPr>
          </w:p>
        </w:tc>
        <w:tc>
          <w:tcPr>
            <w:tcW w:w="3840" w:type="dxa"/>
            <w:vAlign w:val="bottom"/>
            <w:gridSpan w:val="2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3"/>
              </w:rPr>
              <w:t>10. Stockholders' Deficit</w:t>
            </w:r>
          </w:p>
        </w:tc>
        <w:tc>
          <w:tcPr>
            <w:tcW w:w="364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6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8"/>
              </w:rPr>
              <w:t>11. Stock-based Compensation</w:t>
            </w:r>
          </w:p>
        </w:tc>
        <w:tc>
          <w:tcPr>
            <w:tcW w:w="3340" w:type="dxa"/>
            <w:vAlign w:val="bottom"/>
            <w:gridSpan w:val="1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9"/>
          </w:tcPr>
          <w:p>
            <w:pPr>
              <w:spacing w:after="0" w:line="124" w:lineRule="exact"/>
              <w:rPr>
                <w:sz w:val="20"/>
                <w:szCs w:val="20"/>
                <w:color w:val="auto"/>
              </w:rPr>
            </w:pPr>
            <w:r>
              <w:rPr>
                <w:rFonts w:ascii="Times New Roman" w:cs="Times New Roman" w:eastAsia="Times New Roman" w:hAnsi="Times New Roman"/>
                <w:sz w:val="11"/>
                <w:szCs w:val="11"/>
                <w:color w:val="0000FF"/>
              </w:rPr>
              <w:t>12. Commitments and Contingencies</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13. Fair Value</w:t>
            </w:r>
          </w:p>
        </w:tc>
        <w:tc>
          <w:tcPr>
            <w:tcW w:w="1040" w:type="dxa"/>
            <w:vAlign w:val="bottom"/>
            <w:gridSpan w:val="15"/>
          </w:tcPr>
          <w:p>
            <w:pPr>
              <w:spacing w:after="0"/>
              <w:rPr>
                <w:sz w:val="10"/>
                <w:szCs w:val="10"/>
                <w:color w:val="auto"/>
              </w:rPr>
            </w:pP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2"/>
              </w:rPr>
              <w:t>14. Segment Information</w:t>
            </w:r>
          </w:p>
        </w:tc>
        <w:tc>
          <w:tcPr>
            <w:tcW w:w="364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9"/>
          </w:tcPr>
          <w:p>
            <w:pPr>
              <w:spacing w:after="0" w:line="124" w:lineRule="exact"/>
              <w:rPr>
                <w:sz w:val="20"/>
                <w:szCs w:val="20"/>
                <w:color w:val="auto"/>
              </w:rPr>
            </w:pPr>
            <w:r>
              <w:rPr>
                <w:rFonts w:ascii="Times New Roman" w:cs="Times New Roman" w:eastAsia="Times New Roman" w:hAnsi="Times New Roman"/>
                <w:sz w:val="11"/>
                <w:szCs w:val="11"/>
                <w:color w:val="0000FF"/>
              </w:rPr>
              <w:t>15. Earnings per Common Share</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9"/>
          </w:tcPr>
          <w:p>
            <w:pPr>
              <w:spacing w:after="0" w:line="124" w:lineRule="exact"/>
              <w:rPr>
                <w:sz w:val="20"/>
                <w:szCs w:val="20"/>
                <w:color w:val="auto"/>
              </w:rPr>
            </w:pPr>
            <w:r>
              <w:rPr>
                <w:rFonts w:ascii="Times New Roman" w:cs="Times New Roman" w:eastAsia="Times New Roman" w:hAnsi="Times New Roman"/>
                <w:sz w:val="11"/>
                <w:szCs w:val="11"/>
                <w:color w:val="0000FF"/>
              </w:rPr>
              <w:t>16. Subsequent Events</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Item 2. Management's Discussion and Analysis of Financial Condition and Results of Operations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60" w:type="dxa"/>
            <w:vAlign w:val="bottom"/>
            <w:gridSpan w:val="24"/>
          </w:tcPr>
          <w:p>
            <w:pPr>
              <w:spacing w:after="0" w:line="124" w:lineRule="exact"/>
              <w:rPr>
                <w:sz w:val="20"/>
                <w:szCs w:val="20"/>
                <w:color w:val="auto"/>
              </w:rPr>
            </w:pPr>
            <w:r>
              <w:rPr>
                <w:rFonts w:ascii="Times New Roman" w:cs="Times New Roman" w:eastAsia="Times New Roman" w:hAnsi="Times New Roman"/>
                <w:sz w:val="11"/>
                <w:szCs w:val="11"/>
                <w:color w:val="0000FF"/>
                <w:w w:val="95"/>
              </w:rPr>
              <w:t>Item 3. Qualitative and Quantitative Disclosures about Market Risk</w:t>
            </w: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35</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2"/>
          </w:tcPr>
          <w:p>
            <w:pPr>
              <w:spacing w:after="0" w:line="124" w:lineRule="exact"/>
              <w:rPr>
                <w:sz w:val="20"/>
                <w:szCs w:val="20"/>
                <w:color w:val="auto"/>
              </w:rPr>
            </w:pPr>
            <w:r>
              <w:rPr>
                <w:rFonts w:ascii="Times New Roman" w:cs="Times New Roman" w:eastAsia="Times New Roman" w:hAnsi="Times New Roman"/>
                <w:sz w:val="11"/>
                <w:szCs w:val="11"/>
                <w:color w:val="0000FF"/>
                <w:w w:val="92"/>
              </w:rPr>
              <w:t>Item 4. Controls and Procedures</w:t>
            </w:r>
          </w:p>
        </w:tc>
        <w:tc>
          <w:tcPr>
            <w:tcW w:w="1520" w:type="dxa"/>
            <w:vAlign w:val="bottom"/>
            <w:gridSpan w:val="12"/>
          </w:tcPr>
          <w:p>
            <w:pPr>
              <w:spacing w:after="0"/>
              <w:rPr>
                <w:sz w:val="10"/>
                <w:szCs w:val="10"/>
                <w:color w:val="auto"/>
              </w:rPr>
            </w:pP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35</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840" w:type="dxa"/>
            <w:vAlign w:val="bottom"/>
            <w:gridSpan w:val="30"/>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8"/>
              </w:rPr>
              <w:t>Item 1. Legal Proceedings</w:t>
            </w:r>
          </w:p>
        </w:tc>
        <w:tc>
          <w:tcPr>
            <w:tcW w:w="340" w:type="dxa"/>
            <w:vAlign w:val="bottom"/>
            <w:gridSpan w:val="5"/>
          </w:tcPr>
          <w:p>
            <w:pPr>
              <w:spacing w:after="0"/>
              <w:rPr>
                <w:sz w:val="10"/>
                <w:szCs w:val="10"/>
                <w:color w:val="auto"/>
              </w:rPr>
            </w:pPr>
          </w:p>
        </w:tc>
        <w:tc>
          <w:tcPr>
            <w:tcW w:w="330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8"/>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gridSpan w:val="2"/>
          </w:tcPr>
          <w:p>
            <w:pPr>
              <w:spacing w:after="0"/>
              <w:rPr>
                <w:sz w:val="10"/>
                <w:szCs w:val="10"/>
                <w:color w:val="auto"/>
              </w:rPr>
            </w:pPr>
          </w:p>
        </w:tc>
        <w:tc>
          <w:tcPr>
            <w:tcW w:w="364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5"/>
          </w:tcPr>
          <w:p>
            <w:pPr>
              <w:spacing w:after="0" w:line="124" w:lineRule="exact"/>
              <w:rPr>
                <w:sz w:val="20"/>
                <w:szCs w:val="20"/>
                <w:color w:val="auto"/>
              </w:rPr>
            </w:pPr>
            <w:r>
              <w:rPr>
                <w:rFonts w:ascii="Times New Roman" w:cs="Times New Roman" w:eastAsia="Times New Roman" w:hAnsi="Times New Roman"/>
                <w:sz w:val="11"/>
                <w:szCs w:val="11"/>
                <w:color w:val="0000FF"/>
                <w:w w:val="95"/>
              </w:rPr>
              <w:t>Item 2. Unregistered Sales of Equity Securities and Use of Proceeds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7"/>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5"/>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7"/>
            <w:shd w:val="clear" w:color="auto" w:fill="0000FF"/>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9"/>
          </w:tcPr>
          <w:p>
            <w:pPr>
              <w:spacing w:after="0" w:line="124" w:lineRule="exact"/>
              <w:rPr>
                <w:sz w:val="20"/>
                <w:szCs w:val="20"/>
                <w:color w:val="auto"/>
              </w:rPr>
            </w:pPr>
            <w:r>
              <w:rPr>
                <w:rFonts w:ascii="Times New Roman" w:cs="Times New Roman" w:eastAsia="Times New Roman" w:hAnsi="Times New Roman"/>
                <w:sz w:val="11"/>
                <w:szCs w:val="11"/>
                <w:color w:val="0000FF"/>
              </w:rPr>
              <w:t>Item 4. Mine Safety Disclosures</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3640" w:type="dxa"/>
            <w:vAlign w:val="bottom"/>
            <w:tcBorders>
              <w:left w:val="single" w:sz="8" w:color="0000FF"/>
            </w:tcBorders>
            <w:gridSpan w:val="19"/>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364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3640" w:type="dxa"/>
            <w:vAlign w:val="bottom"/>
            <w:gridSpan w:val="19"/>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364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80" w:type="dxa"/>
            <w:vAlign w:val="bottom"/>
            <w:gridSpan w:val="25"/>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4380" w:type="dxa"/>
            <w:vAlign w:val="bottom"/>
            <w:gridSpan w:val="27"/>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39</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 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2021 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Share Repurchase Program</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ASU</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B2C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CFO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Credit 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FBO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ISV</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MTL</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Money Transmission Licenses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Residual Finance credit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Agreement with VP Capital, L.P.</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Revolving credit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$100.0 million line issued under the 2024 Credit Agreement</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SOFR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Secured Overnight Financing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SOX</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Sarbanes–Oxley Act of 2002</w:t>
            </w:r>
          </w:p>
        </w:tc>
      </w:tr>
      <w:tr>
        <w:trPr>
          <w:trHeight w:val="155"/>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Term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Term loan facility issued under the 2024 Credit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52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728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2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92,152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77,192</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16,457</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$6,217 and $6,297, respectively</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88,547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91,300</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32,145</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w:t>
            </w:r>
          </w:p>
        </w:tc>
      </w:tr>
      <w:tr>
        <w:trPr>
          <w:trHeight w:val="153"/>
        </w:trPr>
        <w:tc>
          <w:tcPr>
            <w:tcW w:w="72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w:t>
            </w: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1,355,757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1,295,896</w:t>
            </w:r>
          </w:p>
        </w:tc>
      </w:tr>
      <w:tr>
        <w:trPr>
          <w:trHeight w:val="142"/>
        </w:trPr>
        <w:tc>
          <w:tcPr>
            <w:tcW w:w="7280" w:type="dxa"/>
            <w:vAlign w:val="bottom"/>
            <w:gridSpan w:val="3"/>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14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1,584,626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1,515,052</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17,629</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59,785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58,636</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416,535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416,641</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302,518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315,190</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46,350</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30,300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29,306</w:t>
            </w:r>
          </w:p>
        </w:tc>
      </w:tr>
      <w:tr>
        <w:trPr>
          <w:trHeight w:val="158"/>
        </w:trPr>
        <w:tc>
          <w:tcPr>
            <w:tcW w:w="7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420" w:type="dxa"/>
            <w:vAlign w:val="bottom"/>
            <w:tcBorders>
              <w:bottom w:val="single" w:sz="8" w:color="auto"/>
            </w:tcBorders>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2,466,206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2,398,804</w:t>
            </w:r>
          </w:p>
        </w:tc>
      </w:tr>
      <w:tr>
        <w:trPr>
          <w:trHeight w:val="135"/>
        </w:trPr>
        <w:tc>
          <w:tcPr>
            <w:tcW w:w="72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Stockholders' Deficit and Non-controlling interest</w:t>
            </w:r>
          </w:p>
        </w:tc>
        <w:tc>
          <w:tcPr>
            <w:tcW w:w="1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420" w:type="dxa"/>
            <w:vAlign w:val="bottom"/>
            <w:shd w:val="clear" w:color="auto" w:fill="CCEEFF"/>
          </w:tcPr>
          <w:p>
            <w:pPr>
              <w:jc w:val="right"/>
              <w:ind w:right="12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58,754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70,636</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40,463</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1,972</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obligations</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1,356,128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1,297,263</w:t>
            </w:r>
          </w:p>
        </w:tc>
      </w:tr>
      <w:tr>
        <w:trPr>
          <w:trHeight w:val="142"/>
        </w:trPr>
        <w:tc>
          <w:tcPr>
            <w:tcW w:w="7280" w:type="dxa"/>
            <w:vAlign w:val="bottom"/>
            <w:gridSpan w:val="3"/>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1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1,461,693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1,410,334</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1,045,909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1,039,358</w:t>
            </w:r>
          </w:p>
        </w:tc>
      </w:tr>
      <w:tr>
        <w:trPr>
          <w:trHeight w:val="153"/>
        </w:trPr>
        <w:tc>
          <w:tcPr>
            <w:tcW w:w="7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40,440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41,484</w:t>
            </w:r>
          </w:p>
        </w:tc>
      </w:tr>
      <w:tr>
        <w:trPr>
          <w:trHeight w:val="142"/>
        </w:trPr>
        <w:tc>
          <w:tcPr>
            <w:tcW w:w="7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4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2,548,042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2,491,176</w:t>
            </w:r>
          </w:p>
        </w:tc>
      </w:tr>
      <w:tr>
        <w:trPr>
          <w:trHeight w:val="113"/>
        </w:trPr>
        <w:tc>
          <w:tcPr>
            <w:tcW w:w="72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13</w:t>
            </w:r>
            <w:r>
              <w:rPr>
                <w:rFonts w:ascii="Times New Roman" w:cs="Times New Roman" w:eastAsia="Times New Roman" w:hAnsi="Times New Roman"/>
                <w:sz w:val="12"/>
                <w:szCs w:val="12"/>
                <w:color w:val="auto"/>
              </w:rPr>
              <w:t>)</w:t>
            </w:r>
          </w:p>
        </w:tc>
        <w:tc>
          <w:tcPr>
            <w:tcW w:w="1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380" w:type="dxa"/>
            <w:vAlign w:val="bottom"/>
            <w:tcBorders>
              <w:top w:val="single" w:sz="8" w:color="0000FF"/>
            </w:tcBorders>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100,000,000 shares authorized; 0 issued or outstanding at March 31, 2026 and December 31, 2025</w:t>
            </w:r>
          </w:p>
        </w:tc>
        <w:tc>
          <w:tcPr>
            <w:tcW w:w="14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7280" w:type="dxa"/>
            <w:vAlign w:val="bottom"/>
            <w:gridSpan w:val="3"/>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87,200,122 and 86,639,593 shares issued at March 31, 2026 and December 31,</w:t>
            </w:r>
          </w:p>
        </w:tc>
        <w:tc>
          <w:tcPr>
            <w:tcW w:w="14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r>
      <w:tr>
        <w:trPr>
          <w:trHeight w:val="162"/>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2025, respectively; and 82,301,383 and 81,907,304 shares outstanding at March 31, 2026 and December 31, 2025, respectively</w:t>
            </w:r>
          </w:p>
        </w:tc>
        <w:tc>
          <w:tcPr>
            <w:tcW w:w="1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4,898,739 and 4,732,289 shares at March 31, 2026 and December 31, 2025, respectively</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(22,759)</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13,925</w:t>
            </w:r>
          </w:p>
        </w:tc>
      </w:tr>
      <w:tr>
        <w:trPr>
          <w:trHeight w:val="153"/>
        </w:trPr>
        <w:tc>
          <w:tcPr>
            <w:tcW w:w="72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r>
      <w:tr>
        <w:trPr>
          <w:trHeight w:val="153"/>
        </w:trPr>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(81,693)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(91,453)</w:t>
            </w:r>
          </w:p>
        </w:tc>
      </w:tr>
      <w:tr>
        <w:trPr>
          <w:trHeight w:val="142"/>
        </w:trPr>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1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(100,415)</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1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8,043</w:t>
            </w:r>
          </w:p>
        </w:tc>
      </w:tr>
      <w:tr>
        <w:trPr>
          <w:trHeight w:val="142"/>
        </w:trPr>
        <w:tc>
          <w:tcPr>
            <w:tcW w:w="72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(81,836)</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(92,372)</w:t>
            </w:r>
          </w:p>
        </w:tc>
      </w:tr>
      <w:tr>
        <w:trPr>
          <w:trHeight w:val="158"/>
        </w:trPr>
        <w:tc>
          <w:tcPr>
            <w:tcW w:w="72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Non-controlling interest</w:t>
            </w:r>
          </w:p>
        </w:tc>
        <w:tc>
          <w:tcPr>
            <w:tcW w:w="1420" w:type="dxa"/>
            <w:vAlign w:val="bottom"/>
            <w:tcBorders>
              <w:bottom w:val="single" w:sz="8" w:color="auto"/>
            </w:tcBorders>
            <w:shd w:val="clear" w:color="auto" w:fill="CCEEFF"/>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2,466,206</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2,398,804</w:t>
            </w:r>
          </w:p>
        </w:tc>
      </w:tr>
    </w:tbl>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Total operating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income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expense</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ind w:left="80" w:right="700"/>
        <w:spacing w:after="0" w:line="281" w:lineRule="auto"/>
        <w:rPr>
          <w:sz w:val="20"/>
          <w:szCs w:val="20"/>
          <w:color w:val="auto"/>
        </w:rPr>
      </w:pPr>
      <w:r>
        <w:rPr>
          <w:rFonts w:ascii="Times New Roman" w:cs="Times New Roman" w:eastAsia="Times New Roman" w:hAnsi="Times New Roman"/>
          <w:sz w:val="12"/>
          <w:szCs w:val="12"/>
          <w:color w:val="auto"/>
        </w:rPr>
        <w:t>Debt extinguishment and modification costs Other income, net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 and Comprehensive Income</w:t>
      </w:r>
    </w:p>
    <w:p>
      <w:pPr>
        <w:spacing w:after="0" w:line="6"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2"/>
          <w:szCs w:val="12"/>
          <w:i w:val="1"/>
          <w:iCs w:val="1"/>
          <w:color w:val="auto"/>
        </w:rPr>
        <w:t>(in thousands, except per share data)</w:t>
      </w:r>
    </w:p>
    <w:p>
      <w:pPr>
        <w:spacing w:after="0" w:line="200" w:lineRule="exact"/>
        <w:rPr>
          <w:sz w:val="20"/>
          <w:szCs w:val="20"/>
          <w:color w:val="auto"/>
        </w:rPr>
      </w:pPr>
    </w:p>
    <w:p>
      <w:pPr>
        <w:spacing w:after="0" w:line="371" w:lineRule="exact"/>
        <w:rPr>
          <w:sz w:val="20"/>
          <w:szCs w:val="20"/>
          <w:color w:val="auto"/>
        </w:rPr>
      </w:pPr>
    </w:p>
    <w:p>
      <w:pPr>
        <w:jc w:val="center"/>
        <w:ind w:left="-357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left="-357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3880" w:type="dxa"/>
        <w:tblCellMar>
          <w:top w:w="0" w:type="dxa"/>
          <w:left w:w="0" w:type="dxa"/>
          <w:bottom w:w="0" w:type="dxa"/>
          <w:right w:w="0" w:type="dxa"/>
        </w:tblCellMar>
      </w:tblPr>
      <w:tr>
        <w:trPr>
          <w:trHeight w:val="151"/>
        </w:trPr>
        <w:tc>
          <w:tcPr>
            <w:tcW w:w="4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249,558</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224,630</w:t>
            </w:r>
          </w:p>
        </w:tc>
      </w:tr>
      <w:tr>
        <w:trPr>
          <w:trHeight w:val="284"/>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150,787</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137,353</w:t>
            </w:r>
          </w:p>
        </w:tc>
      </w:tr>
      <w:tr>
        <w:trPr>
          <w:trHeight w:val="153"/>
        </w:trPr>
        <w:tc>
          <w:tcPr>
            <w:tcW w:w="4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28,522</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25,775</w:t>
            </w:r>
          </w:p>
        </w:tc>
      </w:tr>
      <w:tr>
        <w:trPr>
          <w:trHeight w:val="153"/>
        </w:trPr>
        <w:tc>
          <w:tcPr>
            <w:tcW w:w="4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17,615</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r>
      <w:tr>
        <w:trPr>
          <w:trHeight w:val="155"/>
        </w:trPr>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19,244</w:t>
            </w: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15,100</w:t>
            </w:r>
          </w:p>
        </w:tc>
      </w:tr>
      <w:tr>
        <w:trPr>
          <w:trHeight w:val="142"/>
        </w:trPr>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216,168</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192,005</w:t>
            </w:r>
          </w:p>
        </w:tc>
      </w:tr>
      <w:tr>
        <w:trPr>
          <w:trHeight w:val="142"/>
        </w:trPr>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33,390</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32,625</w:t>
            </w:r>
          </w:p>
        </w:tc>
      </w:tr>
      <w:tr>
        <w:trPr>
          <w:trHeight w:val="284"/>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(23,176)</w:t>
            </w:r>
          </w:p>
        </w:tc>
      </w:tr>
      <w:tr>
        <w:trPr>
          <w:trHeight w:val="153"/>
        </w:trPr>
        <w:tc>
          <w:tcPr>
            <w:tcW w:w="44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4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-1181100</wp:posOffset>
            </wp:positionV>
            <wp:extent cx="717804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-981075</wp:posOffset>
            </wp:positionV>
            <wp:extent cx="717804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-786765</wp:posOffset>
            </wp:positionV>
            <wp:extent cx="717804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-592455</wp:posOffset>
            </wp:positionV>
            <wp:extent cx="717804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-386715</wp:posOffset>
            </wp:positionV>
            <wp:extent cx="717804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-192405</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00" w:space="720"/>
            <w:col w:w="7680"/>
          </w:cols>
          <w:pgMar w:left="300" w:top="129" w:right="299" w:bottom="1440" w:gutter="0" w:footer="0" w:header="0"/>
        </w:sectPr>
      </w:pPr>
    </w:p>
    <w:tbl>
      <w:tblPr>
        <w:tblLayout w:type="fixed"/>
        <w:tblInd w:w="0" w:type="dxa"/>
        <w:tblCellMar>
          <w:top w:w="0" w:type="dxa"/>
          <w:left w:w="0" w:type="dxa"/>
          <w:bottom w:w="0" w:type="dxa"/>
          <w:right w:w="0" w:type="dxa"/>
        </w:tblCellMar>
      </w:tblPr>
      <w:tr>
        <w:trPr>
          <w:trHeight w:val="125"/>
        </w:trPr>
        <w:tc>
          <w:tcPr>
            <w:tcW w:w="7500" w:type="dxa"/>
            <w:vAlign w:val="bottom"/>
            <w:tcBorders>
              <w:top w:val="single" w:sz="8" w:color="CCEEFF"/>
            </w:tcBorders>
            <w:shd w:val="clear" w:color="auto" w:fill="CCEEFF"/>
          </w:tcPr>
          <w:p>
            <w:pPr>
              <w:ind w:left="140"/>
              <w:spacing w:after="0" w:line="125" w:lineRule="exact"/>
              <w:rPr>
                <w:sz w:val="20"/>
                <w:szCs w:val="20"/>
                <w:color w:val="auto"/>
              </w:rPr>
            </w:pPr>
            <w:r>
              <w:rPr>
                <w:rFonts w:ascii="Times New Roman" w:cs="Times New Roman" w:eastAsia="Times New Roman" w:hAnsi="Times New Roman"/>
                <w:sz w:val="12"/>
                <w:szCs w:val="12"/>
                <w:color w:val="auto"/>
              </w:rPr>
              <w:t>Total other expense, net</w:t>
            </w:r>
          </w:p>
        </w:tc>
        <w:tc>
          <w:tcPr>
            <w:tcW w:w="72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(19,984)</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(22,107)</w:t>
            </w:r>
          </w:p>
        </w:tc>
      </w:tr>
      <w:tr>
        <w:trPr>
          <w:trHeight w:val="142"/>
        </w:trPr>
        <w:tc>
          <w:tcPr>
            <w:tcW w:w="75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13,406</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10,518</w:t>
            </w:r>
          </w:p>
        </w:tc>
      </w:tr>
      <w:tr>
        <w:trPr>
          <w:trHeight w:val="15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7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3,646</w:t>
            </w:r>
          </w:p>
        </w:tc>
        <w:tc>
          <w:tcPr>
            <w:tcW w:w="2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w:t>
            </w:r>
          </w:p>
        </w:tc>
      </w:tr>
      <w:tr>
        <w:trPr>
          <w:trHeight w:val="142"/>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stockholders</w:t>
            </w: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9,760</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8,268</w:t>
            </w:r>
          </w:p>
        </w:tc>
      </w:tr>
      <w:tr>
        <w:trPr>
          <w:trHeight w:val="15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7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2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58"/>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9,407</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8,311</w:t>
            </w:r>
          </w:p>
        </w:tc>
      </w:tr>
      <w:tr>
        <w:trPr>
          <w:trHeight w:val="153"/>
        </w:trPr>
        <w:tc>
          <w:tcPr>
            <w:tcW w:w="7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200" w:type="dxa"/>
            <w:vAlign w:val="bottom"/>
          </w:tcPr>
          <w:p>
            <w:pPr>
              <w:spacing w:after="0"/>
              <w:rPr>
                <w:sz w:val="13"/>
                <w:szCs w:val="13"/>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53"/>
        </w:trPr>
        <w:tc>
          <w:tcPr>
            <w:tcW w:w="7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71"/>
        </w:trPr>
        <w:tc>
          <w:tcPr>
            <w:tcW w:w="7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81,373</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78,774</w:t>
            </w:r>
          </w:p>
        </w:tc>
      </w:tr>
      <w:tr>
        <w:trPr>
          <w:trHeight w:val="153"/>
        </w:trPr>
        <w:tc>
          <w:tcPr>
            <w:tcW w:w="7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83,647</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79,857</w:t>
            </w: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80" w:type="dxa"/>
            <w:vAlign w:val="bottom"/>
          </w:tcPr>
          <w:p>
            <w:pPr>
              <w:spacing w:after="0"/>
              <w:rPr>
                <w:sz w:val="11"/>
                <w:szCs w:val="11"/>
                <w:color w:val="auto"/>
              </w:rPr>
            </w:pPr>
          </w:p>
        </w:tc>
        <w:tc>
          <w:tcPr>
            <w:tcW w:w="7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3"/>
                <w:szCs w:val="3"/>
                <w:color w:val="auto"/>
              </w:rPr>
            </w:pPr>
          </w:p>
        </w:tc>
        <w:tc>
          <w:tcPr>
            <w:tcW w:w="780" w:type="dxa"/>
            <w:vAlign w:val="bottom"/>
            <w:gridSpan w:val="2"/>
            <w:vMerge w:val="restart"/>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81,907</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(22,759)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13,925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92"/>
              </w:rPr>
              <w:t>(210)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(100,415)</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8,043</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(92,372)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561</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2"/>
              </w:rPr>
              <w:t>(353)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82,301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4,899</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(23,643)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15,902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w w:val="92"/>
              </w:rPr>
              <w:t>(563)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(81,693)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(89,915)</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8,079</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(81,836)</w:t>
            </w:r>
          </w:p>
        </w:tc>
        <w:tc>
          <w:tcPr>
            <w:tcW w:w="0" w:type="dxa"/>
            <w:vAlign w:val="bottom"/>
          </w:tcPr>
          <w:p>
            <w:pPr>
              <w:spacing w:after="0"/>
              <w:rPr>
                <w:sz w:val="1"/>
                <w:szCs w:val="1"/>
                <w:color w:val="auto"/>
              </w:rPr>
            </w:pPr>
          </w:p>
        </w:tc>
      </w:tr>
      <w:tr>
        <w:trPr>
          <w:trHeight w:val="407"/>
        </w:trPr>
        <w:tc>
          <w:tcPr>
            <w:tcW w:w="4020" w:type="dxa"/>
            <w:vAlign w:val="bottom"/>
          </w:tcPr>
          <w:p>
            <w:pPr>
              <w:spacing w:after="0"/>
              <w:rPr>
                <w:sz w:val="24"/>
                <w:szCs w:val="24"/>
                <w:color w:val="auto"/>
              </w:rPr>
            </w:pPr>
          </w:p>
        </w:tc>
        <w:tc>
          <w:tcPr>
            <w:tcW w:w="10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80" w:type="dxa"/>
            <w:vAlign w:val="bottom"/>
          </w:tcPr>
          <w:p>
            <w:pPr>
              <w:spacing w:after="0"/>
              <w:rPr>
                <w:sz w:val="24"/>
                <w:szCs w:val="24"/>
                <w:color w:val="auto"/>
              </w:rPr>
            </w:pPr>
          </w:p>
        </w:tc>
        <w:tc>
          <w:tcPr>
            <w:tcW w:w="7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3"/>
                <w:szCs w:val="3"/>
                <w:color w:val="auto"/>
              </w:rPr>
            </w:pPr>
          </w:p>
        </w:tc>
        <w:tc>
          <w:tcPr>
            <w:tcW w:w="780" w:type="dxa"/>
            <w:vAlign w:val="bottom"/>
            <w:gridSpan w:val="2"/>
            <w:vMerge w:val="restart"/>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77,480</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(19,607)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92"/>
              </w:rPr>
              <w:t>(176)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(166,840)</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534</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warrants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79,712</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4,508</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(21,077)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1,669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w w:val="92"/>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(158,327)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1,902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(156,425)</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Three Months Ended March 31,</w:t>
            </w:r>
          </w:p>
        </w:tc>
        <w:tc>
          <w:tcPr>
            <w:tcW w:w="940" w:type="dxa"/>
            <w:vAlign w:val="bottom"/>
            <w:tcBorders>
              <w:bottom w:val="single" w:sz="8" w:color="auto"/>
            </w:tcBorders>
          </w:tcPr>
          <w:p>
            <w:pPr>
              <w:spacing w:after="0"/>
              <w:rPr>
                <w:sz w:val="12"/>
                <w:szCs w:val="12"/>
                <w:color w:val="auto"/>
              </w:rPr>
            </w:pPr>
          </w:p>
        </w:tc>
      </w:tr>
      <w:tr>
        <w:trPr>
          <w:trHeight w:val="134"/>
        </w:trPr>
        <w:tc>
          <w:tcPr>
            <w:tcW w:w="12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3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w w:val="90"/>
              </w:rPr>
              <w:t>2025</w:t>
            </w: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8,268</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17,615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13,777</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 ESPP, and incentive units compensation</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1,586</w:t>
            </w:r>
          </w:p>
        </w:tc>
      </w:tr>
      <w:tr>
        <w:trPr>
          <w:trHeight w:val="142"/>
        </w:trPr>
        <w:tc>
          <w:tcPr>
            <w:tcW w:w="78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434</w:t>
            </w:r>
          </w:p>
        </w:tc>
      </w:tr>
      <w:tr>
        <w:trPr>
          <w:trHeight w:val="146"/>
        </w:trPr>
        <w:tc>
          <w:tcPr>
            <w:tcW w:w="7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r>
      <w:tr>
        <w:trPr>
          <w:trHeight w:val="142"/>
        </w:trPr>
        <w:tc>
          <w:tcPr>
            <w:tcW w:w="78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(2,236)</w:t>
            </w:r>
          </w:p>
        </w:tc>
      </w:tr>
      <w:tr>
        <w:trPr>
          <w:trHeight w:val="146"/>
        </w:trPr>
        <w:tc>
          <w:tcPr>
            <w:tcW w:w="7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contingent consideration</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1,006</w:t>
            </w:r>
          </w:p>
        </w:tc>
      </w:tr>
      <w:tr>
        <w:trPr>
          <w:trHeight w:val="142"/>
        </w:trPr>
        <w:tc>
          <w:tcPr>
            <w:tcW w:w="78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Accounts receivable</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(12,182)</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Income taxes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4,429</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(11,743)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(8,777)</w:t>
            </w: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Accrued residual commissions</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2,981</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w:t>
            </w: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Other assets, net</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548</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liabilities, net</w:t>
            </w:r>
          </w:p>
        </w:tc>
        <w:tc>
          <w:tcPr>
            <w:tcW w:w="9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(1,606)</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r>
      <w:tr>
        <w:trPr>
          <w:trHeight w:val="13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9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23,839</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9,956</w:t>
            </w: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9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(4,473)</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(5,095)</w:t>
            </w:r>
          </w:p>
        </w:tc>
      </w:tr>
      <w:tr>
        <w:trPr>
          <w:trHeight w:val="124"/>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Notes receivable, net (see </w:t>
            </w:r>
            <w:r>
              <w:rPr>
                <w:rFonts w:ascii="Times New Roman" w:cs="Times New Roman" w:eastAsia="Times New Roman" w:hAnsi="Times New Roman"/>
                <w:sz w:val="11"/>
                <w:szCs w:val="11"/>
                <w:color w:val="0000FF"/>
              </w:rPr>
              <w:t>Note 5</w:t>
            </w:r>
            <w:r>
              <w:rPr>
                <w:rFonts w:ascii="Times New Roman" w:cs="Times New Roman" w:eastAsia="Times New Roman" w:hAnsi="Times New Roman"/>
                <w:sz w:val="11"/>
                <w:szCs w:val="11"/>
                <w:color w:val="auto"/>
              </w:rPr>
              <w:t>)</w:t>
            </w:r>
          </w:p>
        </w:tc>
        <w:tc>
          <w:tcPr>
            <w:tcW w:w="9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(8,059)</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w:t>
            </w:r>
          </w:p>
        </w:tc>
      </w:tr>
      <w:tr>
        <w:trPr>
          <w:trHeight w:val="144"/>
        </w:trPr>
        <w:tc>
          <w:tcPr>
            <w:tcW w:w="1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Short-term investments</w:t>
            </w:r>
          </w:p>
        </w:tc>
        <w:tc>
          <w:tcPr>
            <w:tcW w:w="280" w:type="dxa"/>
            <w:vAlign w:val="bottom"/>
            <w:tcBorders>
              <w:top w:val="single" w:sz="8" w:color="0000FF"/>
            </w:tcBorders>
            <w:shd w:val="clear" w:color="auto" w:fill="CCEEFF"/>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by/(used in) investing activities</w:t>
            </w:r>
          </w:p>
        </w:tc>
        <w:tc>
          <w:tcPr>
            <w:tcW w:w="9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11,418</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(9,715)</w:t>
            </w: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Proceeds from issuance of long-term debt</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9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Settlement obligations, net</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64,981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59,060</w:t>
            </w:r>
          </w:p>
        </w:tc>
      </w:tr>
      <w:tr>
        <w:trPr>
          <w:trHeight w:val="14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color w:val="auto"/>
              </w:rPr>
              <w:t>Payment of deferred/contingent consideration</w:t>
            </w:r>
          </w:p>
        </w:tc>
        <w:tc>
          <w:tcPr>
            <w:tcW w:w="9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w:t>
            </w:r>
          </w:p>
        </w:tc>
      </w:tr>
      <w:tr>
        <w:trPr>
          <w:trHeight w:val="135"/>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9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70,626</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47,260</w:t>
            </w:r>
          </w:p>
        </w:tc>
      </w:tr>
      <w:tr>
        <w:trPr>
          <w:trHeight w:val="123"/>
        </w:trPr>
        <w:tc>
          <w:tcPr>
            <w:tcW w:w="78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increase in cash and cash equivalents, and restricted cash</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105,883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47,501</w:t>
            </w:r>
          </w:p>
        </w:tc>
      </w:tr>
      <w:tr>
        <w:trPr>
          <w:trHeight w:val="14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9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1,345,998</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993,864</w:t>
            </w:r>
          </w:p>
        </w:tc>
      </w:tr>
      <w:tr>
        <w:trPr>
          <w:trHeight w:val="151"/>
        </w:trPr>
        <w:tc>
          <w:tcPr>
            <w:tcW w:w="7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1,451,881</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1,041,365</w:t>
            </w:r>
          </w:p>
        </w:tc>
      </w:tr>
      <w:tr>
        <w:trPr>
          <w:trHeight w:val="153"/>
        </w:trPr>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0"/>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92,152</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47,587</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Three Months Ended March 31,</w:t>
            </w:r>
          </w:p>
        </w:tc>
        <w:tc>
          <w:tcPr>
            <w:tcW w:w="940" w:type="dxa"/>
            <w:vAlign w:val="bottom"/>
            <w:tcBorders>
              <w:bottom w:val="single" w:sz="8" w:color="auto"/>
            </w:tcBorders>
          </w:tcPr>
          <w:p>
            <w:pPr>
              <w:spacing w:after="0"/>
              <w:rPr>
                <w:sz w:val="12"/>
                <w:szCs w:val="12"/>
                <w:color w:val="auto"/>
              </w:rPr>
            </w:pPr>
          </w:p>
        </w:tc>
      </w:tr>
      <w:tr>
        <w:trPr>
          <w:trHeight w:val="134"/>
        </w:trPr>
        <w:tc>
          <w:tcPr>
            <w:tcW w:w="36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9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w w:val="90"/>
              </w:rPr>
              <w:t>2025</w:t>
            </w:r>
          </w:p>
        </w:tc>
      </w:tr>
      <w:tr>
        <w:trPr>
          <w:trHeight w:val="134"/>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16,403</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11,490</w:t>
            </w:r>
          </w:p>
        </w:tc>
      </w:tr>
      <w:tr>
        <w:trPr>
          <w:trHeight w:val="117"/>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(restricted in nature)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9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1,343,326</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982,288</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00FF"/>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6"/>
        </w:trPr>
        <w:tc>
          <w:tcPr>
            <w:tcW w:w="7880" w:type="dxa"/>
            <w:vAlign w:val="bottom"/>
            <w:tcBorders>
              <w:bottom w:val="single" w:sz="8" w:color="CCEEFF"/>
            </w:tcBorders>
            <w:gridSpan w:val="3"/>
            <w:shd w:val="clear" w:color="auto" w:fill="CCEEFF"/>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960" w:type="dxa"/>
            <w:vAlign w:val="bottom"/>
            <w:tcBorders>
              <w:bottom w:val="single" w:sz="8" w:color="auto"/>
            </w:tcBorders>
            <w:shd w:val="clear" w:color="auto" w:fill="CCEEFF"/>
          </w:tcPr>
          <w:p>
            <w:pPr>
              <w:jc w:val="right"/>
              <w:ind w:right="826"/>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1,451,881</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b w:val="1"/>
                <w:bCs w:val="1"/>
                <w:color w:val="auto"/>
              </w:rPr>
              <w:t>1,041,365</w:t>
            </w:r>
          </w:p>
        </w:tc>
      </w:tr>
      <w:tr>
        <w:trPr>
          <w:trHeight w:val="153"/>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20,125</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21,471</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paid for income taxes, net of refunds</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w:t>
            </w:r>
          </w:p>
        </w:tc>
      </w:tr>
      <w:tr>
        <w:trPr>
          <w:trHeight w:val="143"/>
        </w:trPr>
        <w:tc>
          <w:tcPr>
            <w:tcW w:w="7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Deferred consideration accrual</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6,500</w:t>
            </w:r>
          </w:p>
        </w:tc>
      </w:tr>
      <w:tr>
        <w:trPr>
          <w:trHeight w:val="140"/>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Foreign currency adjustment to goodwill and intangibles</w:t>
            </w:r>
          </w:p>
        </w:tc>
        <w:tc>
          <w:tcPr>
            <w:tcW w:w="9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2"/>
                <w:szCs w:val="12"/>
                <w:color w:val="auto"/>
              </w:rPr>
            </w:pPr>
          </w:p>
        </w:tc>
        <w:tc>
          <w:tcPr>
            <w:tcW w:w="7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w:t>
            </w: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right="80"/>
        <w:spacing w:after="0" w:line="265" w:lineRule="auto"/>
        <w:rPr>
          <w:sz w:val="20"/>
          <w:szCs w:val="20"/>
          <w:color w:val="auto"/>
        </w:rPr>
      </w:pPr>
      <w:r>
        <w:rPr>
          <w:rFonts w:ascii="Times New Roman" w:cs="Times New Roman" w:eastAsia="Times New Roman" w:hAnsi="Times New Roman"/>
          <w:sz w:val="12"/>
          <w:szCs w:val="12"/>
          <w:color w:val="auto"/>
        </w:rPr>
        <w:t>Priority Technology Holdings, Inc. and its consolidated subsidiaries are referred to herein collectively as "Priority," the "Company," "we," "our" or "us," unless the context requires otherwise. Priority is a payments and banking fintech purpose-built to collect, store, lend and send money with a connected commerce engine that combines full-service merchant acquiring for accounts receivable, complete automated payables tool for bill payment, and sophisticated treasury management solutions to accelerate cash flow and optimize working capital for its customers.</w:t>
      </w:r>
    </w:p>
    <w:p>
      <w:pPr>
        <w:spacing w:after="0" w:line="119"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reports quarterly results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2025 was derived from the audited consolidated financial statements included in the Company's Annual Report on Form 10-K for the year ended December 31, 2025 but does not include all disclosures required by GAAP for annual consolidated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March 31, 2026, there was no income attributable to NCI in accordance with the applicable operating agreements.</w:t>
      </w:r>
    </w:p>
    <w:p>
      <w:pPr>
        <w:spacing w:after="0" w:line="111"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2025.</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Certain amounts from prior periods have been reclassified to conform to the current period’s presentation. The effect of these reclassifications on our company’s previously reported consolidated financial statements was not material.</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Segment Renaming</w:t>
      </w:r>
    </w:p>
    <w:p>
      <w:pPr>
        <w:spacing w:after="0" w:line="15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 xml:space="preserve">During the year ended December 31, 2025, the Company renamed its segments to align with the services offered. SMB Payments was renamed to Merchant Solutions, B2B Payments was renamed to Payables and Enterprise Payments was renamed to Treasury Solutions. There was no other change to the segments, see further information at </w:t>
      </w:r>
      <w:r>
        <w:rPr>
          <w:rFonts w:ascii="Times New Roman" w:cs="Times New Roman" w:eastAsia="Times New Roman" w:hAnsi="Times New Roman"/>
          <w:sz w:val="12"/>
          <w:szCs w:val="12"/>
          <w:u w:val="single" w:color="auto"/>
          <w:color w:val="0000FF"/>
        </w:rPr>
        <w:t>Note 15. Segment Information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The functional currency of the Canadian subsidiaries of the Company is the Canadian Dollar. Accordingly, assets and liabilities denominated in a foreign currency are translated into U.S. dollars at the current exchange rate on the last day of</w:t>
      </w:r>
    </w:p>
    <w:p>
      <w:pPr>
        <w:spacing w:after="0" w:line="200" w:lineRule="exact"/>
        <w:rPr>
          <w:sz w:val="20"/>
          <w:szCs w:val="20"/>
          <w:color w:val="auto"/>
        </w:rPr>
      </w:pPr>
    </w:p>
    <w:p>
      <w:pPr>
        <w:spacing w:after="0" w:line="37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auto"/>
        </w:rPr>
        <w:t>the reporting period. Revenues and expenses are translated using the average exchange rate in effect during the reporting period. Translation adjustments are reported as a component of accumulated other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Allowance for Expected Losses</w:t>
            </w: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 reconciliation of the beginning and ending amount of allowance for expected losses is as follows: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5"/>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40" w:type="dxa"/>
            <w:vAlign w:val="bottom"/>
          </w:tcPr>
          <w:p>
            <w:pPr>
              <w:spacing w:after="0"/>
              <w:rPr>
                <w:sz w:val="24"/>
                <w:szCs w:val="24"/>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Accounts receivable</w:t>
            </w:r>
          </w:p>
        </w:tc>
        <w:tc>
          <w:tcPr>
            <w:tcW w:w="32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Settlement assets</w:t>
            </w:r>
          </w:p>
        </w:tc>
      </w:tr>
      <w:tr>
        <w:trPr>
          <w:trHeight w:val="142"/>
        </w:trPr>
        <w:tc>
          <w:tcPr>
            <w:tcW w:w="70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(6,297)</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Borders>
              <w:top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(7,069)</w:t>
            </w:r>
          </w:p>
        </w:tc>
      </w:tr>
      <w:tr>
        <w:trPr>
          <w:trHeight w:val="153"/>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Charge-offs (recoveries), net</w:t>
            </w:r>
          </w:p>
        </w:tc>
        <w:tc>
          <w:tcPr>
            <w:tcW w:w="3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left="1280"/>
              <w:spacing w:after="0"/>
              <w:rPr>
                <w:sz w:val="20"/>
                <w:szCs w:val="20"/>
                <w:color w:val="auto"/>
              </w:rPr>
            </w:pPr>
            <w:r>
              <w:rPr>
                <w:rFonts w:ascii="Times New Roman" w:cs="Times New Roman" w:eastAsia="Times New Roman" w:hAnsi="Times New Roman"/>
                <w:sz w:val="12"/>
                <w:szCs w:val="12"/>
                <w:color w:val="auto"/>
                <w:w w:val="96"/>
              </w:rPr>
              <w:t>4,177</w:t>
            </w:r>
          </w:p>
        </w:tc>
      </w:tr>
      <w:tr>
        <w:trPr>
          <w:trHeight w:val="153"/>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Provision</w:t>
            </w:r>
          </w:p>
        </w:tc>
        <w:tc>
          <w:tcPr>
            <w:tcW w:w="34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(2,329)</w:t>
            </w:r>
          </w:p>
        </w:tc>
      </w:tr>
      <w:tr>
        <w:trPr>
          <w:trHeight w:val="142"/>
        </w:trPr>
        <w:tc>
          <w:tcPr>
            <w:tcW w:w="70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March 31, 2026</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(6,217)</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20" w:type="dxa"/>
            <w:vAlign w:val="bottom"/>
            <w:tcBorders>
              <w:bottom w:val="single" w:sz="8" w:color="auto"/>
            </w:tcBorders>
          </w:tcPr>
          <w:p>
            <w:pPr>
              <w:jc w:val="center"/>
              <w:ind w:left="1260"/>
              <w:spacing w:after="0"/>
              <w:rPr>
                <w:sz w:val="20"/>
                <w:szCs w:val="20"/>
                <w:color w:val="auto"/>
              </w:rPr>
            </w:pPr>
            <w:r>
              <w:rPr>
                <w:rFonts w:ascii="Times New Roman" w:cs="Times New Roman" w:eastAsia="Times New Roman" w:hAnsi="Times New Roman"/>
                <w:sz w:val="12"/>
                <w:szCs w:val="12"/>
                <w:b w:val="1"/>
                <w:bCs w:val="1"/>
                <w:color w:val="auto"/>
              </w:rPr>
              <w:t>(5,221)</w:t>
            </w: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elected not to measure expected losses for accrued interest on notes receivable but instead recognize losses for accrued interest within the period losses are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Accounting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Measurement of Credit Losses for Accounts Receivable and Contract Assets ASU 2025-05</w:t>
      </w:r>
    </w:p>
    <w:p>
      <w:pPr>
        <w:spacing w:after="0" w:line="1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2"/>
          <w:szCs w:val="12"/>
          <w:color w:val="auto"/>
        </w:rPr>
        <w:t xml:space="preserve">In July 2025, the FASB issued ASU 2025-05, </w:t>
      </w:r>
      <w:r>
        <w:rPr>
          <w:rFonts w:ascii="Times New Roman" w:cs="Times New Roman" w:eastAsia="Times New Roman" w:hAnsi="Times New Roman"/>
          <w:sz w:val="12"/>
          <w:szCs w:val="12"/>
          <w:i w:val="1"/>
          <w:iCs w:val="1"/>
          <w:color w:val="auto"/>
        </w:rPr>
        <w:t>Financial Instruments - Credit Losses (Topic 326)</w:t>
      </w:r>
      <w:r>
        <w:rPr>
          <w:rFonts w:ascii="Times New Roman" w:cs="Times New Roman" w:eastAsia="Times New Roman" w:hAnsi="Times New Roman"/>
          <w:sz w:val="12"/>
          <w:szCs w:val="12"/>
          <w:color w:val="auto"/>
        </w:rPr>
        <w:t xml:space="preserve"> ("ASU 2025-05") providing a practical expedient when estimating expected credit losses which assumes current conditions as of the balance sheet date do not change for the remaining life of the accounts receivable and contract asset. The ASU is effective for fiscal years beginning after December 15, 2025, and interim reporting periods within those annual reporting periods. Early adoption is permitted. Adoption of this standard did not have any material impact on results of operations, financial position, cash flows or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 Pending Adoption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Disaggregation of Income Statement Expenses ASU 2024-03</w:t>
      </w:r>
    </w:p>
    <w:p>
      <w:pPr>
        <w:spacing w:after="0" w:line="1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w:t>
      </w:r>
      <w:r>
        <w:rPr>
          <w:rFonts w:ascii="Times New Roman" w:cs="Times New Roman" w:eastAsia="Times New Roman" w:hAnsi="Times New Roman"/>
          <w:sz w:val="12"/>
          <w:szCs w:val="12"/>
          <w:color w:val="auto"/>
        </w:rPr>
        <w:t xml:space="preserve"> ("ASU 2024-03") requiring additional disaggregated disclosures in the notes to financial statements for certain categories of expenses that are included on the face of the income statement. The ASU is effective for fiscal years beginning after December 15, 2026 and interim periods within annual reporting periods beginning after December 15, 2027. Early adoption is permitted. The Company will adopt this guidance for the year ended December 31, 2027. This guidance is expected to only impact the disclosures with no impact on the results of operations, financial position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Accounting for Internal-Use Software ASU 2025-06,</w:t>
      </w:r>
    </w:p>
    <w:p>
      <w:pPr>
        <w:spacing w:after="0" w:line="1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2"/>
          <w:szCs w:val="12"/>
          <w:color w:val="auto"/>
        </w:rPr>
        <w:t xml:space="preserve">In September 2025, the FASB issued ASU 2025-06, </w:t>
      </w:r>
      <w:r>
        <w:rPr>
          <w:rFonts w:ascii="Times New Roman" w:cs="Times New Roman" w:eastAsia="Times New Roman" w:hAnsi="Times New Roman"/>
          <w:sz w:val="12"/>
          <w:szCs w:val="12"/>
          <w:i w:val="1"/>
          <w:iCs w:val="1"/>
          <w:color w:val="auto"/>
        </w:rPr>
        <w:t>Intangibles-Goodwill and Other-Internal-Use Software (Subtopic 350-40)</w:t>
      </w:r>
      <w:r>
        <w:rPr>
          <w:rFonts w:ascii="Times New Roman" w:cs="Times New Roman" w:eastAsia="Times New Roman" w:hAnsi="Times New Roman"/>
          <w:sz w:val="12"/>
          <w:szCs w:val="12"/>
          <w:color w:val="auto"/>
        </w:rPr>
        <w:t xml:space="preserve"> ("ASU 2025-06") for targeted improvements to the accounting for internal-use software. The amendment updates guidance to consider different methods of software development, updating the requirements for capitalization of software costs. This ASU is effective for annual reporting periods beginning after December 15, 2027, and interim reporting periods within those annual reporting periods, with early adoption permitted. The Company is currently evaluating the impact this ASU will have on its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Interim Reporting ASU 2025-11</w:t>
      </w:r>
    </w:p>
    <w:p>
      <w:pPr>
        <w:spacing w:after="0" w:line="15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2"/>
          <w:szCs w:val="12"/>
          <w:color w:val="auto"/>
        </w:rPr>
        <w:t xml:space="preserve">In December 2025, the FASB issued ASU 2025-11, </w:t>
      </w:r>
      <w:r>
        <w:rPr>
          <w:rFonts w:ascii="Times New Roman" w:cs="Times New Roman" w:eastAsia="Times New Roman" w:hAnsi="Times New Roman"/>
          <w:sz w:val="12"/>
          <w:szCs w:val="12"/>
          <w:i w:val="1"/>
          <w:iCs w:val="1"/>
          <w:color w:val="auto"/>
        </w:rPr>
        <w:t>Interim Reporting (Topic 270)</w:t>
      </w:r>
      <w:r>
        <w:rPr>
          <w:rFonts w:ascii="Times New Roman" w:cs="Times New Roman" w:eastAsia="Times New Roman" w:hAnsi="Times New Roman"/>
          <w:sz w:val="12"/>
          <w:szCs w:val="12"/>
          <w:color w:val="auto"/>
        </w:rPr>
        <w:t xml:space="preserve"> ("ASU 2025-11") provides clarity about the current requirements for a comprehensive list of interim disclosures and also requires the Company to disclose events since the end of the last annual reporting period which have a material impact on the Company. This ASU is effective for interim</w:t>
      </w:r>
    </w:p>
    <w:p>
      <w:pPr>
        <w:spacing w:after="0" w:line="200" w:lineRule="exact"/>
        <w:rPr>
          <w:sz w:val="20"/>
          <w:szCs w:val="20"/>
          <w:color w:val="auto"/>
        </w:rPr>
      </w:pPr>
    </w:p>
    <w:p>
      <w:pPr>
        <w:spacing w:after="0" w:line="37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0" w:name="page11"/>
    <w:bookmarkEnd w:id="10"/>
    <w:p>
      <w:pPr>
        <w:ind w:right="80"/>
        <w:spacing w:after="0" w:line="279" w:lineRule="auto"/>
        <w:rPr>
          <w:sz w:val="20"/>
          <w:szCs w:val="20"/>
          <w:color w:val="auto"/>
        </w:rPr>
      </w:pPr>
      <w:r>
        <w:rPr>
          <w:rFonts w:ascii="Times New Roman" w:cs="Times New Roman" w:eastAsia="Times New Roman" w:hAnsi="Times New Roman"/>
          <w:sz w:val="12"/>
          <w:szCs w:val="12"/>
          <w:color w:val="auto"/>
        </w:rPr>
        <w:t>reporting periods within annual reporting periods beginning after December 15, 2027 and early adoption is permitted. The Company is currently evaluating the impact this ASU will have on its interim consolidated financial statements and disclosures.</w:t>
      </w:r>
    </w:p>
    <w:p>
      <w:pPr>
        <w:spacing w:after="0" w:line="107"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2.</w:t>
      </w:r>
      <w:r>
        <w:rPr>
          <w:sz w:val="20"/>
          <w:szCs w:val="20"/>
          <w:color w:val="auto"/>
        </w:rPr>
        <w:tab/>
      </w:r>
      <w:r>
        <w:rPr>
          <w:rFonts w:ascii="Times New Roman" w:cs="Times New Roman" w:eastAsia="Times New Roman" w:hAnsi="Times New Roman"/>
          <w:sz w:val="11"/>
          <w:szCs w:val="11"/>
          <w:b w:val="1"/>
          <w:bCs w:val="1"/>
          <w:color w:val="auto"/>
        </w:rPr>
        <w:t>Acquisitions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Acquisitions that occurred in prior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Payslate</w:t>
      </w:r>
    </w:p>
    <w:p>
      <w:pPr>
        <w:spacing w:after="0" w:line="15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1"/>
          <w:szCs w:val="11"/>
          <w:color w:val="auto"/>
        </w:rPr>
        <w:t xml:space="preserve">On January 21, 2025, Priority’s wholly owned subsidiary, Priority Canada Acquisition Company, Inc.,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The acquisition will provide synergy opportunities to the Company's Treasury Solutions rent payment business and expand Priority's services in Canada. The acquisition was accounted for under the acquisition method of accounting in accordance with ASC 805, </w:t>
      </w:r>
      <w:r>
        <w:rPr>
          <w:rFonts w:ascii="Times New Roman" w:cs="Times New Roman" w:eastAsia="Times New Roman" w:hAnsi="Times New Roman"/>
          <w:sz w:val="11"/>
          <w:szCs w:val="11"/>
          <w:i w:val="1"/>
          <w:iCs w:val="1"/>
          <w:color w:val="auto"/>
        </w:rPr>
        <w:t>Business Combinations</w:t>
      </w:r>
      <w:r>
        <w:rPr>
          <w:rFonts w:ascii="Times New Roman" w:cs="Times New Roman" w:eastAsia="Times New Roman" w:hAnsi="Times New Roman"/>
          <w:sz w:val="11"/>
          <w:szCs w:val="11"/>
          <w:color w:val="auto"/>
        </w:rPr>
        <w:t>. The total purchase consideration was $8.8 million, consisting of $4.4 million in cash consideration funded by the Company’s cash flows, deferred consideration of $4.3 million and contingent consideration of $0.1 million.</w:t>
      </w:r>
    </w:p>
    <w:p>
      <w:pPr>
        <w:spacing w:after="0" w:line="107"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deferred consideration of $4.3 million was recorded at the fair value on the acquisition date. The deferred consideration will be paid monthly equal to 40% of gross profit under the agreement and total payments will not exceed $6.5 million. Any amount remaining but unpaid will be paid in full by January 21, 2030. The Company will accrete interest expense on the deferred consideration throughout the period.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final purchase price allocation is set forth in the table below:</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Cash</w:t>
            </w:r>
            <w:r>
              <w:rPr>
                <w:rFonts w:ascii="Times New Roman" w:cs="Times New Roman" w:eastAsia="Times New Roman" w:hAnsi="Times New Roman"/>
                <w:sz w:val="15"/>
                <w:szCs w:val="15"/>
                <w:color w:val="auto"/>
                <w:vertAlign w:val="superscript"/>
              </w:rPr>
              <w:t>(1)</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Deferred consideration </w:t>
            </w:r>
            <w:r>
              <w:rPr>
                <w:rFonts w:ascii="Times New Roman" w:cs="Times New Roman" w:eastAsia="Times New Roman" w:hAnsi="Times New Roman"/>
                <w:sz w:val="15"/>
                <w:szCs w:val="15"/>
                <w:color w:val="auto"/>
                <w:vertAlign w:val="superscript"/>
              </w:rPr>
              <w:t>(2)</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(3)</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r>
      <w:tr>
        <w:trPr>
          <w:trHeight w:val="126"/>
        </w:trPr>
        <w:tc>
          <w:tcPr>
            <w:tcW w:w="9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2"/>
                <w:szCs w:val="12"/>
                <w:b w:val="1"/>
                <w:bCs w:val="1"/>
                <w:color w:val="auto"/>
              </w:rPr>
              <w:t>:</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6,070</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1,555</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r>
      <w:tr>
        <w:trPr>
          <w:trHeight w:val="20"/>
        </w:trPr>
        <w:tc>
          <w:tcPr>
            <w:tcW w:w="9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at closing net of adjustments from estimated net working capital to actual working capital.</w:t>
      </w:r>
    </w:p>
    <w:p>
      <w:pPr>
        <w:spacing w:after="0" w:line="45" w:lineRule="exact"/>
        <w:rPr>
          <w:rFonts w:ascii="Times New Roman" w:cs="Times New Roman" w:eastAsia="Times New Roman" w:hAnsi="Times New Roman"/>
          <w:sz w:val="16"/>
          <w:szCs w:val="16"/>
          <w:color w:val="auto"/>
          <w:vertAlign w:val="superscript"/>
        </w:rPr>
      </w:pPr>
    </w:p>
    <w:p>
      <w:pPr>
        <w:ind w:left="420" w:right="60" w:hanging="212"/>
        <w:spacing w:after="0" w:line="194" w:lineRule="auto"/>
        <w:tabs>
          <w:tab w:leader="none" w:pos="412"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deferred consideration was determined utilizing a Monte Carlo simulation. The payments were calculated based on the path for the simulated metrics and the contractual terms of the deferred consideration payments</w:t>
      </w:r>
    </w:p>
    <w:p>
      <w:pPr>
        <w:spacing w:after="0" w:line="200" w:lineRule="exact"/>
        <w:rPr>
          <w:sz w:val="20"/>
          <w:szCs w:val="20"/>
          <w:color w:val="auto"/>
        </w:rPr>
      </w:pPr>
    </w:p>
    <w:p>
      <w:pPr>
        <w:spacing w:after="0" w:line="3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1" w:name="page12"/>
    <w:bookmarkEnd w:id="11"/>
    <w:p>
      <w:pPr>
        <w:ind w:left="420" w:right="540"/>
        <w:spacing w:after="0" w:line="236" w:lineRule="auto"/>
        <w:rPr>
          <w:sz w:val="20"/>
          <w:szCs w:val="20"/>
          <w:color w:val="auto"/>
        </w:rPr>
      </w:pPr>
      <w:r>
        <w:rPr>
          <w:rFonts w:ascii="Times New Roman" w:cs="Times New Roman" w:eastAsia="Times New Roman" w:hAnsi="Times New Roman"/>
          <w:sz w:val="12"/>
          <w:szCs w:val="12"/>
          <w:color w:val="auto"/>
        </w:rPr>
        <w:t>and were discounted to present value at a rate reflecting a risk associated with the payoffs. The fair value was estimated to be the average present value of the deferred consideration payments over all iterations of the simulation.</w:t>
      </w:r>
    </w:p>
    <w:p>
      <w:pPr>
        <w:spacing w:after="0" w:line="15"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contingent consideration represents the fair value of the share of net operating loss carryforwards owed to the seller in the future.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187" w:lineRule="auto"/>
        <w:tabs>
          <w:tab w:leader="none" w:pos="42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deferred tax asset of $3.8 million which has a full valuation allowance.</w:t>
      </w:r>
    </w:p>
    <w:p>
      <w:pPr>
        <w:spacing w:after="0" w:line="4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2"/>
          <w:szCs w:val="12"/>
          <w:color w:val="auto"/>
        </w:rPr>
        <w:t>Goodwill of $6.1 million arising from the acquisition primarily consists of the expected synergies and other benefits from combining operations. There was no goodwill deductible for income tax purposes. The goodwill was 100% allocated to the Company's Treasury Solutions reportable segment.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Sila</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 xml:space="preserve">On August 26, 2025, Priority's wholly owned subsidiary, Priority Tech Ventures, LLC, through it's merger subsidiary, acquired total outstanding shares including all voting interests in Sila Inc. ("the "Sila business" or "Sila"). Sila is a payment platform that enables ACH transfers, instant settlement, digital wallets and built-in compliance through a simple application programming interface. Technology acquired in this transaction will supplement Priority's current treasury solutions.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total purchase consideration was $7.2 million, consisting of $3.4 million in cash consideration funded by the Company's cash flows, and contingent consideration of $3.8 million for contractual earn-outs and additional contingent consideration. Earn-outs will be paid as a percentage of gross profit when certain thresholds are met and additional contingent considerations will be paid based on utilization of the seller's carryforward tax losses. The purchase price is considered preliminary pending finalization of customary adjustments from timing differences.</w:t>
      </w:r>
    </w:p>
    <w:p>
      <w:pPr>
        <w:spacing w:after="0" w:line="12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contingent consideration for the contractual earn-outs was recorded at the fair value of $3.9 million on the acquisition date. The contingent consideration will be paid quarterly subject to terms and conditions noted within the agreement over a period of seven years and total payments will not exceed $17.0 million.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preliminary purchase price allocation is set forth in the table below:</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15"/>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7"/>
                <w:szCs w:val="17"/>
                <w:color w:val="auto"/>
                <w:vertAlign w:val="subscript"/>
              </w:rPr>
              <w:t>Cash</w:t>
            </w:r>
            <w:r>
              <w:rPr>
                <w:rFonts w:ascii="Times New Roman" w:cs="Times New Roman" w:eastAsia="Times New Roman" w:hAnsi="Times New Roman"/>
                <w:sz w:val="7"/>
                <w:szCs w:val="7"/>
                <w:color w:val="auto"/>
              </w:rPr>
              <w:t>(1)(4)</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3,449</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Contingent consideration </w:t>
            </w:r>
            <w:r>
              <w:rPr>
                <w:rFonts w:ascii="Times New Roman" w:cs="Times New Roman" w:eastAsia="Times New Roman" w:hAnsi="Times New Roman"/>
                <w:sz w:val="15"/>
                <w:szCs w:val="15"/>
                <w:color w:val="auto"/>
                <w:vertAlign w:val="superscript"/>
              </w:rPr>
              <w:t>(2)(4)</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3,881</w:t>
            </w:r>
          </w:p>
        </w:tc>
      </w:tr>
      <w:tr>
        <w:trPr>
          <w:trHeight w:val="153"/>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58"/>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7,230</w:t>
            </w:r>
          </w:p>
        </w:tc>
      </w:tr>
      <w:tr>
        <w:trPr>
          <w:trHeight w:val="126"/>
        </w:trPr>
        <w:tc>
          <w:tcPr>
            <w:tcW w:w="9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Accounts receivable</w:t>
            </w:r>
            <w:r>
              <w:rPr>
                <w:rFonts w:ascii="Times New Roman" w:cs="Times New Roman" w:eastAsia="Times New Roman" w:hAnsi="Times New Roman"/>
                <w:sz w:val="15"/>
                <w:szCs w:val="15"/>
                <w:color w:val="auto"/>
                <w:vertAlign w:val="superscript"/>
              </w:rPr>
              <w:t>(4)</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Prepaid expenses</w:t>
            </w:r>
            <w:r>
              <w:rPr>
                <w:rFonts w:ascii="Times New Roman" w:cs="Times New Roman" w:eastAsia="Times New Roman" w:hAnsi="Times New Roman"/>
                <w:sz w:val="15"/>
                <w:szCs w:val="15"/>
                <w:color w:val="auto"/>
                <w:vertAlign w:val="superscript"/>
              </w:rPr>
              <w:t>(4)</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Other noncurrent assets</w:t>
            </w:r>
            <w:r>
              <w:rPr>
                <w:rFonts w:ascii="Times New Roman" w:cs="Times New Roman" w:eastAsia="Times New Roman" w:hAnsi="Times New Roman"/>
                <w:sz w:val="15"/>
                <w:szCs w:val="15"/>
                <w:color w:val="auto"/>
                <w:vertAlign w:val="superscript"/>
              </w:rPr>
              <w:t>(3)(4)</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9,522</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Trademarks</w:t>
            </w:r>
            <w:r>
              <w:rPr>
                <w:rFonts w:ascii="Times New Roman" w:cs="Times New Roman" w:eastAsia="Times New Roman" w:hAnsi="Times New Roman"/>
                <w:sz w:val="15"/>
                <w:szCs w:val="15"/>
                <w:color w:val="auto"/>
                <w:vertAlign w:val="superscript"/>
              </w:rPr>
              <w:t>(4)</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w:t>
            </w:r>
          </w:p>
        </w:tc>
      </w:tr>
      <w:tr>
        <w:trPr>
          <w:trHeight w:val="153"/>
        </w:trPr>
        <w:tc>
          <w:tcPr>
            <w:tcW w:w="91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Technology</w:t>
            </w:r>
            <w:r>
              <w:rPr>
                <w:rFonts w:ascii="Times New Roman" w:cs="Times New Roman" w:eastAsia="Times New Roman" w:hAnsi="Times New Roman"/>
                <w:sz w:val="15"/>
                <w:szCs w:val="15"/>
                <w:color w:val="auto"/>
                <w:vertAlign w:val="superscript"/>
              </w:rPr>
              <w:t>(4)</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Accounts payable and accrued expenses</w:t>
            </w:r>
            <w:r>
              <w:rPr>
                <w:rFonts w:ascii="Times New Roman" w:cs="Times New Roman" w:eastAsia="Times New Roman" w:hAnsi="Times New Roman"/>
                <w:sz w:val="15"/>
                <w:szCs w:val="15"/>
                <w:color w:val="auto"/>
                <w:vertAlign w:val="superscript"/>
              </w:rPr>
              <w:t>(4)</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deposits</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Fair value of net assets acquired</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11,219</w:t>
            </w:r>
          </w:p>
        </w:tc>
      </w:tr>
      <w:tr>
        <w:trPr>
          <w:trHeight w:val="126"/>
        </w:trPr>
        <w:tc>
          <w:tcPr>
            <w:tcW w:w="910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r>
      <w:tr>
        <w:trPr>
          <w:trHeight w:val="142"/>
        </w:trPr>
        <w:tc>
          <w:tcPr>
            <w:tcW w:w="910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Estimated bargain purchase gain</w:t>
            </w:r>
            <w:r>
              <w:rPr>
                <w:rFonts w:ascii="Times New Roman" w:cs="Times New Roman" w:eastAsia="Times New Roman" w:hAnsi="Times New Roman"/>
                <w:sz w:val="15"/>
                <w:szCs w:val="15"/>
                <w:b w:val="1"/>
                <w:bCs w:val="1"/>
                <w:color w:val="auto"/>
                <w:vertAlign w:val="superscript"/>
              </w:rPr>
              <w:t>(4)</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3,989</w:t>
            </w:r>
          </w:p>
        </w:tc>
      </w:tr>
      <w:tr>
        <w:trPr>
          <w:trHeight w:val="20"/>
        </w:trPr>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at closing net of adjustments from estimated net working capital and closing cash.</w:t>
      </w:r>
    </w:p>
    <w:p>
      <w:pPr>
        <w:spacing w:after="0" w:line="45" w:lineRule="exact"/>
        <w:rPr>
          <w:rFonts w:ascii="Times New Roman" w:cs="Times New Roman" w:eastAsia="Times New Roman" w:hAnsi="Times New Roman"/>
          <w:sz w:val="16"/>
          <w:szCs w:val="16"/>
          <w:color w:val="auto"/>
          <w:vertAlign w:val="superscript"/>
        </w:rPr>
      </w:pPr>
    </w:p>
    <w:p>
      <w:pPr>
        <w:ind w:left="420" w:right="520" w:hanging="212"/>
        <w:spacing w:after="0" w:line="201" w:lineRule="auto"/>
        <w:tabs>
          <w:tab w:leader="none" w:pos="41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was determined utilizing a Monte Carlo simulation. The payments were calculated based on the path for the simulated metrics and the contractual terms of the contingent consideration</w:t>
      </w:r>
    </w:p>
    <w:p>
      <w:pPr>
        <w:spacing w:after="0" w:line="200" w:lineRule="exact"/>
        <w:rPr>
          <w:sz w:val="20"/>
          <w:szCs w:val="20"/>
          <w:color w:val="auto"/>
        </w:rPr>
      </w:pPr>
    </w:p>
    <w:p>
      <w:pPr>
        <w:spacing w:after="0" w:line="31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0" w:right="299" w:bottom="1440" w:gutter="0" w:footer="0" w:header="0"/>
        </w:sectPr>
      </w:pPr>
    </w:p>
    <w:bookmarkStart w:id="12" w:name="page13"/>
    <w:bookmarkEnd w:id="12"/>
    <w:p>
      <w:pPr>
        <w:ind w:left="420" w:right="80"/>
        <w:spacing w:after="0" w:line="236" w:lineRule="auto"/>
        <w:rPr>
          <w:sz w:val="20"/>
          <w:szCs w:val="20"/>
          <w:color w:val="auto"/>
        </w:rPr>
      </w:pPr>
      <w:r>
        <w:rPr>
          <w:rFonts w:ascii="Times New Roman" w:cs="Times New Roman" w:eastAsia="Times New Roman" w:hAnsi="Times New Roman"/>
          <w:sz w:val="12"/>
          <w:szCs w:val="12"/>
          <w:color w:val="auto"/>
        </w:rPr>
        <w:t>payments and were discounted to present value at a rate reflecting a risk associated with the payoffs. The fair value was estimated to be the average present value of the contingent consideration payments over all iterations of the simulation. The contingent consideration represents the fair value of the contractual earn-outs and the share of net operating loss carryforwards owed to the seller in the future.</w:t>
      </w:r>
    </w:p>
    <w:p>
      <w:pPr>
        <w:spacing w:after="0" w:line="15"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a deferred tax asset of $9.5 million.</w:t>
      </w:r>
    </w:p>
    <w:p>
      <w:pPr>
        <w:spacing w:after="0" w:line="5" w:lineRule="exact"/>
        <w:rPr>
          <w:sz w:val="20"/>
          <w:szCs w:val="20"/>
          <w:color w:val="auto"/>
        </w:rPr>
      </w:pPr>
    </w:p>
    <w:p>
      <w:pPr>
        <w:ind w:left="200"/>
        <w:spacing w:after="0"/>
        <w:tabs>
          <w:tab w:leader="none" w:pos="400" w:val="left"/>
          <w:tab w:leader="none" w:pos="5780" w:val="left"/>
        </w:tabs>
        <w:rPr>
          <w:sz w:val="20"/>
          <w:szCs w:val="20"/>
          <w:color w:val="auto"/>
        </w:rPr>
      </w:pPr>
      <w:r>
        <w:rPr>
          <w:rFonts w:ascii="Times New Roman" w:cs="Times New Roman" w:eastAsia="Times New Roman" w:hAnsi="Times New Roman"/>
          <w:sz w:val="16"/>
          <w:szCs w:val="16"/>
          <w:color w:val="auto"/>
          <w:vertAlign w:val="superscript"/>
        </w:rPr>
        <w:t>(4)</w:t>
      </w:r>
      <w:r>
        <w:rPr>
          <w:sz w:val="20"/>
          <w:szCs w:val="20"/>
          <w:color w:val="auto"/>
        </w:rPr>
        <w:tab/>
      </w:r>
      <w:r>
        <w:rPr>
          <w:rFonts w:ascii="Times New Roman" w:cs="Times New Roman" w:eastAsia="Times New Roman" w:hAnsi="Times New Roman"/>
          <w:sz w:val="12"/>
          <w:szCs w:val="12"/>
          <w:color w:val="auto"/>
        </w:rPr>
        <w:t>During the fourth quarter of 2025, the Company recorded measurement period adjustments due to additional</w:t>
      </w:r>
      <w:r>
        <w:rPr>
          <w:sz w:val="20"/>
          <w:szCs w:val="20"/>
          <w:color w:val="auto"/>
        </w:rPr>
        <w:tab/>
      </w:r>
      <w:r>
        <w:rPr>
          <w:rFonts w:ascii="Times New Roman" w:cs="Times New Roman" w:eastAsia="Times New Roman" w:hAnsi="Times New Roman"/>
          <w:sz w:val="11"/>
          <w:szCs w:val="11"/>
          <w:color w:val="auto"/>
        </w:rPr>
        <w:t>information received that existed on the acquisition date.</w:t>
      </w:r>
    </w:p>
    <w:p>
      <w:pPr>
        <w:spacing w:after="0" w:line="115"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2"/>
          <w:szCs w:val="12"/>
          <w:color w:val="auto"/>
        </w:rPr>
        <w:t>The fair value of acquired assets and assumed liabilities exceeded the consideration paid, resulting in a bargain purchase gain. The Company reviewed its acquisition accounting methods, confirmed all assets and liabilities were properly identified, and ensured measurements reflected all consideration as of the closing date. The gain was primarily due to recognizing a deferred tax asset recorded in accordance with ASC 740 related to Sila's historical net operating losses. The bargain purchase gain is recorded in other income, net, in the Unaudited Consolidated Statements of Operations and Comprehensive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DMS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On October 1, 2025, Priority's subsidiary, Priority DMS, LLC, entered into the asset purchase and contribution agreement with DMSJV, LLC ("DMS"), to acquire substantially all of the assets of DMS, including all voting interests. DMS provides credit card processing solutions to automotive dealerships via marketing and selling card and ACH processing services and ancillary services including POS systems, payment gateways, payment processing and authorization, clearing, and settlement for credit card, debit and ACH transactions, which will supplement the Company's Merchant Solutions reportable segment.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total purchase consideration was $57.9 million, consisting of $31.5 million in cash consideration funded by the Company's term loan facility, deferred consideration of $2.8 million, contingent consideration of $17.1 million for contractual earn-outs and $6.6 million in non-voting subsidiary shares issued to the sellers. Earn-outs will be paid as a percentage of gross profit when certain thresholds are met. The purchase price is considered preliminary pending finalization of customary adjustments from timing differences.</w:t>
      </w:r>
    </w:p>
    <w:p>
      <w:pPr>
        <w:spacing w:after="0" w:line="12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The contingent consideration for the contractual earn-outs was recorded at the fair value of $17.1 million on the acquisition date. The contingent consideration will be paid when an initial cumulative threshold for gross profit is met, subject to terms and conditions noted within the agreement, over a period of at least four years and total payments will not exceed $22.5 million.</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preliminary purchase price allocation is set forth in the table below:</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15"/>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Cash</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31,500</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(2)</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17,066</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Common equity of the Acquiring Entity</w:t>
            </w:r>
            <w:r>
              <w:rPr>
                <w:rFonts w:ascii="Times New Roman" w:cs="Times New Roman" w:eastAsia="Times New Roman" w:hAnsi="Times New Roman"/>
                <w:sz w:val="15"/>
                <w:szCs w:val="15"/>
                <w:color w:val="auto"/>
                <w:vertAlign w:val="superscript"/>
              </w:rPr>
              <w:t>(3)</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6,562</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Deferred consideration</w:t>
            </w:r>
            <w:r>
              <w:rPr>
                <w:rFonts w:ascii="Times New Roman" w:cs="Times New Roman" w:eastAsia="Times New Roman" w:hAnsi="Times New Roman"/>
                <w:sz w:val="15"/>
                <w:szCs w:val="15"/>
                <w:color w:val="auto"/>
                <w:vertAlign w:val="superscript"/>
              </w:rPr>
              <w:t>(1)</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2,801</w:t>
            </w:r>
          </w:p>
        </w:tc>
      </w:tr>
      <w:tr>
        <w:trPr>
          <w:trHeight w:val="142"/>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57,929</w:t>
            </w:r>
          </w:p>
        </w:tc>
      </w:tr>
      <w:tr>
        <w:trPr>
          <w:trHeight w:val="160"/>
        </w:trPr>
        <w:tc>
          <w:tcPr>
            <w:tcW w:w="9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Inventory</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34,159</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17,187</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w:t>
            </w: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3,277</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57,929</w:t>
            </w:r>
          </w:p>
        </w:tc>
      </w:tr>
      <w:tr>
        <w:trPr>
          <w:trHeight w:val="20"/>
        </w:trPr>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deferred consideration represents the fair value of the amount to be remitted upon direction of the seller no later than four years from the acquisition date.</w:t>
      </w:r>
    </w:p>
    <w:p>
      <w:pPr>
        <w:spacing w:after="0" w:line="45" w:lineRule="exact"/>
        <w:rPr>
          <w:rFonts w:ascii="Times New Roman" w:cs="Times New Roman" w:eastAsia="Times New Roman" w:hAnsi="Times New Roman"/>
          <w:sz w:val="16"/>
          <w:szCs w:val="16"/>
          <w:color w:val="auto"/>
          <w:vertAlign w:val="superscript"/>
        </w:rPr>
      </w:pPr>
    </w:p>
    <w:p>
      <w:pPr>
        <w:ind w:left="420" w:right="60" w:hanging="212"/>
        <w:spacing w:after="0" w:line="201" w:lineRule="auto"/>
        <w:tabs>
          <w:tab w:leader="none" w:pos="412"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contingent consideration payments over all iterations of the simulation.</w:t>
      </w:r>
    </w:p>
    <w:p>
      <w:pPr>
        <w:spacing w:after="0" w:line="6" w:lineRule="exact"/>
        <w:rPr>
          <w:rFonts w:ascii="Times New Roman" w:cs="Times New Roman" w:eastAsia="Times New Roman" w:hAnsi="Times New Roman"/>
          <w:sz w:val="16"/>
          <w:szCs w:val="16"/>
          <w:color w:val="auto"/>
          <w:vertAlign w:val="superscript"/>
        </w:rPr>
      </w:pPr>
    </w:p>
    <w:p>
      <w:pPr>
        <w:ind w:left="420" w:hanging="212"/>
        <w:spacing w:after="0"/>
        <w:tabs>
          <w:tab w:leader="none" w:pos="42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determination for the Class B units utilized an option pricing model. The seller may request to convert 50% of the Class B Units to shares in the Company no later than five years from the acquisition date.</w:t>
      </w:r>
    </w:p>
    <w:p>
      <w:pPr>
        <w:spacing w:after="0" w:line="4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2"/>
          <w:szCs w:val="12"/>
          <w:color w:val="auto"/>
        </w:rPr>
        <w:t>Goodwill of $34.2 million arising from the acquisition primarily consists of the expected synergies and other benefits from combining operations. There was no goodwill deductible for income tax purposes. The goodwill was 100% allocated to the Company's Merchant Solutions reportable segment.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Acquisitions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Boom Commerce</w:t>
      </w:r>
    </w:p>
    <w:p>
      <w:pPr>
        <w:spacing w:after="0" w:line="15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2"/>
          <w:szCs w:val="12"/>
          <w:color w:val="auto"/>
        </w:rPr>
        <w:t>On August 18, 2025, Priority Boom, LLC, a subsidiary of Priority, completed its acquisition of certain residual portfolio rights for a purchase price of $73.5 million in cash, $13.5 million in Common shares of Priority and earn-out payments not to exceed $17.0 million based on meeting certain thresholds over a three-year period from the date of acquisition. The transaction did not meet the definition of a business; therefore, it was accounted for as an asset purchase under which the cost of the acquisition was allocated to the acquired assets based on relative fair values. As an asset purchase, additional purchase price (in the form of earn-outs) is accounted for when payment to the seller becomes payable and is added to the carrying value of the asset, as long as it does not meet the definition of a derivative.</w:t>
      </w:r>
    </w:p>
    <w:p>
      <w:pPr>
        <w:spacing w:after="0" w:line="200" w:lineRule="exact"/>
        <w:rPr>
          <w:sz w:val="20"/>
          <w:szCs w:val="20"/>
          <w:color w:val="auto"/>
        </w:rPr>
      </w:pPr>
    </w:p>
    <w:p>
      <w:pPr>
        <w:spacing w:after="0" w:line="39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9"/>
        </w:trPr>
        <w:tc>
          <w:tcPr>
            <w:tcW w:w="7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Revenues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7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type:</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7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7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7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185,933</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167,079</w:t>
            </w:r>
          </w:p>
        </w:tc>
      </w:tr>
      <w:tr>
        <w:trPr>
          <w:trHeight w:val="15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41,748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37,449</w:t>
            </w:r>
          </w:p>
        </w:tc>
      </w:tr>
      <w:tr>
        <w:trPr>
          <w:trHeight w:val="153"/>
        </w:trPr>
        <w:tc>
          <w:tcPr>
            <w:tcW w:w="792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Outsourced services and other services</w:t>
            </w:r>
            <w:r>
              <w:rPr>
                <w:rFonts w:ascii="Times New Roman" w:cs="Times New Roman" w:eastAsia="Times New Roman" w:hAnsi="Times New Roman"/>
                <w:sz w:val="15"/>
                <w:szCs w:val="15"/>
                <w:color w:val="auto"/>
                <w:vertAlign w:val="superscript"/>
              </w:rPr>
              <w:t>(2)</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17,002</w:t>
            </w:r>
          </w:p>
        </w:tc>
      </w:tr>
      <w:tr>
        <w:trPr>
          <w:trHeight w:val="15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w:t>
            </w:r>
          </w:p>
        </w:tc>
      </w:tr>
      <w:tr>
        <w:trPr>
          <w:trHeight w:val="142"/>
        </w:trPr>
        <w:tc>
          <w:tcPr>
            <w:tcW w:w="792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5"/>
                <w:szCs w:val="15"/>
                <w:color w:val="auto"/>
                <w:vertAlign w:val="superscript"/>
              </w:rPr>
              <w:t>(1)</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249,558</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224,630</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62" w:lineRule="exact"/>
        <w:rPr>
          <w:rFonts w:ascii="Times New Roman" w:cs="Times New Roman" w:eastAsia="Times New Roman" w:hAnsi="Times New Roman"/>
          <w:sz w:val="16"/>
          <w:szCs w:val="16"/>
          <w:color w:val="auto"/>
          <w:vertAlign w:val="superscript"/>
        </w:rPr>
      </w:pPr>
    </w:p>
    <w:p>
      <w:pPr>
        <w:ind w:left="420" w:right="20" w:hanging="212"/>
        <w:spacing w:after="0" w:line="231" w:lineRule="auto"/>
        <w:tabs>
          <w:tab w:leader="none" w:pos="412"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$14.8 million and $12.6 million of interest income on customer funds for the three months ended March 31, 2026 and 2025, respectively, is included in outsourced services and other services revenue in the table above. Approximately $1.0 million and $1.1 million of interest income on corporate funds for the three months ended March 31, 2026 and 2025, respectively, is included in other income, net on the Company's Unaudited Consolidated Statements of Operations and Comprehensive Income and not reflected in the table above.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gridSpan w:val="6"/>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8"/>
              </w:rPr>
              <w:t>Three Months Ended March 31, 2026</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158,499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161,786</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5,246</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32,441</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41,748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13,815</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58,840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185,933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41,748</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19,826</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2,051</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249,558</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gridSpan w:val="6"/>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8"/>
              </w:rPr>
              <w:t>Three Months Ended March 31, 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147,481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151,690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4,149</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23,918</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37,449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167,079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37,449</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17,002</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3,100</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224,630</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Obligations</w:t>
      </w:r>
    </w:p>
    <w:p>
      <w:pPr>
        <w:spacing w:after="0" w:line="154" w:lineRule="exact"/>
        <w:rPr>
          <w:sz w:val="20"/>
          <w:szCs w:val="20"/>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Settlement assets and obligations include, 1) funds due from merchants arising from settlement of funds for sales and credits between card issuers, merchants, 2) card settlement funds due from networks due to timing and its related obligations, and 3) Customer/Subscriber account balances and related obligations resulting from licensed money transmitter services.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merchants, net</w:t>
      </w:r>
    </w:p>
    <w:p>
      <w:pPr>
        <w:spacing w:after="0" w:line="152"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merchant solution services of the Company include settlement of funds for sales and credits between card issuers, card networks and merchants. The standards of the card networks require possession of funds during the settlement process by a member bank which controls the clearing transactions. Since settlement funds are required to be in the possession of a member bank until merchants are funded, these funds are not assets of the Company, and the associated obligations are not liabilities of the Company. Therefore, neither is recognized in the Company's Unaudited Consolidated Balance Sheets.</w:t>
      </w:r>
    </w:p>
    <w:p>
      <w:pPr>
        <w:spacing w:after="0" w:line="13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merchants through the funds settlement process or merchant reserves are recognized as settlement assets in the Company's Unaudited Consolidated Balance Sheets, with an offsetting reserve for those amounts the Company estimates it will not be able to recover. Exception items that the Company has deemed uncollectible are recorded as merchant losses, a component of cost of revenue in the Company's Unaudited Consolidated Statements of Operations and Comprehensive Income. Expenses for merchant losses net of recoveries for the three months ended March 31, 2026 and 2025 were $1.8 million and $2.0 million, respectively.</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networks and Dues to Customers’ Payees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part of the Payables service offering:</w:t>
      </w:r>
    </w:p>
    <w:p>
      <w:pPr>
        <w:spacing w:after="0" w:line="78" w:lineRule="exact"/>
        <w:rPr>
          <w:sz w:val="20"/>
          <w:szCs w:val="20"/>
          <w:color w:val="auto"/>
        </w:rPr>
      </w:pPr>
    </w:p>
    <w:p>
      <w:pPr>
        <w:jc w:val="both"/>
        <w:ind w:left="428" w:hanging="212"/>
        <w:spacing w:after="0" w:line="265" w:lineRule="auto"/>
        <w:tabs>
          <w:tab w:leader="none" w:pos="425"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accepts card payments for its customers and processes disbursements to their vendors (customers’ payees). The time lag between authorization and settlement of card transactions creates certain receivables (from card networks) and payables (to the vendors of customers). These receivables and payables arise from the settlement activities that the Company performs on behalf of its customers and therefore, are presented as settlement assets and related obligations.</w:t>
      </w:r>
    </w:p>
    <w:p>
      <w:pPr>
        <w:spacing w:after="0" w:line="136" w:lineRule="exact"/>
        <w:rPr>
          <w:rFonts w:ascii="Times New Roman" w:cs="Times New Roman" w:eastAsia="Times New Roman" w:hAnsi="Times New Roman"/>
          <w:sz w:val="12"/>
          <w:szCs w:val="12"/>
          <w:color w:val="auto"/>
        </w:rPr>
      </w:pPr>
    </w:p>
    <w:p>
      <w:pPr>
        <w:jc w:val="both"/>
        <w:ind w:left="428" w:hanging="212"/>
        <w:spacing w:after="0" w:line="260" w:lineRule="auto"/>
        <w:tabs>
          <w:tab w:leader="none" w:pos="425"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processes payments to the customers’ payees wherein customers funds are received either in Company-owned bank accounts controlled by the Company or bank-owned FBO accounts controlled by the banks, until such time that the transactions are settled with the customers’ payees. Balances in the bank-owned FBO accounts and related obligations are not considered assets and obligations of the Company. Therefore, neither is recognized in the Company's Unaudited Consolidated Balance Sheets. Amounts due to customers’ payees that are held in Company-owned bank accounts are included in restricted cash in the Company's Unaudited Consolidated Balance Sheets and related obligations are presented as due to customers’ payees.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2"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i w:val="1"/>
          <w:iCs w:val="1"/>
          <w:color w:val="auto"/>
        </w:rPr>
        <w:t>MTL Customer cash and cash equivalents (restricted in nature), short-term investments and MTL Customer account obligations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Company provides treasury solutions to its customers through its money transmission licenses in 46 states, the District of Columbia, and 2 territories of the United States and through agency relationships with banks in the remaining states. These services include the acceptance and disbursement of funds. While waiting for disbursement, these funds are held in bank accounts maintained by the Company on behalf of its customers. Per the money transmission regulations, the Company is allowed to invest available balances in these accounts in certain permitted investments, and returns on such investments contribute to the Company's net cash inflows. As such, the Company recognized these balances and related obligations on its balance sheet. Considering these balances are payable on demand and are related to settlement activities, they are presented as settlement assets (as part of the current assets) and the related obligations as settlement obligations (as part of the current liabilities) in the Company's Unaudited Consolidated Balance Sheets. The nature of these MTL Customer cash and cash equivalent are restricted in nature and therefore these balances are presented as restricted cash on the Company's Unaudited Consolidated Statements of Cash Flows. The MTL Short-term investments are included within other investing activities on the Company's Unaudited Consolidated Statements of Cash Flows.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consolidated settlement assets and obligations were as follows:</w:t>
            </w: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315"/>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Card settlements due from merchants</w:t>
            </w:r>
            <w:r>
              <w:rPr>
                <w:rFonts w:ascii="Times New Roman" w:cs="Times New Roman" w:eastAsia="Times New Roman" w:hAnsi="Times New Roman"/>
                <w:sz w:val="15"/>
                <w:szCs w:val="15"/>
                <w:color w:val="auto"/>
                <w:vertAlign w:val="superscript"/>
              </w:rPr>
              <w:t>(1)(2)</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2,239</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4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16,092</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Subtotal</w:t>
            </w:r>
          </w:p>
        </w:tc>
        <w:tc>
          <w:tcPr>
            <w:tcW w:w="44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18,547</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MTL Customer cash and cash equivalents (restricted in nature)</w:t>
            </w:r>
            <w:r>
              <w:rPr>
                <w:rFonts w:ascii="Times New Roman" w:cs="Times New Roman" w:eastAsia="Times New Roman" w:hAnsi="Times New Roman"/>
                <w:sz w:val="15"/>
                <w:szCs w:val="15"/>
                <w:color w:val="auto"/>
                <w:vertAlign w:val="superscript"/>
              </w:rPr>
              <w:t>(3)</w:t>
            </w:r>
          </w:p>
        </w:tc>
        <w:tc>
          <w:tcPr>
            <w:tcW w:w="440" w:type="dxa"/>
            <w:vAlign w:val="bottom"/>
            <w:shd w:val="clear" w:color="auto" w:fill="CCEEFF"/>
          </w:tcPr>
          <w:p>
            <w:pPr>
              <w:spacing w:after="0"/>
              <w:rPr>
                <w:sz w:val="13"/>
                <w:szCs w:val="1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1,343,326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1,252,349</w:t>
            </w: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MTL Short-term investments</w:t>
            </w:r>
          </w:p>
        </w:tc>
        <w:tc>
          <w:tcPr>
            <w:tcW w:w="440" w:type="dxa"/>
            <w:vAlign w:val="bottom"/>
          </w:tcPr>
          <w:p>
            <w:pPr>
              <w:spacing w:after="0"/>
              <w:rPr>
                <w:sz w:val="13"/>
                <w:szCs w:val="13"/>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r>
      <w:tr>
        <w:trPr>
          <w:trHeight w:val="158"/>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w:t>
            </w:r>
          </w:p>
        </w:tc>
        <w:tc>
          <w:tcPr>
            <w:tcW w:w="4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1,355,757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1,295,896</w:t>
            </w:r>
          </w:p>
        </w:tc>
      </w:tr>
      <w:tr>
        <w:trPr>
          <w:trHeight w:val="126"/>
        </w:trPr>
        <w:tc>
          <w:tcPr>
            <w:tcW w:w="6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Settlement Obligations:</w:t>
            </w:r>
          </w:p>
        </w:tc>
        <w:tc>
          <w:tcPr>
            <w:tcW w:w="4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MTL Customer account obligations</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1,319,801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1,244,975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4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22,386</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32,031</w:t>
            </w:r>
          </w:p>
        </w:tc>
      </w:tr>
      <w:tr>
        <w:trPr>
          <w:trHeight w:val="142"/>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4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1,342,187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1,277,006</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(4)(5)</w:t>
            </w:r>
          </w:p>
        </w:tc>
        <w:tc>
          <w:tcPr>
            <w:tcW w:w="44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20,257</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settlement obligations</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1,356,128</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1,297,263</w:t>
            </w:r>
          </w:p>
        </w:tc>
      </w:tr>
      <w:tr>
        <w:trPr>
          <w:trHeight w:val="20"/>
        </w:trPr>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were $5.2 million and $7.1 million as of March 31, 2026 and December 31, 2025, respectively.</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merchant funds held at member banks of $114.0 million and $103.9 million on March 31, 2026 and December 31, 2025, respectively.</w:t>
      </w:r>
    </w:p>
    <w:p>
      <w:pPr>
        <w:spacing w:after="0" w:line="61" w:lineRule="exact"/>
        <w:rPr>
          <w:rFonts w:ascii="Times New Roman" w:cs="Times New Roman" w:eastAsia="Times New Roman" w:hAnsi="Times New Roman"/>
          <w:sz w:val="16"/>
          <w:szCs w:val="16"/>
          <w:color w:val="auto"/>
          <w:vertAlign w:val="superscript"/>
        </w:rPr>
      </w:pPr>
    </w:p>
    <w:p>
      <w:pPr>
        <w:ind w:left="420" w:right="60" w:hanging="212"/>
        <w:spacing w:after="0" w:line="222" w:lineRule="auto"/>
        <w:tabs>
          <w:tab w:leader="none" w:pos="4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funds held under agency arrangement with member banks (in states where the Company does not have a money transmitter license), balances remain under the control of the member banks (therefore not the assets or obligations of the Company). Agency owned accounts held $34.9 million and $50.3 million at March 31, 2026 and December 31, 2025, respectively.</w:t>
      </w:r>
    </w:p>
    <w:p>
      <w:pPr>
        <w:spacing w:after="0" w:line="62" w:lineRule="exact"/>
        <w:rPr>
          <w:rFonts w:ascii="Times New Roman" w:cs="Times New Roman" w:eastAsia="Times New Roman" w:hAnsi="Times New Roman"/>
          <w:sz w:val="16"/>
          <w:szCs w:val="16"/>
          <w:color w:val="auto"/>
          <w:vertAlign w:val="superscript"/>
        </w:rPr>
      </w:pPr>
    </w:p>
    <w:p>
      <w:pPr>
        <w:ind w:left="420" w:right="340" w:hanging="212"/>
        <w:spacing w:after="0" w:line="222" w:lineRule="auto"/>
        <w:tabs>
          <w:tab w:leader="none" w:pos="4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$10.2 million and $16.1 million as of March 31, 2026 and December 31, 2025, respectively, of card settlements due from networks and the remainder is included in restricted cash on our Unaudited Consolidated Balance Sheets.</w:t>
      </w:r>
    </w:p>
    <w:p>
      <w:pPr>
        <w:spacing w:after="0" w:line="62" w:lineRule="exact"/>
        <w:rPr>
          <w:rFonts w:ascii="Times New Roman" w:cs="Times New Roman" w:eastAsia="Times New Roman" w:hAnsi="Times New Roman"/>
          <w:sz w:val="16"/>
          <w:szCs w:val="16"/>
          <w:color w:val="auto"/>
          <w:vertAlign w:val="superscript"/>
        </w:rPr>
      </w:pPr>
    </w:p>
    <w:p>
      <w:pPr>
        <w:ind w:left="420" w:right="140" w:hanging="212"/>
        <w:spacing w:after="0" w:line="222" w:lineRule="auto"/>
        <w:tabs>
          <w:tab w:leader="none" w:pos="4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amounts due to customer payees that are held in bank-owned FBO accounts which are not assets of the Company, and the associated obligations are not liabilities of the Company. Therefore, neither is recognized in the Company's Unaudited Consolidated Balance Sheets. Bank-owned FBO accounts held funds of $177.1 million and $151.8 million at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17" w:name="page18"/>
    <w:bookmarkEnd w:id="17"/>
    <w:p>
      <w:pPr>
        <w:spacing w:after="0"/>
        <w:tabs>
          <w:tab w:leader="none" w:pos="220" w:val="left"/>
        </w:tabs>
        <w:rPr>
          <w:sz w:val="20"/>
          <w:szCs w:val="20"/>
          <w:color w:val="auto"/>
        </w:rPr>
      </w:pPr>
      <w:r>
        <w:rPr>
          <w:rFonts w:ascii="Times New Roman" w:cs="Times New Roman" w:eastAsia="Times New Roman" w:hAnsi="Times New Roman"/>
          <w:sz w:val="12"/>
          <w:szCs w:val="12"/>
          <w:b w:val="1"/>
          <w:bCs w:val="1"/>
          <w:color w:val="auto"/>
        </w:rPr>
        <w:t>5.</w:t>
        <w:tab/>
        <w:t>Notes Receivable</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$27.8 million and $19.7 million as of March 31, 2026 and December 31, 2025, respectively, which are reported as current portion of notes receivable and notes receivable less current portion on the Company's Unaudited Consolidated Balance Sheets. The notes receivable carried weighted-average interest rates of 13.1% and 13.6% as of March 31, 2026 and December 31, 2025, respectively. The notes are receivables from ISOs and ISVs, which are made with a term of 1-5 years. Under the terms of the agreements, the Company will hold back residual payments due to the ISOs and ISVs and apply such residuals against future payment due to the Company. As of March 31, 2026 and December 31, 2025, there were no allowance for expected losses on notes receivable.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for activity within the notes receivable as of March 31, 2026:</w:t>
      </w:r>
    </w:p>
    <w:p>
      <w:pPr>
        <w:spacing w:after="0" w:line="1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6600" w:type="dxa"/>
            <w:vAlign w:val="bottom"/>
            <w:tcBorders>
              <w:top w:val="single" w:sz="8" w:color="auto"/>
            </w:tcBorders>
            <w:gridSpan w:val="2"/>
            <w:shd w:val="clear" w:color="auto" w:fill="CCEEFF"/>
          </w:tcPr>
          <w:p>
            <w:pPr>
              <w:jc w:val="right"/>
              <w:ind w:right="68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19,691</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Principal payments received</w:t>
            </w:r>
          </w:p>
        </w:tc>
        <w:tc>
          <w:tcPr>
            <w:tcW w:w="5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58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8,575</w:t>
            </w:r>
          </w:p>
        </w:tc>
        <w:tc>
          <w:tcPr>
            <w:tcW w:w="0" w:type="dxa"/>
            <w:vAlign w:val="bottom"/>
          </w:tcPr>
          <w:p>
            <w:pPr>
              <w:spacing w:after="0"/>
              <w:rPr>
                <w:sz w:val="1"/>
                <w:szCs w:val="1"/>
                <w:color w:val="auto"/>
              </w:rPr>
            </w:pPr>
          </w:p>
        </w:tc>
      </w:tr>
      <w:tr>
        <w:trPr>
          <w:trHeight w:val="142"/>
        </w:trPr>
        <w:tc>
          <w:tcPr>
            <w:tcW w:w="27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March 31, 2026</w:t>
            </w:r>
          </w:p>
        </w:tc>
        <w:tc>
          <w:tcPr>
            <w:tcW w:w="5800" w:type="dxa"/>
            <w:vAlign w:val="bottom"/>
          </w:tcPr>
          <w:p>
            <w:pPr>
              <w:spacing w:after="0"/>
              <w:rPr>
                <w:sz w:val="12"/>
                <w:szCs w:val="12"/>
                <w:color w:val="auto"/>
              </w:rPr>
            </w:pPr>
          </w:p>
        </w:tc>
        <w:tc>
          <w:tcPr>
            <w:tcW w:w="8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27,750</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As of March 31, 2026, the principal payments for t</w:t>
            </w: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720" w:type="dxa"/>
            <w:vAlign w:val="bottom"/>
            <w:vMerge w:val="continue"/>
          </w:tcPr>
          <w:p>
            <w:pPr>
              <w:spacing w:after="0"/>
              <w:rPr>
                <w:sz w:val="24"/>
                <w:szCs w:val="24"/>
                <w:color w:val="auto"/>
              </w:rPr>
            </w:pPr>
          </w:p>
        </w:tc>
        <w:tc>
          <w:tcPr>
            <w:tcW w:w="5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he Company's notes receivable are due as follows:</w:t>
            </w:r>
          </w:p>
        </w:tc>
        <w:tc>
          <w:tcPr>
            <w:tcW w:w="5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7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Twelve months ending March 31,</w:t>
            </w:r>
          </w:p>
        </w:tc>
        <w:tc>
          <w:tcPr>
            <w:tcW w:w="5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7420" w:type="dxa"/>
            <w:vAlign w:val="bottom"/>
            <w:gridSpan w:val="3"/>
            <w:shd w:val="clear" w:color="auto" w:fill="CCEEFF"/>
          </w:tcPr>
          <w:p>
            <w:pPr>
              <w:jc w:val="right"/>
              <w:ind w:right="706"/>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2,410</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5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5,536</w:t>
            </w: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5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6,612</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2030</w:t>
            </w:r>
          </w:p>
        </w:tc>
        <w:tc>
          <w:tcPr>
            <w:tcW w:w="5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5,579</w:t>
            </w: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2031</w:t>
            </w:r>
          </w:p>
        </w:tc>
        <w:tc>
          <w:tcPr>
            <w:tcW w:w="5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7,613</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58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600" w:type="dxa"/>
            <w:vAlign w:val="bottom"/>
            <w:tcBorders>
              <w:bottom w:val="single" w:sz="8" w:color="CCEEFF"/>
            </w:tcBorders>
            <w:gridSpan w:val="2"/>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27,750</w:t>
            </w:r>
          </w:p>
        </w:tc>
        <w:tc>
          <w:tcPr>
            <w:tcW w:w="0" w:type="dxa"/>
            <w:vAlign w:val="bottom"/>
          </w:tcPr>
          <w:p>
            <w:pPr>
              <w:spacing w:after="0"/>
              <w:rPr>
                <w:sz w:val="1"/>
                <w:szCs w:val="1"/>
                <w:color w:val="auto"/>
              </w:rPr>
            </w:pPr>
          </w:p>
        </w:tc>
      </w:tr>
      <w:tr>
        <w:trPr>
          <w:trHeight w:val="806"/>
        </w:trPr>
        <w:tc>
          <w:tcPr>
            <w:tcW w:w="2720" w:type="dxa"/>
            <w:vAlign w:val="bottom"/>
          </w:tcPr>
          <w:p>
            <w:pPr>
              <w:spacing w:after="0"/>
              <w:rPr>
                <w:sz w:val="24"/>
                <w:szCs w:val="24"/>
                <w:color w:val="auto"/>
              </w:rPr>
            </w:pPr>
          </w:p>
        </w:tc>
        <w:tc>
          <w:tcPr>
            <w:tcW w:w="5800" w:type="dxa"/>
            <w:vAlign w:val="bottom"/>
          </w:tcPr>
          <w:p>
            <w:pPr>
              <w:jc w:val="right"/>
              <w:ind w:right="5320"/>
              <w:spacing w:after="0"/>
              <w:rPr>
                <w:sz w:val="20"/>
                <w:szCs w:val="20"/>
                <w:color w:val="auto"/>
              </w:rPr>
            </w:pPr>
            <w:r>
              <w:rPr>
                <w:rFonts w:ascii="Times New Roman" w:cs="Times New Roman" w:eastAsia="Times New Roman" w:hAnsi="Times New Roman"/>
                <w:sz w:val="12"/>
                <w:szCs w:val="12"/>
                <w:color w:val="auto"/>
              </w:rPr>
              <w:t>15</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9A9A9A"/>
            </w:tcBorders>
          </w:tcPr>
          <w:p>
            <w:pPr>
              <w:spacing w:after="0"/>
              <w:rPr>
                <w:sz w:val="18"/>
                <w:szCs w:val="18"/>
                <w:color w:val="auto"/>
              </w:rPr>
            </w:pPr>
          </w:p>
        </w:tc>
        <w:tc>
          <w:tcPr>
            <w:tcW w:w="58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Property, Equipment and Software</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5"/>
        </w:trPr>
        <w:tc>
          <w:tcPr>
            <w:tcW w:w="73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60" w:type="dxa"/>
            <w:vAlign w:val="bottom"/>
          </w:tcPr>
          <w:p>
            <w:pPr>
              <w:spacing w:after="0"/>
              <w:rPr>
                <w:sz w:val="24"/>
                <w:szCs w:val="24"/>
                <w:color w:val="auto"/>
              </w:rPr>
            </w:pPr>
          </w:p>
        </w:tc>
        <w:tc>
          <w:tcPr>
            <w:tcW w:w="164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42"/>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3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130,056</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125,073</w:t>
            </w: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14,037</w:t>
            </w: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2,621</w:t>
            </w:r>
          </w:p>
        </w:tc>
      </w:tr>
      <w:tr>
        <w:trPr>
          <w:trHeight w:val="153"/>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147,341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142,606</w:t>
            </w: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(86,245)</w:t>
            </w: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2,275</w:t>
            </w: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3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59,785</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58,636</w:t>
            </w:r>
          </w:p>
        </w:tc>
      </w:tr>
      <w:tr>
        <w:trPr>
          <w:trHeight w:val="20"/>
        </w:trPr>
        <w:tc>
          <w:tcPr>
            <w:tcW w:w="7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354"/>
        </w:trPr>
        <w:tc>
          <w:tcPr>
            <w:tcW w:w="7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10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Certain fully depreciated assets were removed from service during the three months ended March 31, 2026 and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Intangible Assets</w:t>
            </w: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reportable segments: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4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42"/>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Merchant Solutions</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158,298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158,298</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Treasury Solutions</w:t>
            </w:r>
          </w:p>
        </w:tc>
        <w:tc>
          <w:tcPr>
            <w:tcW w:w="34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250,997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251,103</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Payables</w:t>
            </w:r>
          </w:p>
        </w:tc>
        <w:tc>
          <w:tcPr>
            <w:tcW w:w="34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416,535</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416,641</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3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416,641</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34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2026</w:t>
            </w:r>
          </w:p>
        </w:tc>
        <w:tc>
          <w:tcPr>
            <w:tcW w:w="34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416,535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2026, the Company is not aware of any triggering events for impairment that have occurred since the last annual impairment test.</w:t>
      </w:r>
    </w:p>
    <w:p>
      <w:pPr>
        <w:spacing w:after="0" w:line="200" w:lineRule="exact"/>
        <w:rPr>
          <w:sz w:val="20"/>
          <w:szCs w:val="20"/>
          <w:color w:val="auto"/>
        </w:rPr>
      </w:pPr>
    </w:p>
    <w:p>
      <w:pPr>
        <w:spacing w:after="0" w:line="34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Intangible Assets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March 31, 2026</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5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223,016</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(67,372)</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155,644</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(124,755)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53,109</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6.0</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139,436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39,409</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(69,662)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13,688</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29,583</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8.7</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13,320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702,676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(400,158)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302,518</w:t>
            </w:r>
          </w:p>
        </w:tc>
        <w:tc>
          <w:tcPr>
            <w:tcW w:w="1620" w:type="dxa"/>
            <w:vAlign w:val="bottom"/>
            <w:tcBorders>
              <w:top w:val="single" w:sz="8" w:color="CCEEFF"/>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assets have an indefinite useful life.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5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223,016</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(63,701)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159,315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(119,861)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58,003</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6.0</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139,463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40,985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8.8</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(68,787)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14,563</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63,602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30,918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13,329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702,724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(387,534)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315,190</w:t>
            </w:r>
          </w:p>
        </w:tc>
        <w:tc>
          <w:tcPr>
            <w:tcW w:w="1620" w:type="dxa"/>
            <w:vAlign w:val="bottom"/>
            <w:tcBorders>
              <w:top w:val="single" w:sz="8" w:color="CCEEFF"/>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9.4</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assets have an indefinite useful life.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60" w:type="dxa"/>
            <w:vAlign w:val="bottom"/>
            <w:tcBorders>
              <w:bottom w:val="single" w:sz="8" w:color="auto"/>
            </w:tcBorders>
          </w:tcPr>
          <w:p>
            <w:pPr>
              <w:spacing w:after="0"/>
              <w:rPr>
                <w:sz w:val="13"/>
                <w:szCs w:val="13"/>
                <w:color w:val="auto"/>
              </w:rPr>
            </w:pPr>
          </w:p>
        </w:tc>
      </w:tr>
      <w:tr>
        <w:trPr>
          <w:trHeight w:val="142"/>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44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13,242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9,915</w:t>
            </w:r>
          </w:p>
        </w:tc>
      </w:tr>
    </w:tbl>
    <w:p>
      <w:pPr>
        <w:spacing w:after="0" w:line="196" w:lineRule="exact"/>
        <w:rPr>
          <w:sz w:val="20"/>
          <w:szCs w:val="20"/>
          <w:color w:val="auto"/>
        </w:rPr>
      </w:pPr>
    </w:p>
    <w:p>
      <w:pPr>
        <w:ind w:right="2260" w:firstLine="208"/>
        <w:spacing w:after="0" w:line="450" w:lineRule="auto"/>
        <w:tabs>
          <w:tab w:leader="none" w:pos="424"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$0.6 million for the three months ended March 31, 2026 and 2025, respectively, related to the amortization of certain contract acquisition costs. As of March 31, 2026, there were no impairment indicators present.</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59"/>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Debt Obligations</w:t>
            </w: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300" w:type="dxa"/>
            <w:vAlign w:val="bottom"/>
          </w:tcPr>
          <w:p>
            <w:pPr>
              <w:spacing w:after="0"/>
              <w:rPr>
                <w:sz w:val="24"/>
                <w:szCs w:val="2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3"/>
        </w:trPr>
        <w:tc>
          <w:tcPr>
            <w:tcW w:w="72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32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July 31, 2032, interest rate of 7.42% and 7.47% at March 31, 2026 and December 31, 2025, respectively</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1,020,000</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1,020,000</w:t>
            </w:r>
          </w:p>
        </w:tc>
        <w:tc>
          <w:tcPr>
            <w:tcW w:w="0" w:type="dxa"/>
            <w:vAlign w:val="bottom"/>
          </w:tcPr>
          <w:p>
            <w:pPr>
              <w:spacing w:after="0"/>
              <w:rPr>
                <w:sz w:val="1"/>
                <w:szCs w:val="1"/>
                <w:color w:val="auto"/>
              </w:rPr>
            </w:pPr>
          </w:p>
        </w:tc>
      </w:tr>
      <w:tr>
        <w:trPr>
          <w:trHeight w:val="117"/>
        </w:trPr>
        <w:tc>
          <w:tcPr>
            <w:tcW w:w="7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Revolving credit facility - $100.0 million line matures July 31, 2030, interest rate of 7.17% and 7.22% at March 31, 2026 and December 31, 2025,</w:t>
            </w:r>
          </w:p>
        </w:tc>
        <w:tc>
          <w:tcPr>
            <w:tcW w:w="32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9"/>
        </w:trPr>
        <w:tc>
          <w:tcPr>
            <w:tcW w:w="7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respectively</w:t>
            </w:r>
          </w:p>
        </w:tc>
        <w:tc>
          <w:tcPr>
            <w:tcW w:w="320" w:type="dxa"/>
            <w:vAlign w:val="bottom"/>
            <w:shd w:val="clear" w:color="auto" w:fill="CCEEFF"/>
          </w:tcPr>
          <w:p>
            <w:pPr>
              <w:spacing w:after="0"/>
              <w:rPr>
                <w:sz w:val="8"/>
                <w:szCs w:val="8"/>
                <w:color w:val="auto"/>
              </w:rPr>
            </w:pPr>
          </w:p>
        </w:tc>
        <w:tc>
          <w:tcPr>
            <w:tcW w:w="17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20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Residual Finance Credit Facility</w:t>
            </w: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 - matures August 18, 2031, interest rate of 9.93% and 9.98% at March 31, 2026 and December 31, 2025, respectively</w:t>
            </w:r>
          </w:p>
        </w:tc>
        <w:tc>
          <w:tcPr>
            <w:tcW w:w="32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42,003</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35,394</w:t>
            </w:r>
          </w:p>
        </w:tc>
        <w:tc>
          <w:tcPr>
            <w:tcW w:w="0" w:type="dxa"/>
            <w:vAlign w:val="bottom"/>
          </w:tcPr>
          <w:p>
            <w:pPr>
              <w:spacing w:after="0"/>
              <w:rPr>
                <w:sz w:val="1"/>
                <w:szCs w:val="1"/>
                <w:color w:val="auto"/>
              </w:rPr>
            </w:pPr>
          </w:p>
        </w:tc>
      </w:tr>
      <w:tr>
        <w:trPr>
          <w:trHeight w:val="142"/>
        </w:trPr>
        <w:tc>
          <w:tcPr>
            <w:tcW w:w="7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32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1,062,003</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1,055,394</w:t>
            </w: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3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(15,569)</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(16,036)</w:t>
            </w:r>
          </w:p>
        </w:tc>
        <w:tc>
          <w:tcPr>
            <w:tcW w:w="0" w:type="dxa"/>
            <w:vAlign w:val="bottom"/>
          </w:tcPr>
          <w:p>
            <w:pPr>
              <w:spacing w:after="0"/>
              <w:rPr>
                <w:sz w:val="1"/>
                <w:szCs w:val="1"/>
                <w:color w:val="auto"/>
              </w:rPr>
            </w:pPr>
          </w:p>
        </w:tc>
      </w:tr>
      <w:tr>
        <w:trPr>
          <w:trHeight w:val="158"/>
        </w:trPr>
        <w:tc>
          <w:tcPr>
            <w:tcW w:w="7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1,045,909</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1,039,358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160" w:type="dxa"/>
            <w:vAlign w:val="bottom"/>
            <w:tcBorders>
              <w:bottom w:val="single" w:sz="8" w:color="auto"/>
            </w:tcBorders>
          </w:tcPr>
          <w:p>
            <w:pPr>
              <w:spacing w:after="0"/>
              <w:rPr>
                <w:sz w:val="13"/>
                <w:szCs w:val="13"/>
                <w:color w:val="auto"/>
              </w:rPr>
            </w:pPr>
          </w:p>
        </w:tc>
      </w:tr>
      <w:tr>
        <w:trPr>
          <w:trHeight w:val="142"/>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23,176</w:t>
            </w:r>
          </w:p>
        </w:tc>
      </w:tr>
    </w:tbl>
    <w:p>
      <w:pPr>
        <w:spacing w:after="0" w:line="158"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$0.4 million and $1.0 million related to the accretion of deferred consideration from acquisitions for the three months ended March 31, 2026 and 2025, respectively.</w:t>
      </w:r>
    </w:p>
    <w:p>
      <w:pPr>
        <w:spacing w:after="0" w:line="54" w:lineRule="exact"/>
        <w:rPr>
          <w:rFonts w:ascii="Times New Roman" w:cs="Times New Roman" w:eastAsia="Times New Roman" w:hAnsi="Times New Roman"/>
          <w:sz w:val="16"/>
          <w:szCs w:val="16"/>
          <w:color w:val="auto"/>
          <w:vertAlign w:val="superscript"/>
        </w:rPr>
      </w:pPr>
    </w:p>
    <w:p>
      <w:pPr>
        <w:ind w:left="420" w:hanging="212"/>
        <w:spacing w:after="0" w:line="211" w:lineRule="auto"/>
        <w:tabs>
          <w:tab w:leader="none" w:pos="42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$0.5 million and $0.4 million for the three months ended March 31, 2026 and 2025,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Covenants</w:t>
      </w:r>
    </w:p>
    <w:p>
      <w:pPr>
        <w:spacing w:after="0" w:line="8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4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2025 through March 31, 2026; 2) 6.40:1.00 at each fiscal quarter ended June 30, 2026 and each fiscal quarter thereafter.</w:t>
      </w:r>
    </w:p>
    <w:p>
      <w:pPr>
        <w:spacing w:after="0" w:line="47"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The Residual Finance credit facility contains customary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w:t>
      </w:r>
    </w:p>
    <w:p>
      <w:pPr>
        <w:spacing w:after="0" w:line="200" w:lineRule="exact"/>
        <w:rPr>
          <w:sz w:val="20"/>
          <w:szCs w:val="20"/>
          <w:color w:val="auto"/>
        </w:rPr>
      </w:pP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color w:val="auto"/>
        </w:rPr>
        <w:t>Company, merge or consolidate, dispose of assets, incur additional indebtedness, make certain investments or acquisitions, and enter into certain transactions (including with affiliates).</w:t>
      </w:r>
    </w:p>
    <w:p>
      <w:pPr>
        <w:spacing w:after="0" w:line="78" w:lineRule="exact"/>
        <w:rPr>
          <w:sz w:val="20"/>
          <w:szCs w:val="20"/>
          <w:color w:val="auto"/>
        </w:rPr>
      </w:pPr>
    </w:p>
    <w:p>
      <w:pPr>
        <w:ind w:left="8" w:right="340"/>
        <w:spacing w:after="0" w:line="279" w:lineRule="auto"/>
        <w:rPr>
          <w:sz w:val="20"/>
          <w:szCs w:val="20"/>
          <w:color w:val="auto"/>
        </w:rPr>
      </w:pPr>
      <w:r>
        <w:rPr>
          <w:rFonts w:ascii="Times New Roman" w:cs="Times New Roman" w:eastAsia="Times New Roman" w:hAnsi="Times New Roman"/>
          <w:sz w:val="12"/>
          <w:szCs w:val="12"/>
          <w:color w:val="auto"/>
        </w:rPr>
        <w:t>The Residual Finance credit facility requires the Company to comply with certain restrictions including minimum liquidity of $2.0 million, minimum tangible net worth of $5.0 million, maximum default ratio of 2.5%, maximum delinquency ratio of 5.0%, and a minimum excess spread ratio of 1.00 to 1.00.</w:t>
      </w:r>
    </w:p>
    <w:p>
      <w:pPr>
        <w:spacing w:after="0" w:line="107" w:lineRule="exact"/>
        <w:rPr>
          <w:sz w:val="20"/>
          <w:szCs w:val="20"/>
          <w:color w:val="auto"/>
        </w:rPr>
      </w:pPr>
    </w:p>
    <w:p>
      <w:pPr>
        <w:ind w:left="208" w:hanging="208"/>
        <w:spacing w:after="0"/>
        <w:tabs>
          <w:tab w:leader="none" w:pos="20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months ended March 31, 2026 was 27.2% compared to a consolidated effective income tax rate of 21.4% for the three months ended March 31, 2025. The effective rates differed from the statutory rate of 21.0% primarily due to certain forecasted nondeductible expenses.</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ind w:left="8"/>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87" w:lineRule="exact"/>
        <w:rPr>
          <w:sz w:val="20"/>
          <w:szCs w:val="20"/>
          <w:color w:val="auto"/>
        </w:rPr>
      </w:pPr>
    </w:p>
    <w:p>
      <w:pPr>
        <w:ind w:left="8" w:right="34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March 31, 2026, the Company continues to record a full valuation allowance against certain transaction costs, and net deferred tax assets acquired as part of the Payslate acquisition. The Company will continue to evaluate the realizability of the net deferred tax asset on a quarterly basis and, as a result, the valuation allowance may change in future periods.</w:t>
      </w:r>
    </w:p>
    <w:p>
      <w:pPr>
        <w:spacing w:after="0" w:line="107" w:lineRule="exact"/>
        <w:rPr>
          <w:sz w:val="20"/>
          <w:szCs w:val="20"/>
          <w:color w:val="auto"/>
        </w:rPr>
      </w:pPr>
    </w:p>
    <w:p>
      <w:pPr>
        <w:ind w:left="308" w:hanging="308"/>
        <w:spacing w:after="0"/>
        <w:tabs>
          <w:tab w:leader="none" w:pos="308"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March 31, 2026 and December 31, 2025, the Company has not issued any shares of preferred stock.</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In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has purchased 1,309,374 shares for $5.8 million under this plan. On May 5, 2025, the Company's Board of Directors amended the program to increase the authorization to 5,000,000 shares of its outstanding common stock for a total of $40.0 million. There have been no shares repurchased under this plan since the year ended December 31, 2022.</w:t>
      </w:r>
    </w:p>
    <w:p>
      <w:pPr>
        <w:spacing w:after="0" w:line="200" w:lineRule="exact"/>
        <w:rPr>
          <w:sz w:val="20"/>
          <w:szCs w:val="20"/>
          <w:color w:val="auto"/>
        </w:rPr>
      </w:pPr>
    </w:p>
    <w:p>
      <w:pPr>
        <w:spacing w:after="0" w:line="390"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0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  Stock-based Compensation</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88"/>
        </w:trPr>
        <w:tc>
          <w:tcPr>
            <w:tcW w:w="9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Stock-based compensation expense, which is included in salary and employee benefits within the Unaudited Consolidated Statements of Operations and Comprehensive Income, was as follows: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78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8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1,843</w:t>
            </w:r>
          </w:p>
        </w:tc>
        <w:tc>
          <w:tcPr>
            <w:tcW w:w="8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w:t>
            </w:r>
          </w:p>
        </w:tc>
      </w:tr>
      <w:tr>
        <w:trPr>
          <w:trHeight w:val="1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53"/>
        </w:trPr>
        <w:tc>
          <w:tcPr>
            <w:tcW w:w="7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Liability-classified compensation expense</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2"/>
        </w:trPr>
        <w:tc>
          <w:tcPr>
            <w:tcW w:w="7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2,088</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1,586</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Income tax expense for stock-based compensation was $0.1 million for the three months ended March 31, 2026. Income tax benefit for stock-based compensation was $0.7 million for the three months ended March 31, 2025. No stock-based compensation has been capitalized in any period presented. Awards granted during the three months ended March 31, 2026 and 2025, were not material.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2018 Plan</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2026, the Company had 1,121,191 shares available for issuance under the 2018 Plan.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2021 Employee Stock Purchase Plan</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2021 Employee Stock Purchase Plan ("ESPP")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ESPP.</w:t>
      </w:r>
    </w:p>
    <w:p>
      <w:pPr>
        <w:spacing w:after="0" w:line="39"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2"/>
          <w:szCs w:val="12"/>
          <w:color w:val="auto"/>
        </w:rPr>
        <w:t>Under the ESPP,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ESPP provides eligible employees the opportunity to purchase shares of the Company's Common stock at 95% of the lesser of the fair value on the first and last trading day of each offering period. The ESPP was amended by shareholder approval on June 13, 2025, to increase the number of shares available by 200,000.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2026, the Company had 156,437 shares available for issuance under the 2021 Stock Purchase Plan.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Non-voting Incentive Units</w:t>
      </w:r>
    </w:p>
    <w:p>
      <w:pPr>
        <w:spacing w:after="0" w:line="1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 xml:space="preserve">The Company issued non-voting incentive units to certain employees and partners in seven subsidiaries. These non-voting incentive units were determined to be equity and are accounted for under ASC 718, </w:t>
      </w:r>
      <w:r>
        <w:rPr>
          <w:rFonts w:ascii="Times New Roman" w:cs="Times New Roman" w:eastAsia="Times New Roman" w:hAnsi="Times New Roman"/>
          <w:sz w:val="12"/>
          <w:szCs w:val="12"/>
          <w:i w:val="1"/>
          <w:iCs w:val="1"/>
          <w:color w:val="auto"/>
        </w:rPr>
        <w:t>Compensation -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Compensation</w:t>
      </w:r>
      <w:r>
        <w:rPr>
          <w:rFonts w:ascii="Times New Roman" w:cs="Times New Roman" w:eastAsia="Times New Roman" w:hAnsi="Times New Roman"/>
          <w:sz w:val="12"/>
          <w:szCs w:val="12"/>
          <w:color w:val="auto"/>
        </w:rPr>
        <w:t>. The non-voting incentive units are either fully vested when granted, or vest according to the service period and/or performance measure noted in the grant agreement. As the non-voting incentive units are vested, they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recognized as NCI to the Company, who is the majority owner of the subsidiaries.</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3" w:name="page24"/>
    <w:bookmarkEnd w:id="23"/>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March 31, 2026, the Company is committed to pay minimum processing fees under these agreements as noted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Period Ending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940" w:type="dxa"/>
            <w:vAlign w:val="bottom"/>
            <w:tcBorders>
              <w:top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25,654</w:t>
            </w:r>
          </w:p>
        </w:tc>
      </w:tr>
      <w:tr>
        <w:trPr>
          <w:trHeight w:val="153"/>
        </w:trPr>
        <w:tc>
          <w:tcPr>
            <w:tcW w:w="90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9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28,123</w:t>
            </w:r>
          </w:p>
        </w:tc>
      </w:tr>
      <w:tr>
        <w:trPr>
          <w:trHeight w:val="15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9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18,625</w:t>
            </w:r>
          </w:p>
        </w:tc>
      </w:tr>
      <w:tr>
        <w:trPr>
          <w:trHeight w:val="153"/>
        </w:trPr>
        <w:tc>
          <w:tcPr>
            <w:tcW w:w="9040" w:type="dxa"/>
            <w:vAlign w:val="bottom"/>
          </w:tcPr>
          <w:p>
            <w:pPr>
              <w:spacing w:after="0"/>
              <w:rPr>
                <w:sz w:val="20"/>
                <w:szCs w:val="20"/>
                <w:color w:val="auto"/>
              </w:rPr>
            </w:pPr>
            <w:r>
              <w:rPr>
                <w:rFonts w:ascii="Times New Roman" w:cs="Times New Roman" w:eastAsia="Times New Roman" w:hAnsi="Times New Roman"/>
                <w:sz w:val="12"/>
                <w:szCs w:val="12"/>
                <w:color w:val="auto"/>
              </w:rPr>
              <w:t>2030</w:t>
            </w:r>
          </w:p>
        </w:tc>
        <w:tc>
          <w:tcPr>
            <w:tcW w:w="9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18,625</w:t>
            </w:r>
          </w:p>
        </w:tc>
      </w:tr>
      <w:tr>
        <w:trPr>
          <w:trHeight w:val="15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2031</w:t>
            </w:r>
          </w:p>
        </w:tc>
        <w:tc>
          <w:tcPr>
            <w:tcW w:w="9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18,625</w:t>
            </w:r>
          </w:p>
        </w:tc>
      </w:tr>
      <w:tr>
        <w:trPr>
          <w:trHeight w:val="153"/>
        </w:trPr>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13,969</w:t>
            </w:r>
          </w:p>
        </w:tc>
      </w:tr>
      <w:tr>
        <w:trPr>
          <w:trHeight w:val="158"/>
        </w:trPr>
        <w:tc>
          <w:tcPr>
            <w:tcW w:w="9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123,621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Commitments</w:t>
      </w:r>
    </w:p>
    <w:p>
      <w:pPr>
        <w:spacing w:after="0" w:line="15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As of March 31, 2026 and December 31, 2025, the Company had a capital contribution commitment of $2.2 million and $3.2 million respectively, to fund operations of certain subsidiaries. The Company is obligated to make the contributions within 10 business days of receiving notice for such contribution from the subsidiary.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Contingent/Deferred Consideration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 of the Company's deferred and contingent consideration liabilities related to completed acquisitions: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 w:type="dxa"/>
            <w:vAlign w:val="bottom"/>
          </w:tcPr>
          <w:p>
            <w:pPr>
              <w:spacing w:after="0"/>
              <w:rPr>
                <w:sz w:val="13"/>
                <w:szCs w:val="13"/>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Contingent Consideration Liabilities</w:t>
            </w:r>
          </w:p>
        </w:tc>
        <w:tc>
          <w:tcPr>
            <w:tcW w:w="180" w:type="dxa"/>
            <w:vAlign w:val="bottom"/>
          </w:tcPr>
          <w:p>
            <w:pPr>
              <w:spacing w:after="0"/>
              <w:rPr>
                <w:sz w:val="13"/>
                <w:szCs w:val="13"/>
                <w:color w:val="auto"/>
              </w:rPr>
            </w:pPr>
          </w:p>
        </w:tc>
        <w:tc>
          <w:tcPr>
            <w:tcW w:w="21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Deferred Consideration Liabilities</w:t>
            </w:r>
          </w:p>
        </w:tc>
      </w:tr>
      <w:tr>
        <w:trPr>
          <w:trHeight w:val="142"/>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2025</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21,058</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7,296</w:t>
            </w:r>
          </w:p>
        </w:tc>
      </w:tr>
      <w:tr>
        <w:trPr>
          <w:trHeight w:val="153"/>
        </w:trPr>
        <w:tc>
          <w:tcPr>
            <w:tcW w:w="6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Accretion</w:t>
            </w:r>
          </w:p>
        </w:tc>
        <w:tc>
          <w:tcPr>
            <w:tcW w:w="1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r>
      <w:tr>
        <w:trPr>
          <w:trHeight w:val="153"/>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Payments</w:t>
            </w:r>
          </w:p>
        </w:tc>
        <w:tc>
          <w:tcPr>
            <w:tcW w:w="16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53"/>
        </w:trPr>
        <w:tc>
          <w:tcPr>
            <w:tcW w:w="6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31, 2026</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21,345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7,355</w:t>
            </w:r>
          </w:p>
        </w:tc>
      </w:tr>
    </w:tbl>
    <w:p>
      <w:pPr>
        <w:spacing w:after="0" w:line="18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Earn-outs/additional considerations from asset purchase transactions are considered as contingent liabilities until it becomes payable or paid. As of March 31, 2026, and December 31, 2025, the total contingent liabilities related to our asset purchases are $27.2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200" w:lineRule="exact"/>
        <w:rPr>
          <w:sz w:val="20"/>
          <w:szCs w:val="20"/>
          <w:color w:val="auto"/>
        </w:rPr>
      </w:pPr>
    </w:p>
    <w:p>
      <w:pPr>
        <w:spacing w:after="0" w:line="3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The Company's revenue is substantially derived from processing Visa and Mastercard bankcard transactions. Because the Company is not a member bank, to process these bankcard transactions, the Company maintains sponsorship agreements with member banks which require, among other things, that the Company abide by the by-laws and regulations of the card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majority of the Company's cash and restricted cash is held in certain FIs, substantially all of which is in excess of FDIC limits. The Company does not believe it is exposed to any significant credit risk from these transactions.</w:t>
      </w:r>
    </w:p>
    <w:p>
      <w:pPr>
        <w:spacing w:after="0" w:line="14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 xml:space="preserve">The Company's contingent and deferred considerations were derived from business combinations occurring during the year ended December 31, 2025 (refer to </w:t>
      </w:r>
      <w:r>
        <w:rPr>
          <w:rFonts w:ascii="Times New Roman" w:cs="Times New Roman" w:eastAsia="Times New Roman" w:hAnsi="Times New Roman"/>
          <w:sz w:val="12"/>
          <w:szCs w:val="12"/>
          <w:u w:val="single" w:color="auto"/>
          <w:color w:val="0000FF"/>
        </w:rPr>
        <w:t>Note 2. Acquisitions</w:t>
      </w:r>
      <w:r>
        <w:rPr>
          <w:rFonts w:ascii="Times New Roman" w:cs="Times New Roman" w:eastAsia="Times New Roman" w:hAnsi="Times New Roman"/>
          <w:sz w:val="12"/>
          <w:szCs w:val="12"/>
          <w:color w:val="auto"/>
        </w:rPr>
        <w:t>). The contingent considerations are classified within Level 3 of the fair value hierarchy due to the uncertainty of the fair value measurement created by the absence of quoted market prices, the inherent lack of liquidity and unobservable inputs used to measure fair value which require judgment. The Company uses valuation techniques including Monte Carlo simulations to estimate fair value based on projection period and assumed growth rates. A change in inputs in the valuation techniques used might result in a significantly higher or lower fair value measurement than what is reported. Contingent and deferred consideration liabilities are uncertain due to the utilization of unobservable inputs and management's judgment in determining the likelihood of achieving criteria required by the respective agreements. The contingent and deferred considerations have a fair value of $28.7 million at March 31, 2026, $1.1 million included in accounts payable and accrued expenses and $27.6 million included in other noncurrent liabilities on the Company's Unaudited Consolidated Balance Sheets.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$27.8 million and $19.7 million at March 31, 2026 and December 31, 2025, respectively and is within Level 3 of the fair value hierarchy.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3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fair value of the term facility under the 2024 Credit Agreement was estimated to be $989.4 million and $998.3 million at March 31, 2026 and December 31, 2025, respectively. The fair value was estimated using binding and non-binding quoted prices in an active secondary market, which considers the credit risk and market related conditions, and is within Level 2 of the fair value hierarchy.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months ended March 31, 2026, there were no transfers into, out of, or between levels of the fair value hierarchy.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 term incentive award</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has established a long-term incentive award for the Chief Executive Officer, which is subject to specified performance conditions. Upon satisfaction of these performance criteria, the Chief Executive Officer becomes entitled to a predetermined amount of incentive compensation, which may be settled either in cash or in shares of the Company's Common Stock. Consequently, this arrangement is accounted for as a liability award in accordance with applicable accounting standards. The fair value of these awards is remeasured at each reporting date utilizing Level 3 inputs, which encompass management's estimates regarding the anticipated achievement of relevant financial metrics. The fair value of these awards as of March 31, 2026 was $2.2 million, $1.5 million included in accounts payable and accrued expenses and $0.7 million in other noncurrent liabilities on the Company's Unaudited Consolidated Balance Sheets.</w:t>
      </w:r>
    </w:p>
    <w:p>
      <w:pPr>
        <w:spacing w:after="0" w:line="200" w:lineRule="exact"/>
        <w:rPr>
          <w:sz w:val="20"/>
          <w:szCs w:val="20"/>
          <w:color w:val="auto"/>
        </w:rPr>
      </w:pPr>
    </w:p>
    <w:p>
      <w:pPr>
        <w:spacing w:after="0" w:line="3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25" w:name="page26"/>
    <w:bookmarkEnd w:id="25"/>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three reportable segments included Merchant Solutions, Payables and Treasury Solutions:</w:t>
      </w:r>
    </w:p>
    <w:p>
      <w:pPr>
        <w:spacing w:after="0" w:line="76" w:lineRule="exact"/>
        <w:rPr>
          <w:sz w:val="20"/>
          <w:szCs w:val="20"/>
          <w:color w:val="auto"/>
        </w:rPr>
      </w:pPr>
    </w:p>
    <w:p>
      <w:pPr>
        <w:ind w:left="420" w:right="100" w:hanging="212"/>
        <w:spacing w:after="0" w:line="283" w:lineRule="auto"/>
        <w:tabs>
          <w:tab w:leader="none" w:pos="417" w:val="left"/>
        </w:tabs>
        <w:numPr>
          <w:ilvl w:val="0"/>
          <w:numId w:val="19"/>
        </w:numPr>
        <w:rPr>
          <w:rFonts w:ascii="Times New Roman" w:cs="Times New Roman" w:eastAsia="Times New Roman" w:hAnsi="Times New Roman"/>
          <w:sz w:val="12"/>
          <w:szCs w:val="12"/>
          <w:i w:val="1"/>
          <w:iCs w:val="1"/>
          <w:color w:val="212529"/>
          <w:strike w:val="1"/>
        </w:rPr>
      </w:pPr>
      <w:r>
        <w:rPr>
          <w:rFonts w:ascii="Times New Roman" w:cs="Times New Roman" w:eastAsia="Times New Roman" w:hAnsi="Times New Roman"/>
          <w:sz w:val="12"/>
          <w:szCs w:val="12"/>
          <w:i w:val="1"/>
          <w:iCs w:val="1"/>
          <w:color w:val="auto"/>
        </w:rPr>
        <w:t>Merchant Solutions</w:t>
      </w:r>
      <w:r>
        <w:rPr>
          <w:rFonts w:ascii="Times New Roman" w:cs="Times New Roman" w:eastAsia="Times New Roman" w:hAnsi="Times New Roman"/>
          <w:sz w:val="12"/>
          <w:szCs w:val="12"/>
          <w:color w:val="auto"/>
        </w:rPr>
        <w:t>: Provides full-service acquiring and payment-enabled solutions for B2C transactions, leveraging Priority's proprietary software platform, distributed through ISO, direct sales and vertically focused ISV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channels.</w:t>
      </w:r>
    </w:p>
    <w:p>
      <w:pPr>
        <w:spacing w:after="0" w:line="34" w:lineRule="exact"/>
        <w:rPr>
          <w:rFonts w:ascii="Times New Roman" w:cs="Times New Roman" w:eastAsia="Times New Roman" w:hAnsi="Times New Roman"/>
          <w:sz w:val="12"/>
          <w:szCs w:val="12"/>
          <w:i w:val="1"/>
          <w:iCs w:val="1"/>
          <w:color w:val="212529"/>
          <w:strike w:val="1"/>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Payables</w:t>
      </w:r>
      <w:r>
        <w:rPr>
          <w:rFonts w:ascii="Times New Roman" w:cs="Times New Roman" w:eastAsia="Times New Roman" w:hAnsi="Times New Roman"/>
          <w:sz w:val="12"/>
          <w:szCs w:val="12"/>
          <w:color w:val="auto"/>
        </w:rPr>
        <w:t>: Provides market-leading AP automation solutions to corporations, software partners and industry leading FIs in addition to improving cash flows by providing instant access to working capital.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Treasury Solutions</w:t>
      </w:r>
      <w:r>
        <w:rPr>
          <w:rFonts w:ascii="Times New Roman" w:cs="Times New Roman" w:eastAsia="Times New Roman" w:hAnsi="Times New Roman"/>
          <w:sz w:val="12"/>
          <w:szCs w:val="12"/>
          <w:color w:val="auto"/>
        </w:rPr>
        <w:t>: Provides embedded finance and treasury solutions to customers to modernize legacy platforms and accelerate software partners' strategies to monetize payments.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includes costs of corporate functions and shared services not allocated to our reportable segments.</w:t>
      </w:r>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Company's chief operating decision makers ("CODM") are our CEO and CFO. The CODM uses adjusted earnings before interest expense, income tax and depreciation and amortization expenses ("Adjusted EBITDA") as the measure of segment profit or loss to allocate resources. Adjusted EBITDA represents EBITDA (i.e. earnings before interest, income tax, and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level assets information is not provided or subject to review by the CODM and therefore not provided.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1025" w:right="4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2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160,278</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32,029</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57,251</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249,558</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161,786</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32,441</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58,840</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253,067</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249,558</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revenue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(125,097)</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(23,218)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(5,974)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(6,273)</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27,740</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5,454</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46,671</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79,865</w:t>
            </w:r>
          </w:p>
        </w:tc>
      </w:tr>
    </w:tbl>
    <w:p>
      <w:pPr>
        <w:spacing w:after="0" w:line="156" w:lineRule="exact"/>
        <w:rPr>
          <w:sz w:val="20"/>
          <w:szCs w:val="20"/>
          <w:color w:val="auto"/>
        </w:rPr>
      </w:pPr>
    </w:p>
    <w:p>
      <w:pPr>
        <w:sectPr>
          <w:pgSz w:w="11900" w:h="16838" w:orient="portrait"/>
          <w:cols w:equalWidth="0" w:num="1">
            <w:col w:w="11300"/>
          </w:cols>
          <w:pgMar w:left="300" w:top="1286"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2026</w:t>
            </w:r>
          </w:p>
        </w:tc>
      </w:tr>
      <w:tr>
        <w:trPr>
          <w:trHeight w:val="14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3,502</w:t>
            </w: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(27,847)</w:t>
            </w:r>
          </w:p>
        </w:tc>
      </w:tr>
      <w:tr>
        <w:trPr>
          <w:trHeight w:val="153"/>
        </w:trPr>
        <w:tc>
          <w:tcPr>
            <w:tcW w:w="37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6,083</w:t>
            </w:r>
          </w:p>
        </w:tc>
      </w:tr>
      <w:tr>
        <w:trPr>
          <w:trHeight w:val="142"/>
        </w:trPr>
        <w:tc>
          <w:tcPr>
            <w:tcW w:w="374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(18,262)</w:t>
            </w: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60" w:hanging="1160"/>
        <w:spacing w:after="0"/>
        <w:tabs>
          <w:tab w:leader="none" w:pos="11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79,865</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(18,262)</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(3,509)</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(17,615)</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(21,016)</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(3,969)</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(2,088)</w:t>
      </w:r>
    </w:p>
    <w:p>
      <w:pPr>
        <w:spacing w:after="0" w:line="18" w:lineRule="exact"/>
        <w:rPr>
          <w:sz w:val="20"/>
          <w:szCs w:val="20"/>
          <w:color w:val="auto"/>
        </w:rPr>
      </w:pPr>
    </w:p>
    <w:p>
      <w:pPr>
        <w:ind w:left="1160" w:hanging="1160"/>
        <w:spacing w:after="0"/>
        <w:tabs>
          <w:tab w:leader="none" w:pos="1160"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13,406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9040" w:space="720"/>
            <w:col w:w="1540"/>
          </w:cols>
          <w:pgMar w:left="300" w:top="1286" w:right="299" w:bottom="1440" w:gutter="0" w:footer="0" w:header="0"/>
          <w:type w:val="continuous"/>
        </w:sectPr>
      </w:pPr>
    </w:p>
    <w:p>
      <w:pPr>
        <w:ind w:left="420" w:hanging="212"/>
        <w:spacing w:after="0"/>
        <w:tabs>
          <w:tab w:leader="none" w:pos="42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spacing w:after="0"/>
              <w:rPr>
                <w:sz w:val="13"/>
                <w:szCs w:val="13"/>
                <w:color w:val="auto"/>
              </w:rPr>
            </w:pPr>
          </w:p>
        </w:tc>
        <w:tc>
          <w:tcPr>
            <w:tcW w:w="2320" w:type="dxa"/>
            <w:vAlign w:val="bottom"/>
            <w:tcBorders>
              <w:bottom w:val="single" w:sz="8" w:color="auto"/>
            </w:tcBorders>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2026</w:t>
            </w: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40" w:type="dxa"/>
            <w:vAlign w:val="bottom"/>
          </w:tcPr>
          <w:p>
            <w:pPr>
              <w:spacing w:after="0"/>
              <w:rPr>
                <w:sz w:val="12"/>
                <w:szCs w:val="12"/>
                <w:color w:val="auto"/>
              </w:rPr>
            </w:pPr>
          </w:p>
        </w:tc>
        <w:tc>
          <w:tcPr>
            <w:tcW w:w="14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15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9,917</w:t>
            </w:r>
          </w:p>
        </w:tc>
        <w:tc>
          <w:tcPr>
            <w:tcW w:w="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right"/>
              <w:ind w:right="16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5,203</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16,408</w:t>
            </w:r>
          </w:p>
        </w:tc>
        <w:tc>
          <w:tcPr>
            <w:tcW w:w="12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86" w:right="29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2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151,241</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23,594</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49,795</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224,630</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151,690</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23,918</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50,088</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225,696</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224,630</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revenue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(118,572)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(16,624)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(3,223)</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(8,213)</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(3,929)</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(4,609)</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71,663</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2025</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(24,125)</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3,757</w:t>
            </w:r>
          </w:p>
        </w:tc>
      </w:tr>
      <w:tr>
        <w:trPr>
          <w:trHeight w:val="142"/>
        </w:trPr>
        <w:tc>
          <w:tcPr>
            <w:tcW w:w="36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(19,303)</w:t>
            </w: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60" w:hanging="1160"/>
        <w:spacing w:after="0"/>
        <w:tabs>
          <w:tab w:leader="none" w:pos="11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71,663</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(19,303)</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(1,066)</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(13,777)</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(23,176)</w:t>
      </w:r>
    </w:p>
    <w:p>
      <w:pPr>
        <w:spacing w:after="0" w:line="15" w:lineRule="exact"/>
        <w:rPr>
          <w:rFonts w:ascii="Times New Roman" w:cs="Times New Roman" w:eastAsia="Times New Roman" w:hAnsi="Times New Roman"/>
          <w:sz w:val="12"/>
          <w:szCs w:val="12"/>
          <w:color w:val="auto"/>
        </w:rPr>
      </w:pPr>
    </w:p>
    <w:p>
      <w:pPr>
        <w:ind w:left="1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(2,199)</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9525</wp:posOffset>
            </wp:positionV>
            <wp:extent cx="20116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ind w:left="1160" w:hanging="1160"/>
        <w:spacing w:after="0"/>
        <w:tabs>
          <w:tab w:leader="none" w:pos="1160"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10,518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spacing w:after="0"/>
              <w:rPr>
                <w:sz w:val="13"/>
                <w:szCs w:val="13"/>
                <w:color w:val="auto"/>
              </w:rPr>
            </w:pPr>
          </w:p>
        </w:tc>
        <w:tc>
          <w:tcPr>
            <w:tcW w:w="2320" w:type="dxa"/>
            <w:vAlign w:val="bottom"/>
            <w:tcBorders>
              <w:bottom w:val="single" w:sz="8" w:color="auto"/>
            </w:tcBorders>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2025</w:t>
            </w: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40" w:type="dxa"/>
            <w:vAlign w:val="bottom"/>
          </w:tcPr>
          <w:p>
            <w:pPr>
              <w:spacing w:after="0"/>
              <w:rPr>
                <w:sz w:val="12"/>
                <w:szCs w:val="12"/>
                <w:color w:val="auto"/>
              </w:rPr>
            </w:pPr>
          </w:p>
        </w:tc>
        <w:tc>
          <w:tcPr>
            <w:tcW w:w="14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ind w:right="15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6,625</w:t>
            </w:r>
          </w:p>
        </w:tc>
        <w:tc>
          <w:tcPr>
            <w:tcW w:w="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right"/>
              <w:ind w:right="16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12,528</w:t>
            </w:r>
          </w:p>
        </w:tc>
        <w:tc>
          <w:tcPr>
            <w:tcW w:w="12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8" w:name="page29"/>
    <w:bookmarkEnd w:id="28"/>
    <w:tbl>
      <w:tblPr>
        <w:tblLayout w:type="fixed"/>
        <w:tblInd w:w="8" w:type="dxa"/>
        <w:tblCellMar>
          <w:top w:w="0" w:type="dxa"/>
          <w:left w:w="0" w:type="dxa"/>
          <w:bottom w:w="0" w:type="dxa"/>
          <w:right w:w="0" w:type="dxa"/>
        </w:tblCellMar>
      </w:tblPr>
      <w:tr>
        <w:trPr>
          <w:trHeight w:val="159"/>
        </w:trPr>
        <w:tc>
          <w:tcPr>
            <w:tcW w:w="8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15.  Earnings per Common Share</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88"/>
        </w:trPr>
        <w:tc>
          <w:tcPr>
            <w:tcW w:w="8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tables set forth the computation of the Company's basic and diluted earnings per common share: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5"/>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81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3"/>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9,760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8,268</w:t>
            </w:r>
          </w:p>
        </w:tc>
      </w:tr>
      <w:tr>
        <w:trPr>
          <w:trHeight w:val="180"/>
        </w:trPr>
        <w:tc>
          <w:tcPr>
            <w:tcW w:w="7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53"/>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26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81,373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78,774</w:t>
            </w:r>
          </w:p>
        </w:tc>
      </w:tr>
      <w:tr>
        <w:trPr>
          <w:trHeight w:val="153"/>
        </w:trPr>
        <w:tc>
          <w:tcPr>
            <w:tcW w:w="8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Effect of dilutive potential common shares</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2,274</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w:t>
            </w:r>
          </w:p>
        </w:tc>
      </w:tr>
      <w:tr>
        <w:trPr>
          <w:trHeight w:val="142"/>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Adjusted Weighted average shares outstanding</w:t>
            </w:r>
          </w:p>
        </w:tc>
        <w:tc>
          <w:tcPr>
            <w:tcW w:w="260" w:type="dxa"/>
            <w:vAlign w:val="bottom"/>
          </w:tcPr>
          <w:p>
            <w:pPr>
              <w:spacing w:after="0"/>
              <w:rPr>
                <w:sz w:val="12"/>
                <w:szCs w:val="12"/>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83,647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79,857</w:t>
            </w:r>
          </w:p>
        </w:tc>
      </w:tr>
      <w:tr>
        <w:trPr>
          <w:trHeight w:val="180"/>
        </w:trPr>
        <w:tc>
          <w:tcPr>
            <w:tcW w:w="7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53"/>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Basic earnings per common share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0.12</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53"/>
        </w:trPr>
        <w:tc>
          <w:tcPr>
            <w:tcW w:w="8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 earnings per common share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0.12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351"/>
        </w:trPr>
        <w:tc>
          <w:tcPr>
            <w:tcW w:w="8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Anti-dilutive securities that were excluded from the Company's earnings per common share are as follows: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5"/>
        </w:trPr>
        <w:tc>
          <w:tcPr>
            <w:tcW w:w="7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(number of shares, in thousands)</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(1)</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r>
      <w:tr>
        <w:trPr>
          <w:trHeight w:val="153"/>
        </w:trPr>
        <w:tc>
          <w:tcPr>
            <w:tcW w:w="8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Liability-classified restricted stock units</w:t>
            </w:r>
          </w:p>
        </w:tc>
        <w:tc>
          <w:tcPr>
            <w:tcW w:w="2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8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(1)</w:t>
            </w:r>
          </w:p>
        </w:tc>
        <w:tc>
          <w:tcPr>
            <w:tcW w:w="2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w:t>
            </w:r>
          </w:p>
        </w:tc>
      </w:tr>
      <w:tr>
        <w:trPr>
          <w:trHeight w:val="142"/>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1,942</w:t>
            </w:r>
          </w:p>
        </w:tc>
      </w:tr>
      <w:tr>
        <w:trPr>
          <w:trHeight w:val="20"/>
        </w:trPr>
        <w:tc>
          <w:tcPr>
            <w:tcW w:w="7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8" w:hanging="212"/>
        <w:spacing w:after="0"/>
        <w:tabs>
          <w:tab w:leader="none" w:pos="428" w:val="left"/>
        </w:tabs>
        <w:numPr>
          <w:ilvl w:val="1"/>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129" w:lineRule="exact"/>
        <w:rPr>
          <w:rFonts w:ascii="Times New Roman" w:cs="Times New Roman" w:eastAsia="Times New Roman" w:hAnsi="Times New Roman"/>
          <w:sz w:val="16"/>
          <w:szCs w:val="16"/>
          <w:color w:val="auto"/>
          <w:vertAlign w:val="superscript"/>
        </w:rPr>
      </w:pPr>
    </w:p>
    <w:p>
      <w:pPr>
        <w:ind w:left="268" w:hanging="268"/>
        <w:spacing w:after="0"/>
        <w:tabs>
          <w:tab w:leader="none" w:pos="268" w:val="left"/>
        </w:tabs>
        <w:numPr>
          <w:ilvl w:val="0"/>
          <w:numId w:val="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Subsequent Events</w:t>
      </w:r>
    </w:p>
    <w:p>
      <w:pPr>
        <w:spacing w:after="0" w:line="154"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The Company’s management evaluated subsequent events through the date of the issuance of the unaudited consolidated financial statements. There have been no subsequent events that occurred during such period that would require disclosure in, or would be required to be recognized in the unaudited consolidated financial statements as of and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2025. Certain amounts in this section may not add mathematically due to rounding.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25" w:lineRule="exact"/>
        <w:rPr>
          <w:sz w:val="20"/>
          <w:szCs w:val="20"/>
          <w:color w:val="auto"/>
        </w:rPr>
      </w:pPr>
    </w:p>
    <w:p>
      <w:pPr>
        <w:ind w:left="420" w:right="280" w:hanging="212"/>
        <w:spacing w:after="0" w:line="279" w:lineRule="auto"/>
        <w:tabs>
          <w:tab w:leader="none" w:pos="417" w:val="left"/>
        </w:tabs>
        <w:numPr>
          <w:ilvl w:val="0"/>
          <w:numId w:val="3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11"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w:t>
      </w:r>
    </w:p>
    <w:p>
      <w:pPr>
        <w:spacing w:after="0" w:line="200" w:lineRule="exact"/>
        <w:rPr>
          <w:sz w:val="20"/>
          <w:szCs w:val="20"/>
          <w:color w:val="auto"/>
        </w:rPr>
      </w:pPr>
    </w:p>
    <w:p>
      <w:pPr>
        <w:spacing w:after="0" w:line="3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0" w:name="page31"/>
    <w:bookmarkEnd w:id="30"/>
    <w:p>
      <w:pPr>
        <w:ind w:right="160"/>
        <w:spacing w:after="0" w:line="279" w:lineRule="auto"/>
        <w:rPr>
          <w:sz w:val="20"/>
          <w:szCs w:val="20"/>
          <w:color w:val="auto"/>
        </w:rPr>
      </w:pPr>
      <w:r>
        <w:rPr>
          <w:rFonts w:ascii="Times New Roman" w:cs="Times New Roman" w:eastAsia="Times New Roman" w:hAnsi="Times New Roman"/>
          <w:sz w:val="12"/>
          <w:szCs w:val="12"/>
          <w:color w:val="auto"/>
        </w:rPr>
        <w:t>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1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9"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months ended March 31, 2026, compared to the three months ended March 31, 2025.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2026, our consolidated revenue of $249.6 million increased by $24.9 million, or 11.1%, from $224.6 million for the three months ended March 31, 2025. This overall increase was mainly driven by increase in total card processing dollar value and total card transaction count in our Merchant Solutions segment, an increase in number of billed clients and higher interest income which is partially offset by lower new enrollments in our Treasury Solutions segment, and, increases in buyer funded card processing dollar value, supplier funded issuing dollar value, incentive income, and ACH transactions count in our Payables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tc>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7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20" w:type="dxa"/>
            <w:vAlign w:val="bottom"/>
            <w:tcBorders>
              <w:bottom w:val="single" w:sz="8" w:color="CCEEFF"/>
            </w:tcBorders>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5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5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185,933</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167,079</w:t>
            </w:r>
          </w:p>
        </w:tc>
        <w:tc>
          <w:tcPr>
            <w:tcW w:w="8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18,854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5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41,748</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37,449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services and other services</w:t>
            </w:r>
          </w:p>
        </w:tc>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19,826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17,002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50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2,051</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3,100</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50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249,558</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224,630</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24,928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000" w:type="dxa"/>
            <w:vAlign w:val="bottom"/>
            <w:vMerge w:val="restart"/>
          </w:tcPr>
          <w:p>
            <w:pPr>
              <w:jc w:val="right"/>
              <w:ind w:right="4520"/>
              <w:spacing w:after="0"/>
              <w:rPr>
                <w:sz w:val="20"/>
                <w:szCs w:val="20"/>
                <w:color w:val="auto"/>
              </w:rPr>
            </w:pPr>
            <w:r>
              <w:rPr>
                <w:rFonts w:ascii="Times New Roman" w:cs="Times New Roman" w:eastAsia="Times New Roman" w:hAnsi="Times New Roman"/>
                <w:sz w:val="12"/>
                <w:szCs w:val="12"/>
                <w:color w:val="auto"/>
              </w:rPr>
              <w:t>28</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272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9A9A9A"/>
            </w:tcBorders>
          </w:tcPr>
          <w:p>
            <w:pPr>
              <w:spacing w:after="0"/>
              <w:rPr>
                <w:sz w:val="18"/>
                <w:szCs w:val="18"/>
                <w:color w:val="auto"/>
              </w:rPr>
            </w:pPr>
          </w:p>
        </w:tc>
        <w:tc>
          <w:tcPr>
            <w:tcW w:w="50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March 31, 2026 was $185.9 million an increase of $18.9 million or 11.3%, from $167.1 million for the three months ended March 31, 2025. The increase was primarily driven by an increase in total card dollar value, and the transaction count processed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March 31, 2026 was $41.7 million, an increase of $4.3 million, or 11.5%, from $37.4 million for the three months ended March 31, 2025. This increase was primarily driven by an increase in average billed clients which was partially offset by lower new customer enrollments.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services and other services revenue</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$19.8 million for the three months ended March 31, 2026 increased by $2.8 million, or 16.6%, from $17.0 million for the three months ended March 31, 2025, primarily due to growth in interest income from higher balances of permissible investments driven by higher account balances offset by reduction in interest rates.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Equipment revenue of $2.1 million for the three months ended March 31, 2026 decreased by $1.0 million, or 33.8% from $3.1 million for the three months ended March 31, 2025. The decrease was primarily due to lower point-of-sale equipment sales caused by a decrease in demand from merchants.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15"/>
        </w:trPr>
        <w:tc>
          <w:tcPr>
            <w:tcW w:w="75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7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7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2"/>
              </w:rPr>
              <w:t>150,787</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137,353</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13,434</w:t>
            </w:r>
          </w:p>
        </w:tc>
      </w:tr>
      <w:tr>
        <w:trPr>
          <w:trHeight w:val="153"/>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28,522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25,775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2,747</w:t>
            </w:r>
          </w:p>
        </w:tc>
      </w:tr>
      <w:tr>
        <w:trPr>
          <w:trHeight w:val="153"/>
        </w:trPr>
        <w:tc>
          <w:tcPr>
            <w:tcW w:w="7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6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13,777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3,838</w:t>
            </w:r>
          </w:p>
        </w:tc>
      </w:tr>
      <w:tr>
        <w:trPr>
          <w:trHeight w:val="153"/>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19,244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15,100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4,144</w:t>
            </w:r>
          </w:p>
        </w:tc>
      </w:tr>
      <w:tr>
        <w:trPr>
          <w:trHeight w:val="142"/>
        </w:trPr>
        <w:tc>
          <w:tcPr>
            <w:tcW w:w="7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7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2"/>
              </w:rPr>
              <w:t>216,168</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192,005</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24,163</w:t>
            </w:r>
          </w:p>
        </w:tc>
      </w:tr>
      <w:tr>
        <w:trPr>
          <w:trHeight w:val="20"/>
        </w:trPr>
        <w:tc>
          <w:tcPr>
            <w:tcW w:w="7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$150.8 million for the three months ended March 31, 2026 increased by $13.4 million, or 9.8%, from $137.4 million for the three months ended March 31, 2025, primarily due to the corresponding increase in revenues.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$28.5 million for the three months ended March 31, 2026 increased by $2.7 million, or 10.7%, from $25.8 million for the three months ended March 31, 2025, primarily due to merit increases, increased headcount to support overall growth of the Company and from the acquisition of Sila, Boom and DMS, and increased stock based compensation related to long term incentive awards to executives.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$17.6 million for the three months ended March 31, 2026 increased by $3.8 million, or 27.9%, from $13.8 million for the three months ended March 31, 2025, primarily due to the addition of intangible assets from the Letus, Sila, Boom and DMS acquisitions and software capitalization.</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0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$19.2 million for the three months ended March 31, 2026 increased by $4.1 million, or 27.4%, from $15.1 million for the three months ended March 31, 2025, primarily due to increase in professional and legal charges related to the Company's go-private project, increased marketing and software expenses to support overall growth and cloud migration, expenses related to acquired businesses and assets, which was partially offset by legal and other expenses related to the Company's secondary offering of common shares incurred during the quarter ended March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88"/>
        </w:trPr>
        <w:tc>
          <w:tcPr>
            <w:tcW w:w="76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5"/>
        </w:trPr>
        <w:tc>
          <w:tcPr>
            <w:tcW w:w="76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860" w:type="dxa"/>
            <w:vAlign w:val="bottom"/>
            <w:tcBorders>
              <w:bottom w:val="single" w:sz="8" w:color="auto"/>
            </w:tcBorders>
          </w:tcPr>
          <w:p>
            <w:pPr>
              <w:spacing w:after="0"/>
              <w:rPr>
                <w:sz w:val="24"/>
                <w:szCs w:val="24"/>
                <w:color w:val="auto"/>
              </w:rPr>
            </w:pPr>
          </w:p>
        </w:tc>
      </w:tr>
      <w:tr>
        <w:trPr>
          <w:trHeight w:val="142"/>
        </w:trPr>
        <w:tc>
          <w:tcPr>
            <w:tcW w:w="76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7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w:t>
            </w: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53"/>
        </w:trPr>
        <w:tc>
          <w:tcPr>
            <w:tcW w:w="7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2"/>
              </w:rPr>
              <w:t>(21,016)</w:t>
            </w:r>
          </w:p>
        </w:tc>
        <w:tc>
          <w:tcPr>
            <w:tcW w:w="8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(23,176)</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2,160</w:t>
            </w:r>
          </w:p>
        </w:tc>
      </w:tr>
      <w:tr>
        <w:trPr>
          <w:trHeight w:val="153"/>
        </w:trPr>
        <w:tc>
          <w:tcPr>
            <w:tcW w:w="7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7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7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1,032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1,107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r>
      <w:tr>
        <w:trPr>
          <w:trHeight w:val="158"/>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74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2"/>
              </w:rPr>
              <w:t>(19,984)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(22,107)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2,123</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Interest expense of $21.0 million for the three months ended March 31, 2026 decreased by $2.2 million, or (9.3)%, from $23.2 million for the three months ended March 31, 2025, due to decreased SOFR rates and beneficial changes in margin from the recent refinancing which was partially offset by increased outstanding balances of the 2024 Credit Agreement and the Residual Finance credit facility established during the quarter ended September 30,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88"/>
        </w:trPr>
        <w:tc>
          <w:tcPr>
            <w:tcW w:w="74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74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6"/>
              </w:rPr>
              <w:t>Change</w:t>
            </w:r>
          </w:p>
        </w:tc>
      </w:tr>
      <w:tr>
        <w:trPr>
          <w:trHeight w:val="142"/>
        </w:trPr>
        <w:tc>
          <w:tcPr>
            <w:tcW w:w="7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82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13,406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0"/>
              </w:rPr>
              <w:t>10,518</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2,888</w:t>
            </w:r>
          </w:p>
        </w:tc>
      </w:tr>
      <w:tr>
        <w:trPr>
          <w:trHeight w:val="153"/>
        </w:trPr>
        <w:tc>
          <w:tcPr>
            <w:tcW w:w="74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2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3,646</w:t>
            </w:r>
          </w:p>
        </w:tc>
        <w:tc>
          <w:tcPr>
            <w:tcW w:w="80" w:type="dxa"/>
            <w:vAlign w:val="bottom"/>
          </w:tcPr>
          <w:p>
            <w:pPr>
              <w:spacing w:after="0"/>
              <w:rPr>
                <w:sz w:val="13"/>
                <w:szCs w:val="13"/>
                <w:color w:val="auto"/>
              </w:rPr>
            </w:pP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2,250</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1,396</w:t>
            </w:r>
          </w:p>
        </w:tc>
      </w:tr>
      <w:tr>
        <w:trPr>
          <w:trHeight w:val="15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21.4 %</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bl>
    <w:p>
      <w:pPr>
        <w:spacing w:after="0" w:line="18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by using a forecasted EAETR and adjust for any discrete items arising during the interim period and any changes in our projected full-year business interest expense and taxable income. The EAETR for 2026 is 26.5% and includes the income tax provision on pre-tax income. The effective tax rate for 2026 changed primarily due to a year over year change in the discrete tax benefit associated with stock-based compensation vestings.</w:t>
      </w:r>
    </w:p>
    <w:p>
      <w:pPr>
        <w:spacing w:after="0" w:line="11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2026 may not be indicative of our effective tax rate for future periods.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Adjusted EBITDA (a non-GAAP financial measure). Adjusted EBITDA at each segment level includes revenues of the segment, less costs of revenue (excluding</w:t>
      </w:r>
    </w:p>
    <w:p>
      <w:pPr>
        <w:spacing w:after="0" w:line="200" w:lineRule="exact"/>
        <w:rPr>
          <w:sz w:val="20"/>
          <w:szCs w:val="20"/>
          <w:color w:val="auto"/>
        </w:rPr>
      </w:pP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02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color w:val="auto"/>
        </w:rPr>
        <w:t>depreciation and amortization) and operating expenses that are directly related those revenues. Operating overhead and shared costs are managed centrally and included in corporate segment.</w:t>
      </w:r>
    </w:p>
    <w:p>
      <w:pPr>
        <w:spacing w:after="0" w:line="7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Merchant Solutions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5"/>
        </w:trPr>
        <w:tc>
          <w:tcPr>
            <w:tcW w:w="7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20" w:type="dxa"/>
            <w:vAlign w:val="bottom"/>
            <w:tcBorders>
              <w:bottom w:val="single" w:sz="8" w:color="auto"/>
            </w:tcBorders>
          </w:tcPr>
          <w:p>
            <w:pPr>
              <w:spacing w:after="0"/>
              <w:rPr>
                <w:sz w:val="24"/>
                <w:szCs w:val="2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71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161,786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151,690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10,096</w:t>
            </w:r>
          </w:p>
        </w:tc>
      </w:tr>
      <w:tr>
        <w:trPr>
          <w:trHeight w:val="153"/>
        </w:trPr>
        <w:tc>
          <w:tcPr>
            <w:tcW w:w="7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27,740</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2,035</w:t>
            </w:r>
          </w:p>
        </w:tc>
      </w:tr>
      <w:tr>
        <w:trPr>
          <w:trHeight w:val="15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7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18,130,401</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17,685,491</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444,910</w:t>
            </w:r>
          </w:p>
        </w:tc>
      </w:tr>
      <w:tr>
        <w:trPr>
          <w:trHeight w:val="15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card transaction count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211,244</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209,308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1,936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Revenue from our Merchant Solutions segment was $161.8 million for the three months ended March 31, 2026, compared to $151.7 million for the three months ended March 31, 2025. The increase of $10.1 million, or 6.7%, was primarily driven by an increase in merchant card fee rate, increased total card processing dollar value and total card transaction count. The Company's merchant card fee revenue from the Merchant Solutions segment ($158.5 million for three months ended March 31, 2026 and $147.5 million for the three months ended March 31, 2025) as a percentage of total card processing dollar value during the three months ended March 31, 2026 increased to 0.87% from 0.83% as compared to the three months ended March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Adjusted EBITDA from our Merchant Solutions segment was $27.7 million for the three months ended March 31, 2026, compared to $25.7 million for the three months ended March 31, 2025. The increase of $2.0 million, or 7.9% was primarily driven by an increase in revenue, offset by mix related margin compression, certain chargeback losses, and increase in other operating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Payables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71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40" w:type="dxa"/>
            <w:vAlign w:val="bottom"/>
            <w:tcBorders>
              <w:bottom w:val="single" w:sz="8" w:color="auto"/>
            </w:tcBorders>
          </w:tcPr>
          <w:p>
            <w:pPr>
              <w:spacing w:after="0"/>
              <w:rPr>
                <w:sz w:val="24"/>
                <w:szCs w:val="24"/>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71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6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32,441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8,523</w:t>
            </w:r>
          </w:p>
        </w:tc>
      </w:tr>
      <w:tr>
        <w:trPr>
          <w:trHeight w:val="153"/>
        </w:trPr>
        <w:tc>
          <w:tcPr>
            <w:tcW w:w="7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60" w:type="dxa"/>
            <w:vAlign w:val="bottom"/>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5,454</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1,938</w:t>
            </w:r>
          </w:p>
        </w:tc>
      </w:tr>
      <w:tr>
        <w:trPr>
          <w:trHeight w:val="171"/>
        </w:trPr>
        <w:tc>
          <w:tcPr>
            <w:tcW w:w="7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Buyer funded card processing dollar value</w:t>
            </w:r>
          </w:p>
        </w:tc>
        <w:tc>
          <w:tcPr>
            <w:tcW w:w="86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972,910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716,900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256,010</w:t>
            </w:r>
          </w:p>
        </w:tc>
      </w:tr>
      <w:tr>
        <w:trPr>
          <w:trHeight w:val="153"/>
        </w:trPr>
        <w:tc>
          <w:tcPr>
            <w:tcW w:w="7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Supplier funded issuing dollar value</w:t>
            </w:r>
          </w:p>
        </w:tc>
        <w:tc>
          <w:tcPr>
            <w:tcW w:w="860" w:type="dxa"/>
            <w:vAlign w:val="bottom"/>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242,387</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237,290</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5,097</w:t>
            </w:r>
          </w:p>
        </w:tc>
      </w:tr>
      <w:tr>
        <w:trPr>
          <w:trHeight w:val="153"/>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ACH transaction count</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Revenue from our Payables segment was $32.4 million for the three months ended March 31, 2026, compared to $23.9 million for the three months ended March 31, 2025. The increase of $8.5 million, or 35.6% was primarily driven by increased buyer</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color w:val="auto"/>
        </w:rPr>
        <w:t>funded card processing dollar value, certain incentive income, ACH transaction count, supplier funded issuing dollar value, and interest from higher account balances.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Adjusted EBITDA from our Payables segment of $5.5 million for the three months ended March 31, 2026, compared to $3.5 million for the three months ended March 31, 2025.The increase in Adjusted EBITDA of $1.9 million or 55.1% was contributed by $4.0 million in the supplier funded business (driven by increase in revenues) and $1.5 million in the buyer funded business (driven by increased processing volume which was partially offset by mix related margin compression).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Treasury Solutions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72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40" w:type="dxa"/>
            <w:vAlign w:val="bottom"/>
            <w:tcBorders>
              <w:bottom w:val="single" w:sz="8" w:color="auto"/>
            </w:tcBorders>
          </w:tcPr>
          <w:p>
            <w:pPr>
              <w:spacing w:after="0"/>
              <w:rPr>
                <w:sz w:val="24"/>
                <w:szCs w:val="2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720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58,840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8,752</w:t>
            </w:r>
          </w:p>
        </w:tc>
      </w:tr>
      <w:tr>
        <w:trPr>
          <w:trHeight w:val="153"/>
        </w:trPr>
        <w:tc>
          <w:tcPr>
            <w:tcW w:w="7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46,671</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4,229</w:t>
            </w:r>
          </w:p>
        </w:tc>
      </w:tr>
      <w:tr>
        <w:trPr>
          <w:trHeight w:val="180"/>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1,128,935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940,463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188,472</w:t>
            </w:r>
          </w:p>
        </w:tc>
      </w:tr>
      <w:tr>
        <w:trPr>
          <w:trHeight w:val="153"/>
        </w:trPr>
        <w:tc>
          <w:tcPr>
            <w:tcW w:w="7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enrollments</w:t>
            </w:r>
          </w:p>
        </w:tc>
        <w:tc>
          <w:tcPr>
            <w:tcW w:w="30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50,429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55,946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(5,517)</w:t>
            </w:r>
          </w:p>
        </w:tc>
      </w:tr>
      <w:tr>
        <w:trPr>
          <w:trHeight w:val="153"/>
        </w:trPr>
        <w:tc>
          <w:tcPr>
            <w:tcW w:w="720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Average total account balances</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1,419,288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1,041,346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377,942</w:t>
            </w:r>
          </w:p>
        </w:tc>
      </w:tr>
    </w:tbl>
    <w:p>
      <w:pPr>
        <w:ind w:left="420" w:right="400" w:hanging="212"/>
        <w:spacing w:after="0" w:line="305" w:lineRule="auto"/>
        <w:tabs>
          <w:tab w:leader="none" w:pos="412"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This represents the average total account balance in the Treasury Solutions segment, and excludes the deposits and balances maintained in the Merchant Solutions and Payables segments. The total account and deposit balances as of March 31, 2026 and 2025, were $1.8 billion and $1.3 billion, respectively.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6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Revenue from our Treasury Solutions segment was $58.8 million for the three months ended March 31, 2026, compared to $50.1 million for the three months ended March 31, 2025. The increase of $8.8 million, or 17.5%, was primarily driven by an increase in average billed clients and average total account balances, acquisition of Sila, and growth in interest income due to higher balances of permissible investments offset by a reduction in interest rates and decreased average monthly enrollments.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Adjusted EBITDA from our Treasury Solutions segment was $46.7 million for the three months ended March 31, 2026, compared to $42.4 million for the three months ended March 31, 2025. The increase of $4.2 million, or 10.0%, was primarily driven by increases in revenues.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9"/>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27,740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46,671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58,094</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(21,016)</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(17,615)</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16,741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4,130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41,054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(48,519)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13,406</w:t>
            </w:r>
          </w:p>
        </w:tc>
      </w:tr>
      <w:tr>
        <w:trPr>
          <w:trHeight w:val="133"/>
        </w:trPr>
        <w:tc>
          <w:tcPr>
            <w:tcW w:w="4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(3,646)</w:t>
            </w:r>
          </w:p>
        </w:tc>
      </w:tr>
      <w:tr>
        <w:trPr>
          <w:trHeight w:val="158"/>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9,760</w:t>
            </w:r>
          </w:p>
        </w:tc>
      </w:tr>
      <w:tr>
        <w:trPr>
          <w:trHeight w:val="162"/>
        </w:trPr>
        <w:tc>
          <w:tcPr>
            <w:tcW w:w="4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378"/>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4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51,294</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(23,176)</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(13,777)</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w:t>
            </w:r>
          </w:p>
        </w:tc>
      </w:tr>
      <w:tr>
        <w:trPr>
          <w:trHeight w:val="15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(1,586)</w:t>
            </w:r>
          </w:p>
        </w:tc>
      </w:tr>
      <w:tr>
        <w:trPr>
          <w:trHeight w:val="14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19,076</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1,165</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37,768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(47,491)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10,518</w:t>
            </w:r>
          </w:p>
        </w:tc>
      </w:tr>
      <w:tr>
        <w:trPr>
          <w:trHeight w:val="133"/>
        </w:trPr>
        <w:tc>
          <w:tcPr>
            <w:tcW w:w="49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(2,250)</w:t>
            </w:r>
          </w:p>
        </w:tc>
      </w:tr>
      <w:tr>
        <w:trPr>
          <w:trHeight w:val="15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8,268</w:t>
            </w: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2025. There have been no material changes to these critical accounting policies and estimates as of March 31,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36" w:name="page37"/>
    <w:bookmarkEnd w:id="36"/>
    <w:p>
      <w:pPr>
        <w:ind w:right="120"/>
        <w:spacing w:after="0" w:line="273" w:lineRule="auto"/>
        <w:rPr>
          <w:sz w:val="20"/>
          <w:szCs w:val="20"/>
          <w:color w:val="auto"/>
        </w:rPr>
      </w:pPr>
      <w:r>
        <w:rPr>
          <w:rFonts w:ascii="Times New Roman" w:cs="Times New Roman" w:eastAsia="Times New Roman" w:hAnsi="Times New Roman"/>
          <w:sz w:val="12"/>
          <w:szCs w:val="12"/>
          <w:color w:val="auto"/>
        </w:rPr>
        <w:t>Our working capital, defined as current assets less current liabilities, was $122.9 million at March 31, 2026 and $61.9 million at March 31, 2025. As of March 31, 2026, we had cash totaling $92.2 million compared to $47.6 million at March 31, 2025. These cash balances do not include restricted cash of $16.4 million and $11.5 million at March 31, 2026 and March 31, 2025, respectively, which reflects cash accounts holding customer settlement funds and cash</w:t>
      </w:r>
    </w:p>
    <w:p>
      <w:pPr>
        <w:spacing w:after="0" w:line="1"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reserves for potential losses. The current portion of long-term debt included in current liabilities was $0.5 million and $1.9 million at March 31, 2026 and March 31, 2025, respectively. At March 31, 2026, we had availability of approximately $100.0 million under our revolving credit facility.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three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15"/>
        </w:trPr>
        <w:tc>
          <w:tcPr>
            <w:tcW w:w="77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77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23,839</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9,956</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(9,715)</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70,626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47,260</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105,883</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$23.8 million for the three months ended March 31, 2026 compared to $10.0 million for the three months ended March 31, 2025. The $13.8 million increase was driven by an increase in net income and favorable non-cash adjustments and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by/(Used in) Investing Activities</w:t>
      </w:r>
    </w:p>
    <w:p>
      <w:pPr>
        <w:spacing w:after="0" w:line="15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Net cash provided by investing activities was $11.4 million for the three months ended March 31, 2026, compared to $9.7 million of cash used in investing activities for the three months ended March 31, 2025. For the three months ended March 31, 2026, investing activities included the $25.0 million redemption of short-term investments of MTL funds offset by $8.1 million related to net funding of new loans to ISOs and $5.5 million additions to property, equipment and software. For the three months ended March 31, 2025, net cash used in investing activities included additions to property, equipment and software of $5.1 million, $0.1 million related to net funding of new loans to ISOs and $4.5 million related to the acquisition of a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Finance Activities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Net cash provided by financing activities was $70.6 million and $47.3 million for the three months ended March 31, 2026 and 2025, respectively. The net cash provided by financing activities for the three months ended March 31, 2026, included borrowings under the Residual Finance credit facility of $6.8 million and changes in the net obligations for funds held on the behalf of customers of $65.0 million, offset by $0.2 million of cash used for the repayment of the Residual Finance credit facility, $0.9 million of cash used to purchase shares withheld for taxes, and $0.1 million for a deferred consideration payment. The net cash used in financing activities for the three months ended March 31, 2025, included changes in the net obligations for funds held on the behalf of customers of $59.1 million and proceeds from the exercise of stock options of $0.1 million offset by $10.0 million of cashed used for the unscheduled repayment of the term loan principal for the 2024 Credit Agreement, $1.5 million of cash used for shares withheld for taxes and $0.4 million of payments of contingent consideration.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As of March 31, 2026, we had outstanding debt obligations, including the current portion and unamortized debt discount of $1.06 billion, compared to $1.06 billion at December 31, 2025, resulting in an increase due to net borrowings from the Residual Finance credit facility. The debt balance at March 31, 2026 consisted of $1.02 billion outstanding under the 2024 Credit Agreement's (as amended) term facility and $0.04 billion under the Residual Finance Credit Facility's term facility offset by $15.6 million of unamortized debt discounts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7" w:name="page38"/>
    <w:bookmarkEnd w:id="37"/>
    <w:p>
      <w:pPr>
        <w:spacing w:after="0" w:line="279" w:lineRule="auto"/>
        <w:rPr>
          <w:sz w:val="20"/>
          <w:szCs w:val="20"/>
          <w:color w:val="auto"/>
        </w:rPr>
      </w:pPr>
      <w:r>
        <w:rPr>
          <w:rFonts w:ascii="Times New Roman" w:cs="Times New Roman" w:eastAsia="Times New Roman" w:hAnsi="Times New Roman"/>
          <w:sz w:val="12"/>
          <w:szCs w:val="12"/>
          <w:color w:val="auto"/>
        </w:rPr>
        <w:t>Minimum amortization of the 2024 Credit Agreement's term facility are equal quarterly installments in aggregate annual amounts equal to 1.0% of the original principal, with the balance paid upon maturity. The term facility matures on July 31, 2032 and the revolving credit facility matures on July 31, 2030.</w:t>
      </w:r>
    </w:p>
    <w:p>
      <w:pPr>
        <w:spacing w:after="0" w:line="11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2024 Credit Agreement and Residual Finance credit facility both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consolidated financial statements. See </w:t>
      </w:r>
      <w:r>
        <w:rPr>
          <w:rFonts w:ascii="Times New Roman" w:cs="Times New Roman" w:eastAsia="Times New Roman" w:hAnsi="Times New Roman"/>
          <w:sz w:val="12"/>
          <w:szCs w:val="12"/>
          <w:u w:val="single" w:color="auto"/>
          <w:color w:val="0000FF"/>
        </w:rPr>
        <w:t>Note 1, Basis of Presentation and Significant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Accounting 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see Item 7A, "Quantitative and Qualitative Disclosures About Market Risk," of our Annual Report on Form 10-K for the year ended December 31, 2025. Our exposures to market risk have not changed materially since December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March 31, 2026. Based on that evaluation, the Company's CEO and CFO concluded that the Company's disclosure controls and procedures were effective as of March 31,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There have been no changes in the Company's internal control over financial reporting during the three months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March 31, 2026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January 1-31, 2026</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102,438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5,690,296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February 1-28,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March 1-31,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166,450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hanging="212"/>
        <w:spacing w:after="0" w:line="222" w:lineRule="auto"/>
        <w:tabs>
          <w:tab w:leader="none" w:pos="412"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day prior to the vesting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Director and Officer Trading Arrangements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color w:val="auto"/>
        </w:rPr>
        <w:t>On March 11, 2025, Sean Kiewiet, an officer of the Company as defined in Section 16 of the Exchange Act, adopted a Rule 10b5-1 trading arrangement as defined in Item 408(a) of the SEC's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Officer or Director Name and Title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Action</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Plan Type</w:t>
            </w:r>
          </w:p>
        </w:tc>
        <w:tc>
          <w:tcPr>
            <w:tcW w:w="2020" w:type="dxa"/>
            <w:vAlign w:val="bottom"/>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Number of Shares to be sold</w:t>
            </w:r>
          </w:p>
        </w:tc>
        <w:tc>
          <w:tcPr>
            <w:tcW w:w="20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Expiration</w:t>
            </w:r>
          </w:p>
        </w:tc>
      </w:tr>
      <w:tr>
        <w:trPr>
          <w:trHeight w:val="106"/>
        </w:trPr>
        <w:tc>
          <w:tcPr>
            <w:tcW w:w="118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Sean Kiewiet,</w:t>
            </w:r>
          </w:p>
        </w:tc>
        <w:tc>
          <w:tcPr>
            <w:tcW w:w="1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auto"/>
            </w:tcBorders>
            <w:shd w:val="clear" w:color="auto" w:fill="CCEEFF"/>
          </w:tcPr>
          <w:p>
            <w:pPr>
              <w:spacing w:after="0"/>
              <w:rPr>
                <w:sz w:val="9"/>
                <w:szCs w:val="9"/>
                <w:color w:val="auto"/>
              </w:rPr>
            </w:pPr>
          </w:p>
        </w:tc>
      </w:tr>
      <w:tr>
        <w:trPr>
          <w:trHeight w:val="16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w:t>
            </w: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Adopted</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Rule 10b5-1</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August 31, 2026</w:t>
            </w:r>
          </w:p>
        </w:tc>
      </w:tr>
      <w:tr>
        <w:trPr>
          <w:trHeight w:val="657"/>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gridSpan w:val="11"/>
          </w:tcPr>
          <w:p>
            <w:pPr>
              <w:spacing w:after="0" w:line="106"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Agreement and Plan of Merger by and among the Company, Finxera Holdings, Inc., Prime Warrior Acquisition Corp., and Stone Point Capital LLC.</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8-K, filed July 31, 2018).</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10.3</w:t>
              </w:r>
            </w:hyperlink>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Priority Technology Holdings, Inc. 2021 Employee Stock Purchase Plan</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10.3.1</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Amendment No. 1 to Priority Technology Holdings, Inc. 2021 Employee Stock Purchase Plan</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10.3.2</w:t>
              </w:r>
            </w:hyperlink>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Amendment No. 2 to Priority Technology Holdings, Inc. 2021 Employee Stock Purchase Plan</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17"/>
        </w:trPr>
        <w:tc>
          <w:tcPr>
            <w:tcW w:w="1180" w:type="dxa"/>
            <w:vAlign w:val="bottom"/>
            <w:gridSpan w:val="2"/>
            <w:shd w:val="clear" w:color="auto" w:fill="CCEEFF"/>
          </w:tcPr>
          <w:p>
            <w:pPr>
              <w:spacing w:after="0" w:line="117" w:lineRule="exact"/>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 xml:space="preserve">10.4 </w:t>
              </w:r>
            </w:hyperlink>
            <w:r>
              <w:rPr>
                <w:rFonts w:ascii="Arial" w:cs="Arial" w:eastAsia="Arial" w:hAnsi="Arial"/>
                <w:sz w:val="12"/>
                <w:szCs w:val="12"/>
                <w:color w:val="000000"/>
              </w:rPr>
              <w:t>†</w:t>
            </w:r>
          </w:p>
        </w:tc>
        <w:tc>
          <w:tcPr>
            <w:tcW w:w="10120" w:type="dxa"/>
            <w:vAlign w:val="bottom"/>
            <w:gridSpan w:val="11"/>
            <w:shd w:val="clear" w:color="auto" w:fill="CCEEFF"/>
          </w:tcPr>
          <w:p>
            <w:pPr>
              <w:spacing w:after="0" w:line="117" w:lineRule="exact"/>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17"/>
        </w:trPr>
        <w:tc>
          <w:tcPr>
            <w:tcW w:w="1180" w:type="dxa"/>
            <w:vAlign w:val="bottom"/>
            <w:gridSpan w:val="2"/>
          </w:tcPr>
          <w:p>
            <w:pPr>
              <w:spacing w:after="0" w:line="117"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 xml:space="preserve">10.5 </w:t>
              </w:r>
            </w:hyperlink>
            <w:r>
              <w:rPr>
                <w:rFonts w:ascii="Arial" w:cs="Arial" w:eastAsia="Arial" w:hAnsi="Arial"/>
                <w:sz w:val="12"/>
                <w:szCs w:val="12"/>
                <w:color w:val="000000"/>
              </w:rPr>
              <w:t>†</w:t>
            </w: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10.6</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10.7</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Company's Current Report on Form 8-K filed September 1, 2020).</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10.17</w:t>
              </w:r>
            </w:hyperlink>
          </w:p>
        </w:tc>
        <w:tc>
          <w:tcPr>
            <w:tcW w:w="8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Form Restricted Stock Unit Award Agreement.</w:t>
              </w:r>
            </w:hyperlink>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80" w:type="dxa"/>
            <w:vAlign w:val="bottom"/>
            <w:gridSpan w:val="2"/>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6160" w:type="dxa"/>
            <w:vAlign w:val="bottom"/>
            <w:gridSpan w:val="8"/>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10.19</w:t>
              </w:r>
            </w:hyperlink>
          </w:p>
        </w:tc>
        <w:tc>
          <w:tcPr>
            <w:tcW w:w="80" w:type="dxa"/>
            <w:vAlign w:val="bottom"/>
            <w:shd w:val="clear" w:color="auto" w:fill="CCEEFF"/>
          </w:tcPr>
          <w:p>
            <w:pPr>
              <w:spacing w:after="0"/>
              <w:rPr>
                <w:sz w:val="13"/>
                <w:szCs w:val="13"/>
                <w:color w:val="auto"/>
              </w:rPr>
            </w:pPr>
          </w:p>
        </w:tc>
        <w:tc>
          <w:tcPr>
            <w:tcW w:w="4140" w:type="dxa"/>
            <w:vAlign w:val="bottom"/>
            <w:gridSpan w:val="6"/>
            <w:shd w:val="clear" w:color="auto" w:fill="CCEEFF"/>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Priority Technology Holdings, Inc. Recoupment Policy adopted March 1, 2023</w:t>
              </w:r>
            </w:hyperlink>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10.20</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r>
      <w:tr>
        <w:trPr>
          <w:trHeight w:val="15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10.24</w:t>
            </w:r>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0000FF"/>
              </w:rPr>
              <w:t>Rule 10b5-1 Sales Plan, dated March 11, 2025, by and between Sean Kiewiet and J.P. Morgan Securities LLC.</w:t>
            </w: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10.25</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r>
      <w:tr>
        <w:trPr>
          <w:trHeight w:val="155"/>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gridSpan w:val="4"/>
          </w:tcPr>
          <w:p>
            <w:pPr>
              <w:spacing w:after="0"/>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Administrative Agent and Collateral Agent.</w:t>
              </w:r>
            </w:hyperlink>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817"/>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0" w:name="page41"/>
    <w:bookmarkEnd w:id="40"/>
    <w:tbl>
      <w:tblPr>
        <w:tblLayout w:type="fixed"/>
        <w:tblInd w:w="8" w:type="dxa"/>
        <w:tblCellMar>
          <w:top w:w="0" w:type="dxa"/>
          <w:left w:w="0" w:type="dxa"/>
          <w:bottom w:w="0" w:type="dxa"/>
          <w:right w:w="0" w:type="dxa"/>
        </w:tblCellMar>
      </w:tblPr>
      <w:tr>
        <w:trPr>
          <w:trHeight w:val="138"/>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10.26</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Amendment No. 1 to the Credit and Guaranty Agreement, dated as of November 21, 2024, by and among Priority Holdings, LLC, as the Initial Borrower, the Credit Parties party thereto, the 2024-1 Incremental</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Term Lenders and Truist Bank, as 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10.27</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Share Purchase Agreement by and between Ayrshire Developments Corp., Priority Canada Acquisition Company, Inc., and Priority Technology Holdings, Inc., dated January 21, 2025.</w:t>
            </w:r>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10.28</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Amendment No. 2 to the Credit and Guaranty Agreement, dated as of July 31, 2025, by and among Priority Holdings, LLC, as the Borrower Representative, the Credit Parties party thereto, each of the Lenders</w:t>
              </w:r>
            </w:hyperlink>
          </w:p>
        </w:tc>
      </w:tr>
      <w:tr>
        <w:trPr>
          <w:trHeight w:val="124"/>
        </w:trPr>
        <w:tc>
          <w:tcPr>
            <w:tcW w:w="860" w:type="dxa"/>
            <w:vAlign w:val="bottom"/>
            <w:shd w:val="clear" w:color="auto" w:fill="CCEEFF"/>
          </w:tcPr>
          <w:p>
            <w:pPr>
              <w:spacing w:after="0"/>
              <w:rPr>
                <w:sz w:val="10"/>
                <w:szCs w:val="10"/>
                <w:color w:val="auto"/>
              </w:rPr>
            </w:pPr>
          </w:p>
        </w:tc>
        <w:tc>
          <w:tcPr>
            <w:tcW w:w="10440" w:type="dxa"/>
            <w:vAlign w:val="bottom"/>
            <w:shd w:val="clear" w:color="auto" w:fill="CCEEFF"/>
          </w:tcPr>
          <w:p>
            <w:pPr>
              <w:ind w:left="320"/>
              <w:spacing w:after="0" w:line="124"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party thereto, each 2025-1 Converting Lender party thereto, each 2025-1 Incremental Revolving Credit Lender party thereto, each New 2025-1 Refinancing Term Lender party thereto and Truist Bank, as</w:t>
              </w:r>
            </w:hyperlink>
          </w:p>
        </w:tc>
      </w:tr>
      <w:tr>
        <w:trPr>
          <w:trHeight w:val="155"/>
        </w:trPr>
        <w:tc>
          <w:tcPr>
            <w:tcW w:w="860" w:type="dxa"/>
            <w:vAlign w:val="bottom"/>
            <w:shd w:val="clear" w:color="auto" w:fill="CCEEFF"/>
          </w:tcPr>
          <w:p>
            <w:pPr>
              <w:spacing w:after="0"/>
              <w:rPr>
                <w:sz w:val="13"/>
                <w:szCs w:val="13"/>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administrative agent and collateral agent, as the Designated 2025 Fronting Lender and as the 2025-1 Incremental Term Lender.</w:t>
              </w:r>
            </w:hyperlink>
          </w:p>
        </w:tc>
      </w:tr>
      <w:tr>
        <w:trPr>
          <w:trHeight w:val="117"/>
        </w:trPr>
        <w:tc>
          <w:tcPr>
            <w:tcW w:w="860" w:type="dxa"/>
            <w:vAlign w:val="bottom"/>
          </w:tcPr>
          <w:p>
            <w:pPr>
              <w:spacing w:after="0" w:line="117"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10.29</w:t>
              </w:r>
            </w:hyperlink>
          </w:p>
        </w:tc>
        <w:tc>
          <w:tcPr>
            <w:tcW w:w="10440" w:type="dxa"/>
            <w:vAlign w:val="bottom"/>
          </w:tcPr>
          <w:p>
            <w:pPr>
              <w:ind w:left="320"/>
              <w:spacing w:after="0" w:line="117"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Credit Agreement, dated as of August 18, 2025, by and among Priority Finance SPV, LLC, as Borrower, Priority Residual Finance, LLC, as Holdings, Priority Holdings, LLC, as Servicer, the Lenders party</w:t>
              </w:r>
            </w:hyperlink>
          </w:p>
        </w:tc>
      </w:tr>
      <w:tr>
        <w:trPr>
          <w:trHeight w:val="158"/>
        </w:trPr>
        <w:tc>
          <w:tcPr>
            <w:tcW w:w="860" w:type="dxa"/>
            <w:vAlign w:val="bottom"/>
          </w:tcPr>
          <w:p>
            <w:pPr>
              <w:spacing w:after="0"/>
              <w:rPr>
                <w:sz w:val="13"/>
                <w:szCs w:val="13"/>
                <w:color w:val="auto"/>
              </w:rPr>
            </w:pPr>
          </w:p>
        </w:tc>
        <w:tc>
          <w:tcPr>
            <w:tcW w:w="10440" w:type="dxa"/>
            <w:vAlign w:val="bottom"/>
          </w:tcPr>
          <w:p>
            <w:pPr>
              <w:ind w:left="320"/>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thereto and VP Capital, L.P., as Administrative Agent and Collateral Agent.</w:t>
              </w:r>
            </w:hyperlink>
          </w:p>
        </w:tc>
      </w:tr>
      <w:tr>
        <w:trPr>
          <w:trHeight w:val="157"/>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10.30</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Sale Agreement, dated as of August 18, 2025, by and among Priority Holdings, LLC, as Priority Originator and Servicer, Priority Payment Systems LLC, as PPS Originator and Priority Finance SPV, LLC.</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10.31</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Servicing Agreement, dated as of August 18, 2025, by and between Priority Finance SPV, LLC, as Borrower and Priority Holdings, LLC, as Servicer.</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10.32</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Asset Purchase Agreement, dated as of August 18, 2025, by and between Priority Boom, LLC as buyer and Eventus Holdings, LLC, Riverside Management, LLC, and National Payment Systems, LLC, as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sellers.</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10.33</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Asset Purchase Agreement, dated October 1, 2025, by and between Priority DMS, LLC as buyer and DMSJV, LLC as seller.</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10.34</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Amendment No. 3 to the Credit and Guaranty Agreement, dated as of October 1, 2025, by and among Priority Holdings, LLC, as the sole Borrower Representative under the Credit Agreement, the other Credit</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Parties thereto, the 2025-2 Incremental Term Lender and Truist Bank, as 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21.1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Subsidiaries</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31.1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31.2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32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15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33"/>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17" w:lineRule="exact"/>
        <w:rPr>
          <w:rFonts w:ascii="Arial" w:cs="Arial" w:eastAsia="Arial" w:hAnsi="Arial"/>
          <w:sz w:val="12"/>
          <w:szCs w:val="12"/>
          <w:color w:val="auto"/>
        </w:rPr>
      </w:pPr>
    </w:p>
    <w:p>
      <w:pPr>
        <w:ind w:left="3028"/>
        <w:spacing w:after="0"/>
        <w:rPr>
          <w:rFonts w:ascii="Arial" w:cs="Arial" w:eastAsia="Arial" w:hAnsi="Arial"/>
          <w:sz w:val="12"/>
          <w:szCs w:val="12"/>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37" w:right="299" w:bottom="1440" w:gutter="0" w:footer="0" w:header="0"/>
        </w:sectPr>
      </w:pPr>
    </w:p>
    <w:bookmarkStart w:id="41" w:name="page42"/>
    <w:bookmarkEnd w:id="41"/>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5480" w:type="dxa"/>
            <w:vAlign w:val="bottom"/>
            <w:gridSpan w:val="4"/>
          </w:tcPr>
          <w:p>
            <w:pPr>
              <w:ind w:left="208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May 11, 2026</w:t>
            </w:r>
          </w:p>
        </w:tc>
        <w:tc>
          <w:tcPr>
            <w:tcW w:w="312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7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7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May 11, 2026</w:t>
            </w:r>
          </w:p>
        </w:tc>
        <w:tc>
          <w:tcPr>
            <w:tcW w:w="312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107"/>
        </w:trPr>
        <w:tc>
          <w:tcPr>
            <w:tcW w:w="27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20" w:type="dxa"/>
            <w:vAlign w:val="bottom"/>
            <w:tcBorders>
              <w:top w:val="single" w:sz="8" w:color="auto"/>
            </w:tcBorders>
            <w:gridSpan w:val="2"/>
          </w:tcPr>
          <w:p>
            <w:pPr>
              <w:spacing w:after="0" w:line="107" w:lineRule="exact"/>
              <w:rPr>
                <w:sz w:val="20"/>
                <w:szCs w:val="20"/>
                <w:color w:val="auto"/>
              </w:rPr>
            </w:pPr>
            <w:r>
              <w:rPr>
                <w:rFonts w:ascii="Times New Roman" w:cs="Times New Roman" w:eastAsia="Times New Roman" w:hAnsi="Times New Roman"/>
                <w:sz w:val="12"/>
                <w:szCs w:val="12"/>
                <w:color w:val="auto"/>
              </w:rPr>
              <w:t>Timothy M. O'Leary</w:t>
            </w:r>
          </w:p>
        </w:tc>
        <w:tc>
          <w:tcPr>
            <w:tcW w:w="1240" w:type="dxa"/>
            <w:vAlign w:val="bottom"/>
          </w:tcPr>
          <w:p>
            <w:pPr>
              <w:spacing w:after="0"/>
              <w:rPr>
                <w:sz w:val="9"/>
                <w:szCs w:val="9"/>
                <w:color w:val="auto"/>
              </w:rPr>
            </w:pPr>
          </w:p>
        </w:tc>
      </w:tr>
    </w:tbl>
    <w:p>
      <w:pPr>
        <w:ind w:left="5880"/>
        <w:spacing w:after="0" w:line="203" w:lineRule="auto"/>
        <w:rPr>
          <w:sz w:val="20"/>
          <w:szCs w:val="20"/>
          <w:color w:val="auto"/>
        </w:rPr>
      </w:pPr>
      <w:r>
        <w:rPr>
          <w:rFonts w:ascii="Times New Roman" w:cs="Times New Roman" w:eastAsia="Times New Roman" w:hAnsi="Times New Roman"/>
          <w:sz w:val="12"/>
          <w:szCs w:val="12"/>
          <w:i w:val="1"/>
          <w:iCs w:val="1"/>
          <w:color w:val="auto"/>
        </w:rPr>
        <w:t>Chief Financial Officer</w:t>
      </w:r>
    </w:p>
    <w:p>
      <w:pPr>
        <w:ind w:left="588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0159"/>
          </w:cols>
          <w:pgMar w:left="300" w:top="1331"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Subsidiaries of Priority Technology Holdings, Inc.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Technology Holdings,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Holdings,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Payment Systems,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DMS,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Booms,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Commerce Canada, Inc. (Canada)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Finance,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Residual Finance,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Finance SPV,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Commercial Payments,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Plastiq, Powered by Priority,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Plastiq Canada, Inc. (Canada)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Finxera Holdings,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Finxera Intermediate,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Finxera,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IDC Private Limited (India)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Enhanced Capital RETC Fund XII,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Account Administration Services, In 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Tech Ventures,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IR,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Wave,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Ambient TPA Solutions,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Build,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Primsa Prop Tech,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Rollfi, LLC</w:t>
      </w:r>
    </w:p>
    <w:p>
      <w:pPr>
        <w:sectPr>
          <w:pgSz w:w="11900" w:h="16838" w:orient="portrait"/>
          <w:cols w:equalWidth="0" w:num="1">
            <w:col w:w="11300"/>
          </w:cols>
          <w:pgMar w:left="300" w:top="126" w:right="2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Sila,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Canada Acquisition Company, Inc. (Canada)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Payslate, Inc. (Canada)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Rentmoola Payment Solutions, Ltd. (UK)</w:t>
      </w:r>
    </w:p>
    <w:p>
      <w:pPr>
        <w:sectPr>
          <w:pgSz w:w="11900" w:h="16838" w:orient="portrait"/>
          <w:cols w:equalWidth="0" w:num="1">
            <w:col w:w="11300"/>
          </w:cols>
          <w:pgMar w:left="300" w:top="126" w:right="2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249" w:lineRule="exact"/>
        <w:rPr>
          <w:sz w:val="20"/>
          <w:szCs w:val="20"/>
          <w:color w:val="auto"/>
        </w:rPr>
      </w:pPr>
    </w:p>
    <w:p>
      <w:pPr>
        <w:ind w:left="208" w:hanging="208"/>
        <w:spacing w:after="0"/>
        <w:tabs>
          <w:tab w:leader="none" w:pos="20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49" w:lineRule="exact"/>
        <w:rPr>
          <w:rFonts w:ascii="Times New Roman" w:cs="Times New Roman" w:eastAsia="Times New Roman" w:hAnsi="Times New Roman"/>
          <w:sz w:val="12"/>
          <w:szCs w:val="12"/>
          <w:color w:val="auto"/>
        </w:rPr>
      </w:pPr>
    </w:p>
    <w:p>
      <w:pPr>
        <w:ind w:left="208" w:right="200" w:hanging="208"/>
        <w:spacing w:after="0" w:line="420" w:lineRule="auto"/>
        <w:tabs>
          <w:tab w:leader="none" w:pos="20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420" w:lineRule="auto"/>
        <w:tabs>
          <w:tab w:leader="none" w:pos="20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420" w:lineRule="auto"/>
        <w:tabs>
          <w:tab w:leader="none" w:pos="20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391" w:lineRule="auto"/>
        <w:tabs>
          <w:tab w:leader="none" w:pos="646"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91" w:lineRule="auto"/>
        <w:tabs>
          <w:tab w:leader="none" w:pos="644"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391" w:lineRule="auto"/>
        <w:tabs>
          <w:tab w:leader="none" w:pos="646"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420" w:lineRule="auto"/>
        <w:tabs>
          <w:tab w:leader="none" w:pos="644"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308"/>
          </w:cols>
          <w:pgMar w:left="292" w:top="165" w:right="2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8" w:right="40" w:hanging="208"/>
        <w:spacing w:after="0" w:line="420" w:lineRule="auto"/>
        <w:tabs>
          <w:tab w:leader="none" w:pos="2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391" w:lineRule="auto"/>
        <w:tabs>
          <w:tab w:leader="none" w:pos="646"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48"/>
        <w:spacing w:after="0"/>
        <w:tabs>
          <w:tab w:leader="none" w:pos="6148" w:val="left"/>
        </w:tabs>
        <w:rPr>
          <w:sz w:val="20"/>
          <w:szCs w:val="20"/>
          <w:color w:val="auto"/>
        </w:rPr>
      </w:pPr>
      <w:r>
        <w:rPr>
          <w:rFonts w:ascii="Times New Roman" w:cs="Times New Roman" w:eastAsia="Times New Roman" w:hAnsi="Times New Roman"/>
          <w:sz w:val="12"/>
          <w:szCs w:val="12"/>
          <w:color w:val="auto"/>
        </w:rPr>
        <w:t>May 11, 2026</w:t>
      </w:r>
      <w:r>
        <w:rPr>
          <w:sz w:val="20"/>
          <w:szCs w:val="20"/>
          <w:color w:val="auto"/>
        </w:rPr>
        <w:tab/>
      </w:r>
      <w:r>
        <w:rPr>
          <w:rFonts w:ascii="Times New Roman" w:cs="Times New Roman" w:eastAsia="Times New Roman" w:hAnsi="Times New Roman"/>
          <w:sz w:val="12"/>
          <w:szCs w:val="12"/>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27940</wp:posOffset>
            </wp:positionV>
            <wp:extent cx="369189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3691890" cy="11430"/>
                    </a:xfrm>
                    <a:prstGeom prst="rect">
                      <a:avLst/>
                    </a:prstGeom>
                    <a:noFill/>
                  </pic:spPr>
                </pic:pic>
              </a:graphicData>
            </a:graphic>
          </wp:anchor>
        </w:drawing>
      </w:r>
    </w:p>
    <w:p>
      <w:pPr>
        <w:spacing w:after="0" w:line="40"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2"/>
          <w:szCs w:val="12"/>
          <w:color w:val="auto"/>
        </w:rPr>
        <w:t>Thomas C. Priore</w:t>
      </w:r>
    </w:p>
    <w:p>
      <w:pPr>
        <w:spacing w:after="0" w:line="67"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6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1308"/>
          </w:cols>
          <w:pgMar w:left="292" w:top="165" w:right="2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249" w:lineRule="exact"/>
        <w:rPr>
          <w:sz w:val="20"/>
          <w:szCs w:val="20"/>
          <w:color w:val="auto"/>
        </w:rPr>
      </w:pPr>
    </w:p>
    <w:p>
      <w:pPr>
        <w:ind w:left="208" w:hanging="208"/>
        <w:spacing w:after="0"/>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49" w:lineRule="exact"/>
        <w:rPr>
          <w:rFonts w:ascii="Times New Roman" w:cs="Times New Roman" w:eastAsia="Times New Roman" w:hAnsi="Times New Roman"/>
          <w:sz w:val="12"/>
          <w:szCs w:val="12"/>
          <w:color w:val="auto"/>
        </w:rPr>
      </w:pPr>
    </w:p>
    <w:p>
      <w:pPr>
        <w:ind w:left="208" w:right="200" w:hanging="208"/>
        <w:spacing w:after="0" w:line="420" w:lineRule="auto"/>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420" w:lineRule="auto"/>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420" w:lineRule="auto"/>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391" w:lineRule="auto"/>
        <w:tabs>
          <w:tab w:leader="none" w:pos="646"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91" w:lineRule="auto"/>
        <w:tabs>
          <w:tab w:leader="none" w:pos="644"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420" w:lineRule="auto"/>
        <w:tabs>
          <w:tab w:leader="none" w:pos="646"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308"/>
          </w:cols>
          <w:pgMar w:left="292" w:top="165" w:right="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 w:right="280" w:hanging="216"/>
        <w:spacing w:after="0" w:line="420" w:lineRule="auto"/>
        <w:tabs>
          <w:tab w:leader="none" w:pos="644"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Times New Roman" w:cs="Times New Roman" w:eastAsia="Times New Roman" w:hAnsi="Times New Roman"/>
          <w:sz w:val="12"/>
          <w:szCs w:val="12"/>
          <w:color w:val="auto"/>
        </w:rPr>
      </w:pPr>
    </w:p>
    <w:p>
      <w:pPr>
        <w:ind w:left="208" w:right="40" w:hanging="208"/>
        <w:spacing w:after="0" w:line="420" w:lineRule="auto"/>
        <w:tabs>
          <w:tab w:leader="none" w:pos="20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391" w:lineRule="auto"/>
        <w:tabs>
          <w:tab w:leader="none" w:pos="646"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48"/>
        <w:spacing w:after="0"/>
        <w:tabs>
          <w:tab w:leader="none" w:pos="7988" w:val="left"/>
        </w:tabs>
        <w:rPr>
          <w:sz w:val="20"/>
          <w:szCs w:val="20"/>
          <w:color w:val="auto"/>
        </w:rPr>
      </w:pPr>
      <w:r>
        <w:rPr>
          <w:rFonts w:ascii="Times New Roman" w:cs="Times New Roman" w:eastAsia="Times New Roman" w:hAnsi="Times New Roman"/>
          <w:sz w:val="12"/>
          <w:szCs w:val="12"/>
          <w:color w:val="auto"/>
        </w:rPr>
        <w:t>May 11, 2026</w:t>
      </w:r>
      <w:r>
        <w:rPr>
          <w:sz w:val="20"/>
          <w:szCs w:val="20"/>
          <w:color w:val="auto"/>
        </w:rPr>
        <w:tab/>
      </w:r>
      <w:r>
        <w:rPr>
          <w:rFonts w:ascii="Times New Roman" w:cs="Times New Roman" w:eastAsia="Times New Roman" w:hAnsi="Times New Roman"/>
          <w:sz w:val="11"/>
          <w:szCs w:val="11"/>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22225</wp:posOffset>
            </wp:positionV>
            <wp:extent cx="306895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3068955" cy="11430"/>
                    </a:xfrm>
                    <a:prstGeom prst="rect">
                      <a:avLst/>
                    </a:prstGeom>
                    <a:noFill/>
                  </pic:spPr>
                </pic:pic>
              </a:graphicData>
            </a:graphic>
          </wp:anchor>
        </w:drawing>
      </w:r>
    </w:p>
    <w:p>
      <w:pPr>
        <w:spacing w:after="0" w:line="4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2"/>
          <w:szCs w:val="12"/>
          <w:color w:val="auto"/>
        </w:rPr>
        <w:t>Timothy M. O’Leary</w:t>
      </w:r>
    </w:p>
    <w:p>
      <w:pPr>
        <w:spacing w:after="0" w:line="6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6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11308"/>
          </w:cols>
          <w:pgMar w:left="292" w:top="165" w:right="2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200" w:lineRule="exact"/>
        <w:rPr>
          <w:sz w:val="20"/>
          <w:szCs w:val="20"/>
          <w:color w:val="auto"/>
        </w:rPr>
      </w:pPr>
    </w:p>
    <w:p>
      <w:pPr>
        <w:spacing w:after="0" w:line="215" w:lineRule="exact"/>
        <w:rPr>
          <w:sz w:val="20"/>
          <w:szCs w:val="20"/>
          <w:color w:val="auto"/>
        </w:rPr>
      </w:pPr>
    </w:p>
    <w:p>
      <w:pPr>
        <w:spacing w:after="0" w:line="420"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September 30, 2025 as filed with the Securities and Exchange Commission (the "Report"), each of the undersigned, on the dates indicated below, hereby certifies pursuant to 18 U.S.C. Section 1350, as adopted pursuant to Section 906 of the Sarbanes-Oxley Act of 2002, that:</w:t>
      </w:r>
    </w:p>
    <w:p>
      <w:pPr>
        <w:spacing w:after="0" w:line="129"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8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ectPr>
          <w:pgSz w:w="11900" w:h="16838" w:orient="portrait"/>
          <w:cols w:equalWidth="0" w:num="1">
            <w:col w:w="11300"/>
          </w:cols>
          <w:pgMar w:left="300" w:top="165" w:right="2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May 11,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ectPr>
          <w:pgSz w:w="11900" w:h="16838" w:orient="portrait"/>
          <w:cols w:equalWidth="0" w:num="2">
            <w:col w:w="3960" w:space="720"/>
            <w:col w:w="6620"/>
          </w:cols>
          <w:pgMar w:left="300" w:top="165" w:right="299"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6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9"/>
    </w:lvl>
  </w:abstractNum>
  <w:abstractNum w:abstractNumId="17">
    <w:nsid w:val="836C40E"/>
    <w:multiLevelType w:val="hybridMultilevel"/>
    <w:lvl w:ilvl="0">
      <w:lvlJc w:val="left"/>
      <w:lvlText w:val="%1."/>
      <w:numFmt w:val="decimal"/>
      <w:start w:val="10"/>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5"/>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5"/>
    </w:lvl>
  </w:abstractNum>
  <w:abstractNum w:abstractNumId="27">
    <w:nsid w:val="3006C83E"/>
    <w:multiLevelType w:val="hybridMultilevel"/>
    <w:lvl w:ilvl="0">
      <w:lvlJc w:val="left"/>
      <w:lvlText w:val="%1"/>
      <w:numFmt w:val="decimal"/>
      <w:start w:val="1"/>
    </w:lvl>
    <w:lvl w:ilvl="1">
      <w:lvlJc w:val="left"/>
      <w:lvlText w:val="(%2)"/>
      <w:numFmt w:val="decimal"/>
      <w:start w:val="1"/>
    </w:lvl>
  </w:abstractNum>
  <w:abstractNum w:abstractNumId="28">
    <w:nsid w:val="614FD4A1"/>
    <w:multiLevelType w:val="hybridMultilevel"/>
    <w:lvl w:ilvl="0">
      <w:lvlJc w:val="left"/>
      <w:lvlText w:val="%1."/>
      <w:numFmt w:val="decimal"/>
      <w:start w:val="16"/>
    </w:lvl>
    <w:lvl w:ilvl="1">
      <w:lvlJc w:val="left"/>
      <w:lvlText w:val="%2"/>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5"/>
    </w:lvl>
    <w:lvl w:ilvl="1">
      <w:lvlJc w:val="left"/>
      <w:lvlText w:val="(%2)"/>
      <w:numFmt w:val="lowerLetter"/>
      <w:start w:val="5"/>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4"/>
    </w:lvl>
  </w:abstractNum>
  <w:abstractNum w:abstractNumId="37">
    <w:nsid w:val="2463B9EA"/>
    <w:multiLevelType w:val="hybridMultilevel"/>
    <w:lvl w:ilvl="0">
      <w:lvlJc w:val="left"/>
      <w:lvlText w:val="%1."/>
      <w:numFmt w:val="decimal"/>
      <w:start w:val="5"/>
    </w:lvl>
    <w:lvl w:ilvl="1">
      <w:lvlJc w:val="left"/>
      <w:lvlText w:val="(%2)"/>
      <w:numFmt w:val="lowerLetter"/>
      <w:start w:val="5"/>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74" Type="http://schemas.openxmlformats.org/officeDocument/2006/relationships/hyperlink" Target="https://www.sec.gov/Archives/edgar/data/1653558/000161577418006226/s111183_defm14a.htm" TargetMode="External"/><Relationship Id="rId75" Type="http://schemas.openxmlformats.org/officeDocument/2006/relationships/hyperlink" Target="https://www.sec.gov/Archives/edgar/data/1653558/000165355821000031/projectwarriorfinxera-merg.htm" TargetMode="External"/><Relationship Id="rId76" Type="http://schemas.openxmlformats.org/officeDocument/2006/relationships/hyperlink" Target="https://www.sec.gov/Archives/edgar/data/1653558/000165355821000060/annex1certificateofamendme.htm" TargetMode="External"/><Relationship Id="rId77" Type="http://schemas.openxmlformats.org/officeDocument/2006/relationships/hyperlink" Target="https://www.sec.gov/Archives/edgar/data/0001653558/000165355821000031/projectwarriorfinxera-merg.htm" TargetMode="External"/><Relationship Id="rId78" Type="http://schemas.openxmlformats.org/officeDocument/2006/relationships/hyperlink" Target="https://www.sec.gov/Archives/edgar/data/1653558/000161577418007231/s111606_ex3-1.htm" TargetMode="External"/><Relationship Id="rId79" Type="http://schemas.openxmlformats.org/officeDocument/2006/relationships/hyperlink" Target="https://www.sec.gov/Archives/edgar/data/1653558/000161577418007231/s111606_ex3-2.htm" TargetMode="External"/><Relationship Id="rId80" Type="http://schemas.openxmlformats.org/officeDocument/2006/relationships/hyperlink" Target="https://www.sec.gov/Archives/edgar/data/1653558/000161577418007231/s111606_ex10-1.htm" TargetMode="External"/><Relationship Id="rId81" Type="http://schemas.openxmlformats.org/officeDocument/2006/relationships/hyperlink" Target="https://www.sec.gov/Archives/edgar/data/1653558/000161577418007231/s111606_ex10-2.htm" TargetMode="External"/><Relationship Id="rId82" Type="http://schemas.openxmlformats.org/officeDocument/2006/relationships/hyperlink" Target="https://www.sec.gov/Archives/edgar/data/0001653558/000165355821000101/ex1021prioritytechnologyq2.htm" TargetMode="External"/><Relationship Id="rId83" Type="http://schemas.openxmlformats.org/officeDocument/2006/relationships/hyperlink" Target="https://www.sec.gov/Archives/edgar/data/1653558/000165355822000028/prioritytechnology-ex1031x.htm" TargetMode="External"/><Relationship Id="rId84" Type="http://schemas.openxmlformats.org/officeDocument/2006/relationships/hyperlink" Target="https://www.sec.gov/Archives/edgar/data/1653558/000165355825000102/ex1032amendmentno2to2021.htm" TargetMode="External"/><Relationship Id="rId85" Type="http://schemas.openxmlformats.org/officeDocument/2006/relationships/hyperlink" Target="https://www.sec.gov/Archives/edgar/data/1653558/000161577418014981/s114881_ex10-6.htm" TargetMode="External"/><Relationship Id="rId86" Type="http://schemas.openxmlformats.org/officeDocument/2006/relationships/hyperlink" Target="https://www.sec.gov/Archives/edgar/data/1653558/000161577418014981/s114881_ex10-7.htm" TargetMode="External"/><Relationship Id="rId87" Type="http://schemas.openxmlformats.org/officeDocument/2006/relationships/hyperlink" Target="http://www.sec.gov/Archives/edgar/data/1653558/000162828019003666/prioritytechnology-ex1019.htm" TargetMode="External"/><Relationship Id="rId88" Type="http://schemas.openxmlformats.org/officeDocument/2006/relationships/hyperlink" Target="https://www.sec.gov/Archives/edgar/data/1653558/000165355820000148/assetpurchaseagreement.htm" TargetMode="External"/><Relationship Id="rId89" Type="http://schemas.openxmlformats.org/officeDocument/2006/relationships/hyperlink" Target="https://www.sec.gov/Archives/edgar/data/1653558/000165355822000094/ex1023formrestrictedstocku.htm" TargetMode="External"/><Relationship Id="rId90" Type="http://schemas.openxmlformats.org/officeDocument/2006/relationships/hyperlink" Target="https://www.sec.gov/Archives/edgar/data/1653558/000165355823000030/prioritytechnology-ex108.htm" TargetMode="External"/><Relationship Id="rId91" Type="http://schemas.openxmlformats.org/officeDocument/2006/relationships/hyperlink" Target="https://www.sec.gov/Archives/edgar/data/1653558/000165355823000056/ex1025priorityrecoupmentcl.htm" TargetMode="External"/><Relationship Id="rId92" Type="http://schemas.openxmlformats.org/officeDocument/2006/relationships/hyperlink" Target="https://www.sec.gov/Archives/edgar/data/1653558/000165355823000087/ex101projectbellamy-amen.htm" TargetMode="External"/><Relationship Id="rId93" Type="http://schemas.openxmlformats.org/officeDocument/2006/relationships/hyperlink" Target="https://www.sec.gov/ix?doc=/Archives/edgar/data/1653558/000165355824000073/prth-20240516.htm" TargetMode="External"/><Relationship Id="rId96" Type="http://schemas.openxmlformats.org/officeDocument/2006/relationships/hyperlink" Target="https://www.sec.gov/ix?doc=/Archives/edgar/data/0001653558/000165355824000153/prth-20241121.htm" TargetMode="External"/><Relationship Id="rId97" Type="http://schemas.openxmlformats.org/officeDocument/2006/relationships/hyperlink" Target="https://www.sec.gov/Archives/edgar/data/1653558/000165355825000091/ex101prthamendmentno2.htm" TargetMode="External"/><Relationship Id="rId98" Type="http://schemas.openxmlformats.org/officeDocument/2006/relationships/hyperlink" Target="https://www.sec.gov/Archives/edgar/data/1653558/000165355825000107/prth-form8xkxexhibit101x.htm" TargetMode="External"/><Relationship Id="rId99" Type="http://schemas.openxmlformats.org/officeDocument/2006/relationships/hyperlink" Target="https://www.sec.gov/Archives/edgar/data/1653558/000165355825000107/prth-form8xkxexhibit102x.htm" TargetMode="External"/><Relationship Id="rId100" Type="http://schemas.openxmlformats.org/officeDocument/2006/relationships/hyperlink" Target="https://www.sec.gov/Archives/edgar/data/1653558/000165355825000107/prth-form8xkxexhibit103x.htm" TargetMode="External"/><Relationship Id="rId101" Type="http://schemas.openxmlformats.org/officeDocument/2006/relationships/hyperlink" Target="https://www.sec.gov/Archives/edgar/data/1653558/000165355825000107/assetpurchaseagreement-boo.htm" TargetMode="External"/><Relationship Id="rId102" Type="http://schemas.openxmlformats.org/officeDocument/2006/relationships/hyperlink" Target="https://www.sec.gov/Archives/edgar/data/1653558/000162828025043526/a101assetpurchaseandcontri.htm" TargetMode="External"/><Relationship Id="rId103" Type="http://schemas.openxmlformats.org/officeDocument/2006/relationships/hyperlink" Target="https://www.sec.gov/Archives/edgar/data/1653558/000162828025043526/prth-ex102xcoveramendment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2026-05-11T07:29:06Z</dcterms:created>
  <dcterms:modified xsi:type="dcterms:W3CDTF">2026-05-11T07:29:06Z</dcterms:modified>
</cp:coreProperties>
</file>