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40" w:lineRule="exact"/>
        <w:rPr>
          <w:sz w:val="24"/>
          <w:szCs w:val="24"/>
          <w:color w:val="auto"/>
        </w:rPr>
      </w:pPr>
    </w:p>
    <w:p>
      <w:pPr>
        <w:jc w:val="center"/>
        <w:ind w:left="4020" w:right="1420" w:hanging="2616"/>
        <w:spacing w:after="0" w:line="294" w:lineRule="auto"/>
        <w:tabs>
          <w:tab w:leader="none" w:pos="16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080"/>
        <w:spacing w:after="0"/>
        <w:tabs>
          <w:tab w:leader="none" w:pos="69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53975</wp:posOffset>
            </wp:positionV>
            <wp:extent cx="2537460" cy="1174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6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Priority Technology Holdings, Inc.</w:t>
            </w:r>
          </w:p>
        </w:tc>
        <w:tc>
          <w:tcPr>
            <w:tcW w:w="3340" w:type="dxa"/>
            <w:vAlign w:val="bottom"/>
          </w:tcPr>
          <w:p>
            <w:pPr>
              <w:spacing w:after="0"/>
              <w:rPr>
                <w:sz w:val="20"/>
                <w:szCs w:val="20"/>
                <w:color w:val="auto"/>
              </w:rPr>
            </w:pPr>
          </w:p>
        </w:tc>
      </w:tr>
      <w:tr>
        <w:trPr>
          <w:trHeight w:val="432"/>
        </w:trPr>
        <w:tc>
          <w:tcPr>
            <w:tcW w:w="7900" w:type="dxa"/>
            <w:vAlign w:val="bottom"/>
            <w:gridSpan w:val="2"/>
          </w:tcPr>
          <w:p>
            <w:pPr>
              <w:jc w:val="center"/>
              <w:ind w:left="325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40" w:type="dxa"/>
            <w:vAlign w:val="bottom"/>
          </w:tcPr>
          <w:p>
            <w:pPr>
              <w:spacing w:after="0"/>
              <w:rPr>
                <w:sz w:val="24"/>
                <w:szCs w:val="24"/>
                <w:color w:val="auto"/>
              </w:rPr>
            </w:pPr>
          </w:p>
        </w:tc>
      </w:tr>
      <w:tr>
        <w:trPr>
          <w:trHeight w:val="500"/>
        </w:trPr>
        <w:tc>
          <w:tcPr>
            <w:tcW w:w="4280" w:type="dxa"/>
            <w:vAlign w:val="bottom"/>
            <w:tcBorders>
              <w:bottom w:val="single" w:sz="8" w:color="auto"/>
            </w:tcBorders>
          </w:tcPr>
          <w:p>
            <w:pPr>
              <w:jc w:val="center"/>
              <w:ind w:left="223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1815"/>
              <w:spacing w:after="0"/>
              <w:rPr>
                <w:sz w:val="20"/>
                <w:szCs w:val="20"/>
                <w:color w:val="auto"/>
              </w:rPr>
            </w:pPr>
            <w:r>
              <w:rPr>
                <w:rFonts w:ascii="Times New Roman" w:cs="Times New Roman" w:eastAsia="Times New Roman" w:hAnsi="Times New Roman"/>
                <w:sz w:val="18"/>
                <w:szCs w:val="18"/>
                <w:b w:val="1"/>
                <w:bCs w:val="1"/>
                <w:color w:val="auto"/>
              </w:rPr>
              <w:t>47-4257046</w:t>
            </w:r>
          </w:p>
        </w:tc>
      </w:tr>
      <w:tr>
        <w:trPr>
          <w:trHeight w:val="155"/>
        </w:trPr>
        <w:tc>
          <w:tcPr>
            <w:tcW w:w="4280" w:type="dxa"/>
            <w:vAlign w:val="bottom"/>
          </w:tcPr>
          <w:p>
            <w:pPr>
              <w:jc w:val="center"/>
              <w:ind w:left="2233"/>
              <w:spacing w:after="0" w:line="155"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620" w:type="dxa"/>
            <w:vAlign w:val="bottom"/>
          </w:tcPr>
          <w:p>
            <w:pPr>
              <w:spacing w:after="0"/>
              <w:rPr>
                <w:sz w:val="13"/>
                <w:szCs w:val="13"/>
                <w:color w:val="auto"/>
              </w:rPr>
            </w:pPr>
          </w:p>
        </w:tc>
        <w:tc>
          <w:tcPr>
            <w:tcW w:w="3340" w:type="dxa"/>
            <w:vAlign w:val="bottom"/>
          </w:tcPr>
          <w:p>
            <w:pPr>
              <w:jc w:val="center"/>
              <w:ind w:right="1235"/>
              <w:spacing w:after="0" w:line="155"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280" w:type="dxa"/>
            <w:vAlign w:val="bottom"/>
          </w:tcPr>
          <w:p>
            <w:pPr>
              <w:jc w:val="center"/>
              <w:ind w:left="2233"/>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20" w:type="dxa"/>
            <w:vAlign w:val="bottom"/>
          </w:tcPr>
          <w:p>
            <w:pPr>
              <w:spacing w:after="0"/>
              <w:rPr>
                <w:sz w:val="18"/>
                <w:szCs w:val="18"/>
                <w:color w:val="auto"/>
              </w:rPr>
            </w:pPr>
          </w:p>
        </w:tc>
        <w:tc>
          <w:tcPr>
            <w:tcW w:w="3340" w:type="dxa"/>
            <w:vAlign w:val="bottom"/>
          </w:tcPr>
          <w:p>
            <w:pPr>
              <w:jc w:val="center"/>
              <w:ind w:right="123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29"/>
        </w:trPr>
        <w:tc>
          <w:tcPr>
            <w:tcW w:w="4280" w:type="dxa"/>
            <w:vAlign w:val="bottom"/>
          </w:tcPr>
          <w:p>
            <w:pPr>
              <w:jc w:val="center"/>
              <w:ind w:left="2213"/>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36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4280" w:type="dxa"/>
            <w:vAlign w:val="bottom"/>
          </w:tcPr>
          <w:p>
            <w:pPr>
              <w:jc w:val="center"/>
              <w:ind w:left="2213"/>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38"/>
        </w:trPr>
        <w:tc>
          <w:tcPr>
            <w:tcW w:w="428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b w:val="1"/>
                <w:bCs w:val="1"/>
                <w:color w:val="auto"/>
                <w:w w:val="99"/>
              </w:rPr>
              <w:t>Alpharetta,</w:t>
            </w:r>
          </w:p>
        </w:tc>
        <w:tc>
          <w:tcPr>
            <w:tcW w:w="362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3340" w:type="dxa"/>
            <w:vAlign w:val="bottom"/>
            <w:tcBorders>
              <w:bottom w:val="single" w:sz="8" w:color="auto"/>
            </w:tcBorders>
          </w:tcPr>
          <w:p>
            <w:pPr>
              <w:jc w:val="right"/>
              <w:ind w:right="2015"/>
              <w:spacing w:after="0"/>
              <w:rPr>
                <w:sz w:val="20"/>
                <w:szCs w:val="20"/>
                <w:color w:val="auto"/>
              </w:rPr>
            </w:pPr>
            <w:r>
              <w:rPr>
                <w:rFonts w:ascii="Times New Roman" w:cs="Times New Roman" w:eastAsia="Times New Roman" w:hAnsi="Times New Roman"/>
                <w:sz w:val="18"/>
                <w:szCs w:val="18"/>
                <w:b w:val="1"/>
                <w:bCs w:val="1"/>
                <w:color w:val="auto"/>
              </w:rPr>
              <w:t>30004</w:t>
            </w:r>
          </w:p>
        </w:tc>
      </w:tr>
      <w:tr>
        <w:trPr>
          <w:trHeight w:val="204"/>
        </w:trPr>
        <w:tc>
          <w:tcPr>
            <w:tcW w:w="4280" w:type="dxa"/>
            <w:vAlign w:val="bottom"/>
          </w:tcPr>
          <w:p>
            <w:pPr>
              <w:jc w:val="center"/>
              <w:ind w:left="273"/>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20" w:type="dxa"/>
            <w:vAlign w:val="bottom"/>
          </w:tcPr>
          <w:p>
            <w:pPr>
              <w:spacing w:after="0"/>
              <w:rPr>
                <w:sz w:val="17"/>
                <w:szCs w:val="17"/>
                <w:color w:val="auto"/>
              </w:rPr>
            </w:pPr>
          </w:p>
        </w:tc>
        <w:tc>
          <w:tcPr>
            <w:tcW w:w="3340" w:type="dxa"/>
            <w:vAlign w:val="bottom"/>
          </w:tcPr>
          <w:p>
            <w:pPr>
              <w:jc w:val="center"/>
              <w:ind w:right="123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 (404) 952-2107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PRTH</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319"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w:t>
      </w:r>
    </w:p>
    <w:p>
      <w:pPr>
        <w:spacing w:after="0" w:line="27" w:lineRule="exact"/>
        <w:rPr>
          <w:sz w:val="24"/>
          <w:szCs w:val="24"/>
          <w:color w:val="auto"/>
        </w:rPr>
      </w:pPr>
    </w:p>
    <w:p>
      <w:pPr>
        <w:ind w:right="600"/>
        <w:spacing w:after="0" w:line="230" w:lineRule="exact"/>
        <w:rPr>
          <w:sz w:val="20"/>
          <w:szCs w:val="20"/>
          <w:color w:val="auto"/>
        </w:rPr>
      </w:pPr>
      <w:r>
        <w:rPr>
          <w:rFonts w:ascii="Times New Roman" w:cs="Times New Roman" w:eastAsia="Times New Roman" w:hAnsi="Times New Roman"/>
          <w:sz w:val="18"/>
          <w:szCs w:val="18"/>
          <w:color w:val="auto"/>
        </w:rPr>
        <w:t xml:space="preserve">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w:t>
      </w:r>
    </w:p>
    <w:p>
      <w:pPr>
        <w:spacing w:after="0" w:line="27" w:lineRule="exact"/>
        <w:rPr>
          <w:sz w:val="24"/>
          <w:szCs w:val="24"/>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reporting company, or an emerging growth company. See the definitions of "large accelerated filer," "accelerated filer," "smaller reporting company," and "emerging growth company" in Rule 12b-2 of the Exchange Act.</w:t>
      </w:r>
    </w:p>
    <w:p>
      <w:pPr>
        <w:spacing w:after="0" w:line="30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4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60"/>
          </w:cols>
          <w:pgMar w:left="320" w:top="1103" w:right="31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May 3, 2024, the number of the registrant's Common Stock outstanding was 80,065,145.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88"/>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20" w:type="dxa"/>
            <w:vAlign w:val="bottom"/>
            <w:gridSpan w:val="5"/>
          </w:tcPr>
          <w:p>
            <w:pPr>
              <w:jc w:val="center"/>
              <w:ind w:left="1939"/>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96"/>
        </w:trPr>
        <w:tc>
          <w:tcPr>
            <w:tcW w:w="872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Commonly Used or Defined Terms</w:t>
            </w:r>
          </w:p>
        </w:tc>
        <w:tc>
          <w:tcPr>
            <w:tcW w:w="2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color w:val="0000FF"/>
              </w:rPr>
              <w:t>ii</w:t>
            </w: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72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PART I. FINANCIAL INFORMATION</w:t>
            </w:r>
          </w:p>
        </w:tc>
        <w:tc>
          <w:tcPr>
            <w:tcW w:w="2200" w:type="dxa"/>
            <w:vAlign w:val="bottom"/>
            <w:gridSpan w:val="3"/>
          </w:tcPr>
          <w:p>
            <w:pPr>
              <w:jc w:val="center"/>
              <w:ind w:left="2039"/>
              <w:spacing w:after="0"/>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4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Item 1. Financial Statements</w:t>
            </w:r>
          </w:p>
        </w:tc>
        <w:tc>
          <w:tcPr>
            <w:tcW w:w="6120" w:type="dxa"/>
            <w:vAlign w:val="bottom"/>
            <w:gridSpan w:val="12"/>
          </w:tcPr>
          <w:p>
            <w:pPr>
              <w:spacing w:after="0"/>
              <w:rPr>
                <w:sz w:val="17"/>
                <w:szCs w:val="17"/>
                <w:color w:val="auto"/>
              </w:rPr>
            </w:pPr>
          </w:p>
        </w:tc>
        <w:tc>
          <w:tcPr>
            <w:tcW w:w="212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6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w w:val="99"/>
              </w:rPr>
              <w:t>Unaudited Consolidated Balance Sheets</w:t>
            </w:r>
          </w:p>
        </w:tc>
        <w:tc>
          <w:tcPr>
            <w:tcW w:w="6000" w:type="dxa"/>
            <w:vAlign w:val="bottom"/>
            <w:gridSpan w:val="11"/>
          </w:tcPr>
          <w:p>
            <w:pPr>
              <w:spacing w:after="0"/>
              <w:rPr>
                <w:sz w:val="17"/>
                <w:szCs w:val="17"/>
                <w:color w:val="auto"/>
              </w:rPr>
            </w:pPr>
          </w:p>
        </w:tc>
        <w:tc>
          <w:tcPr>
            <w:tcW w:w="212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Unaudited Consolidated Statements of Operations and Comprehensive Loss</w:t>
            </w:r>
          </w:p>
        </w:tc>
        <w:tc>
          <w:tcPr>
            <w:tcW w:w="2200" w:type="dxa"/>
            <w:vAlign w:val="bottom"/>
            <w:gridSpan w:val="3"/>
          </w:tcPr>
          <w:p>
            <w:pPr>
              <w:jc w:val="center"/>
              <w:ind w:left="2039"/>
              <w:spacing w:after="0"/>
              <w:rPr>
                <w:sz w:val="20"/>
                <w:szCs w:val="20"/>
                <w:color w:val="auto"/>
              </w:rPr>
            </w:pPr>
            <w:r>
              <w:rPr>
                <w:rFonts w:ascii="Times New Roman" w:cs="Times New Roman" w:eastAsia="Times New Roman" w:hAnsi="Times New Roman"/>
                <w:sz w:val="16"/>
                <w:szCs w:val="16"/>
                <w:color w:val="0000FF"/>
                <w:w w:val="99"/>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Unaudited Consolidated Statements of Changes in Stockholders' Deficit and Non-Controlling Interest</w:t>
            </w:r>
          </w:p>
        </w:tc>
        <w:tc>
          <w:tcPr>
            <w:tcW w:w="2200" w:type="dxa"/>
            <w:vAlign w:val="bottom"/>
            <w:gridSpan w:val="3"/>
          </w:tcPr>
          <w:p>
            <w:pPr>
              <w:jc w:val="center"/>
              <w:ind w:left="2039"/>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Unaudited Consolidated Statements of Cash Flows</w:t>
            </w:r>
          </w:p>
        </w:tc>
        <w:tc>
          <w:tcPr>
            <w:tcW w:w="3280" w:type="dxa"/>
            <w:vAlign w:val="bottom"/>
            <w:gridSpan w:val="8"/>
          </w:tcPr>
          <w:p>
            <w:pPr>
              <w:spacing w:after="0"/>
              <w:rPr>
                <w:sz w:val="17"/>
                <w:szCs w:val="17"/>
                <w:color w:val="auto"/>
              </w:rPr>
            </w:pPr>
          </w:p>
        </w:tc>
        <w:tc>
          <w:tcPr>
            <w:tcW w:w="2020" w:type="dxa"/>
            <w:vAlign w:val="bottom"/>
          </w:tcPr>
          <w:p>
            <w:pPr>
              <w:spacing w:after="0"/>
              <w:rPr>
                <w:sz w:val="17"/>
                <w:szCs w:val="17"/>
                <w:color w:val="auto"/>
              </w:rPr>
            </w:pPr>
          </w:p>
        </w:tc>
        <w:tc>
          <w:tcPr>
            <w:tcW w:w="212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r>
              <w:rPr>
                <w:rFonts w:ascii="Times New Roman" w:cs="Times New Roman" w:eastAsia="Times New Roman" w:hAnsi="Times New Roman"/>
                <w:sz w:val="16"/>
                <w:szCs w:val="16"/>
                <w:color w:val="000000"/>
              </w:rPr>
              <w:t>:</w:t>
            </w:r>
          </w:p>
        </w:tc>
        <w:tc>
          <w:tcPr>
            <w:tcW w:w="2200" w:type="dxa"/>
            <w:vAlign w:val="bottom"/>
            <w:gridSpan w:val="3"/>
          </w:tcPr>
          <w:p>
            <w:pPr>
              <w:jc w:val="center"/>
              <w:ind w:left="2039"/>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1.</w:t>
            </w:r>
          </w:p>
        </w:tc>
        <w:tc>
          <w:tcPr>
            <w:tcW w:w="836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Basis of Presentation and Significant Accounting Policies</w:t>
            </w:r>
          </w:p>
        </w:tc>
        <w:tc>
          <w:tcPr>
            <w:tcW w:w="2200" w:type="dxa"/>
            <w:vAlign w:val="bottom"/>
            <w:gridSpan w:val="3"/>
          </w:tcPr>
          <w:p>
            <w:pPr>
              <w:jc w:val="center"/>
              <w:ind w:left="2039"/>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2.</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w w:val="99"/>
              </w:rPr>
              <w:t>Acquisition</w:t>
            </w:r>
          </w:p>
        </w:tc>
        <w:tc>
          <w:tcPr>
            <w:tcW w:w="2960" w:type="dxa"/>
            <w:vAlign w:val="bottom"/>
            <w:gridSpan w:val="16"/>
          </w:tcPr>
          <w:p>
            <w:pPr>
              <w:spacing w:after="0"/>
              <w:rPr>
                <w:sz w:val="17"/>
                <w:szCs w:val="17"/>
                <w:color w:val="auto"/>
              </w:rPr>
            </w:pPr>
          </w:p>
        </w:tc>
        <w:tc>
          <w:tcPr>
            <w:tcW w:w="4600" w:type="dxa"/>
            <w:vAlign w:val="bottom"/>
            <w:gridSpan w:val="7"/>
          </w:tcPr>
          <w:p>
            <w:pPr>
              <w:spacing w:after="0"/>
              <w:rPr>
                <w:sz w:val="17"/>
                <w:szCs w:val="17"/>
                <w:color w:val="auto"/>
              </w:rPr>
            </w:pPr>
          </w:p>
        </w:tc>
        <w:tc>
          <w:tcPr>
            <w:tcW w:w="212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3.</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Revenues</w:t>
            </w:r>
          </w:p>
        </w:tc>
        <w:tc>
          <w:tcPr>
            <w:tcW w:w="140" w:type="dxa"/>
            <w:vAlign w:val="bottom"/>
          </w:tcPr>
          <w:p>
            <w:pPr>
              <w:spacing w:after="0"/>
              <w:rPr>
                <w:sz w:val="17"/>
                <w:szCs w:val="17"/>
                <w:color w:val="auto"/>
              </w:rPr>
            </w:pPr>
          </w:p>
        </w:tc>
        <w:tc>
          <w:tcPr>
            <w:tcW w:w="7560" w:type="dxa"/>
            <w:vAlign w:val="bottom"/>
            <w:gridSpan w:val="23"/>
          </w:tcPr>
          <w:p>
            <w:pPr>
              <w:spacing w:after="0"/>
              <w:rPr>
                <w:sz w:val="17"/>
                <w:szCs w:val="17"/>
                <w:color w:val="auto"/>
              </w:rPr>
            </w:pPr>
          </w:p>
        </w:tc>
        <w:tc>
          <w:tcPr>
            <w:tcW w:w="2120" w:type="dxa"/>
            <w:vAlign w:val="bottom"/>
            <w:gridSpan w:val="2"/>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4.</w:t>
            </w:r>
          </w:p>
        </w:tc>
        <w:tc>
          <w:tcPr>
            <w:tcW w:w="836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Settlement Assets and Customer/Subscriber Account Obligations</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10</w:t>
            </w:r>
          </w:p>
        </w:tc>
        <w:tc>
          <w:tcPr>
            <w:tcW w:w="8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5.</w:t>
            </w:r>
          </w:p>
        </w:tc>
        <w:tc>
          <w:tcPr>
            <w:tcW w:w="4240" w:type="dxa"/>
            <w:vAlign w:val="bottom"/>
            <w:tcBorders>
              <w:top w:val="single" w:sz="8" w:color="0000FF"/>
            </w:tcBorders>
            <w:gridSpan w:val="22"/>
          </w:tcPr>
          <w:p>
            <w:pPr>
              <w:ind w:left="20"/>
              <w:spacing w:after="0"/>
              <w:rPr>
                <w:sz w:val="20"/>
                <w:szCs w:val="20"/>
                <w:color w:val="auto"/>
              </w:rPr>
            </w:pPr>
            <w:r>
              <w:rPr>
                <w:rFonts w:ascii="Times New Roman" w:cs="Times New Roman" w:eastAsia="Times New Roman" w:hAnsi="Times New Roman"/>
                <w:sz w:val="16"/>
                <w:szCs w:val="16"/>
                <w:color w:val="0000FF"/>
              </w:rPr>
              <w:t>Notes Receivable</w:t>
            </w:r>
          </w:p>
        </w:tc>
        <w:tc>
          <w:tcPr>
            <w:tcW w:w="4120" w:type="dxa"/>
            <w:vAlign w:val="bottom"/>
            <w:gridSpan w:val="4"/>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11</w:t>
            </w:r>
          </w:p>
        </w:tc>
        <w:tc>
          <w:tcPr>
            <w:tcW w:w="8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2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6.</w:t>
            </w:r>
          </w:p>
        </w:tc>
        <w:tc>
          <w:tcPr>
            <w:tcW w:w="836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Property, Equipment and Software</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12</w:t>
            </w: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7.</w:t>
            </w:r>
          </w:p>
        </w:tc>
        <w:tc>
          <w:tcPr>
            <w:tcW w:w="836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Goodwill and Other Intangible Assets</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13</w:t>
            </w:r>
          </w:p>
        </w:tc>
        <w:tc>
          <w:tcPr>
            <w:tcW w:w="8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8.</w:t>
            </w:r>
          </w:p>
        </w:tc>
        <w:tc>
          <w:tcPr>
            <w:tcW w:w="1160" w:type="dxa"/>
            <w:vAlign w:val="bottom"/>
            <w:tcBorders>
              <w:top w:val="single" w:sz="8" w:color="0000FF"/>
              <w:bottom w:val="single" w:sz="8" w:color="0000FF"/>
            </w:tcBorders>
            <w:gridSpan w:val="5"/>
          </w:tcPr>
          <w:p>
            <w:pPr>
              <w:ind w:left="20"/>
              <w:spacing w:after="0"/>
              <w:rPr>
                <w:sz w:val="20"/>
                <w:szCs w:val="20"/>
                <w:color w:val="auto"/>
              </w:rPr>
            </w:pPr>
            <w:r>
              <w:rPr>
                <w:rFonts w:ascii="Times New Roman" w:cs="Times New Roman" w:eastAsia="Times New Roman" w:hAnsi="Times New Roman"/>
                <w:sz w:val="16"/>
                <w:szCs w:val="16"/>
                <w:color w:val="0000FF"/>
              </w:rPr>
              <w:t>Debt Obligations</w:t>
            </w:r>
          </w:p>
        </w:tc>
        <w:tc>
          <w:tcPr>
            <w:tcW w:w="1320" w:type="dxa"/>
            <w:vAlign w:val="bottom"/>
            <w:tcBorders>
              <w:top w:val="single" w:sz="8" w:color="0000FF"/>
            </w:tcBorders>
            <w:gridSpan w:val="11"/>
          </w:tcPr>
          <w:p>
            <w:pPr>
              <w:spacing w:after="0"/>
              <w:rPr>
                <w:sz w:val="17"/>
                <w:szCs w:val="17"/>
                <w:color w:val="auto"/>
              </w:rPr>
            </w:pPr>
          </w:p>
        </w:tc>
        <w:tc>
          <w:tcPr>
            <w:tcW w:w="5880" w:type="dxa"/>
            <w:vAlign w:val="bottom"/>
            <w:gridSpan w:val="10"/>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14</w:t>
            </w:r>
          </w:p>
        </w:tc>
        <w:tc>
          <w:tcPr>
            <w:tcW w:w="8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9.</w:t>
            </w:r>
          </w:p>
        </w:tc>
        <w:tc>
          <w:tcPr>
            <w:tcW w:w="330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6"/>
                <w:szCs w:val="16"/>
                <w:color w:val="0000FF"/>
              </w:rPr>
              <w:t>Redeemable Senior Preferred Stock and Warrants</w:t>
            </w:r>
          </w:p>
        </w:tc>
        <w:tc>
          <w:tcPr>
            <w:tcW w:w="5060" w:type="dxa"/>
            <w:vAlign w:val="bottom"/>
            <w:gridSpan w:val="8"/>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15</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10. Income Taxes</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16</w:t>
            </w: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2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9"/>
              </w:rPr>
              <w:t>11. Stockholders' Deficit</w:t>
            </w:r>
          </w:p>
        </w:tc>
        <w:tc>
          <w:tcPr>
            <w:tcW w:w="6880" w:type="dxa"/>
            <w:vAlign w:val="bottom"/>
            <w:gridSpan w:val="18"/>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17</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12. Stock-based Compensation</w:t>
            </w:r>
          </w:p>
        </w:tc>
        <w:tc>
          <w:tcPr>
            <w:tcW w:w="6440" w:type="dxa"/>
            <w:vAlign w:val="bottom"/>
            <w:gridSpan w:val="14"/>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17</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13. Related Party Transactions</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18</w:t>
            </w: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14. Commitments and Contingencies</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19</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15. Fair Value</w:t>
            </w:r>
          </w:p>
        </w:tc>
        <w:tc>
          <w:tcPr>
            <w:tcW w:w="1440" w:type="dxa"/>
            <w:vAlign w:val="bottom"/>
            <w:tcBorders>
              <w:top w:val="single" w:sz="8" w:color="0000FF"/>
            </w:tcBorders>
            <w:gridSpan w:val="11"/>
          </w:tcPr>
          <w:p>
            <w:pPr>
              <w:spacing w:after="0"/>
              <w:rPr>
                <w:sz w:val="17"/>
                <w:szCs w:val="17"/>
                <w:color w:val="auto"/>
              </w:rPr>
            </w:pPr>
          </w:p>
        </w:tc>
        <w:tc>
          <w:tcPr>
            <w:tcW w:w="6120" w:type="dxa"/>
            <w:vAlign w:val="bottom"/>
            <w:gridSpan w:val="12"/>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20</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16. Segment Information</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21</w:t>
            </w: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2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17. Loss per Common Share</w:t>
            </w:r>
          </w:p>
        </w:tc>
        <w:tc>
          <w:tcPr>
            <w:tcW w:w="6640" w:type="dxa"/>
            <w:vAlign w:val="bottom"/>
            <w:gridSpan w:val="16"/>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23</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3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2300" w:type="dxa"/>
            <w:vAlign w:val="bottom"/>
            <w:gridSpan w:val="2"/>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23</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Item 3. Qualitative and Quantitative Disclosures about Market Risk</w:t>
            </w:r>
          </w:p>
        </w:tc>
        <w:tc>
          <w:tcPr>
            <w:tcW w:w="4220" w:type="dxa"/>
            <w:vAlign w:val="bottom"/>
            <w:gridSpan w:val="6"/>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32</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32</w:t>
            </w: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12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872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33</w:t>
            </w:r>
          </w:p>
        </w:tc>
        <w:tc>
          <w:tcPr>
            <w:tcW w:w="80" w:type="dxa"/>
            <w:vAlign w:val="bottom"/>
          </w:tcPr>
          <w:p>
            <w:pPr>
              <w:spacing w:after="0"/>
              <w:rPr>
                <w:sz w:val="17"/>
                <w:szCs w:val="17"/>
                <w:color w:val="auto"/>
              </w:rPr>
            </w:pPr>
          </w:p>
        </w:tc>
      </w:tr>
      <w:tr>
        <w:trPr>
          <w:trHeight w:val="196"/>
        </w:trPr>
        <w:tc>
          <w:tcPr>
            <w:tcW w:w="120" w:type="dxa"/>
            <w:vAlign w:val="bottom"/>
            <w:tcBorders>
              <w:top w:val="single" w:sz="8" w:color="0000FF"/>
            </w:tcBorders>
          </w:tcPr>
          <w:p>
            <w:pPr>
              <w:spacing w:after="0"/>
              <w:rPr>
                <w:sz w:val="17"/>
                <w:szCs w:val="17"/>
                <w:color w:val="auto"/>
              </w:rPr>
            </w:pPr>
          </w:p>
        </w:tc>
        <w:tc>
          <w:tcPr>
            <w:tcW w:w="17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9"/>
              </w:rPr>
              <w:t>Item 1. Legal Proceedings</w:t>
            </w:r>
          </w:p>
        </w:tc>
        <w:tc>
          <w:tcPr>
            <w:tcW w:w="480" w:type="dxa"/>
            <w:vAlign w:val="bottom"/>
            <w:tcBorders>
              <w:top w:val="single" w:sz="8" w:color="0000FF"/>
            </w:tcBorders>
            <w:gridSpan w:val="5"/>
          </w:tcPr>
          <w:p>
            <w:pPr>
              <w:spacing w:after="0"/>
              <w:rPr>
                <w:sz w:val="17"/>
                <w:szCs w:val="17"/>
                <w:color w:val="auto"/>
              </w:rPr>
            </w:pPr>
          </w:p>
        </w:tc>
        <w:tc>
          <w:tcPr>
            <w:tcW w:w="6400" w:type="dxa"/>
            <w:vAlign w:val="bottom"/>
            <w:gridSpan w:val="13"/>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33</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33</w:t>
            </w:r>
          </w:p>
        </w:tc>
        <w:tc>
          <w:tcPr>
            <w:tcW w:w="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12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33</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4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Item 3. Defaults Upon Senior Securities</w:t>
            </w:r>
          </w:p>
        </w:tc>
        <w:tc>
          <w:tcPr>
            <w:tcW w:w="4200" w:type="dxa"/>
            <w:vAlign w:val="bottom"/>
            <w:gridSpan w:val="5"/>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33</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6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6000" w:type="dxa"/>
            <w:vAlign w:val="bottom"/>
            <w:gridSpan w:val="11"/>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34</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9"/>
              </w:rPr>
              <w:t>Item 5. Other Information</w:t>
            </w:r>
          </w:p>
        </w:tc>
        <w:tc>
          <w:tcPr>
            <w:tcW w:w="400" w:type="dxa"/>
            <w:vAlign w:val="bottom"/>
            <w:tcBorders>
              <w:top w:val="single" w:sz="8" w:color="0000FF"/>
            </w:tcBorders>
            <w:gridSpan w:val="4"/>
          </w:tcPr>
          <w:p>
            <w:pPr>
              <w:spacing w:after="0"/>
              <w:rPr>
                <w:sz w:val="17"/>
                <w:szCs w:val="17"/>
                <w:color w:val="auto"/>
              </w:rPr>
            </w:pPr>
          </w:p>
        </w:tc>
        <w:tc>
          <w:tcPr>
            <w:tcW w:w="6520" w:type="dxa"/>
            <w:vAlign w:val="bottom"/>
            <w:gridSpan w:val="15"/>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34</w:t>
            </w:r>
          </w:p>
        </w:tc>
        <w:tc>
          <w:tcPr>
            <w:tcW w:w="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7"/>
              </w:rPr>
              <w:t>Item 6. Exhibits</w:t>
            </w:r>
          </w:p>
        </w:tc>
        <w:tc>
          <w:tcPr>
            <w:tcW w:w="7560" w:type="dxa"/>
            <w:vAlign w:val="bottom"/>
            <w:gridSpan w:val="23"/>
          </w:tcPr>
          <w:p>
            <w:pPr>
              <w:spacing w:after="0"/>
              <w:rPr>
                <w:sz w:val="17"/>
                <w:szCs w:val="17"/>
                <w:color w:val="auto"/>
              </w:rPr>
            </w:pPr>
          </w:p>
        </w:tc>
        <w:tc>
          <w:tcPr>
            <w:tcW w:w="2120" w:type="dxa"/>
            <w:vAlign w:val="bottom"/>
            <w:gridSpan w:val="2"/>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34</w:t>
            </w:r>
          </w:p>
        </w:tc>
        <w:tc>
          <w:tcPr>
            <w:tcW w:w="80" w:type="dxa"/>
            <w:vAlign w:val="bottom"/>
          </w:tcPr>
          <w:p>
            <w:pPr>
              <w:spacing w:after="0"/>
              <w:rPr>
                <w:sz w:val="17"/>
                <w:szCs w:val="17"/>
                <w:color w:val="auto"/>
              </w:rPr>
            </w:pPr>
          </w:p>
        </w:tc>
      </w:tr>
      <w:tr>
        <w:trPr>
          <w:trHeight w:val="196"/>
        </w:trPr>
        <w:tc>
          <w:tcPr>
            <w:tcW w:w="872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2240" w:type="dxa"/>
            <w:vAlign w:val="bottom"/>
            <w:gridSpan w:val="4"/>
          </w:tcPr>
          <w:p>
            <w:pPr>
              <w:jc w:val="center"/>
              <w:ind w:left="1979"/>
              <w:spacing w:after="0"/>
              <w:rPr>
                <w:sz w:val="20"/>
                <w:szCs w:val="20"/>
                <w:color w:val="auto"/>
              </w:rPr>
            </w:pPr>
            <w:r>
              <w:rPr>
                <w:rFonts w:ascii="Times New Roman" w:cs="Times New Roman" w:eastAsia="Times New Roman" w:hAnsi="Times New Roman"/>
                <w:sz w:val="16"/>
                <w:szCs w:val="16"/>
                <w:color w:val="0000FF"/>
              </w:rPr>
              <w:t>36</w:t>
            </w:r>
          </w:p>
        </w:tc>
        <w:tc>
          <w:tcPr>
            <w:tcW w:w="8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51"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Plan</w:t>
            </w:r>
          </w:p>
        </w:tc>
        <w:tc>
          <w:tcPr>
            <w:tcW w:w="100" w:type="dxa"/>
            <w:vAlign w:val="bottom"/>
            <w:tcBorders>
              <w:top w:val="single" w:sz="8" w:color="CCEEFF"/>
            </w:tcBorders>
            <w:shd w:val="clear" w:color="auto" w:fill="CCEEFF"/>
          </w:tcPr>
          <w:p>
            <w:pPr>
              <w:spacing w:after="0"/>
              <w:rPr>
                <w:sz w:val="19"/>
                <w:szCs w:val="19"/>
                <w:color w:val="auto"/>
              </w:rPr>
            </w:pPr>
          </w:p>
        </w:tc>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Equity Incentive Plan</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Stock Purchase Plan</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2021 Employee Stock Purchase Plan</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Share Repurchase Program</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2021 Share Repurchase Program</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APIC</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Certificate of Designation</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Designation of Senior Preferred Stock effective as of June 30, 2023</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B2B</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Business-to-business</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B2C</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Business-to-consumer</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Common Stock, par value $0.001</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and Guaranty Agreement with Truist Bank dated as of April 27, 2021 (as amended)</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EAETR</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Estimated annual effective tax rate</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FBO</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benefit of</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institution</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Finxera</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Finxera Holdings, Inc.</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ISO</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sales organization</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ISV</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software vendor</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NCI</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 in consolidated subsidiaries</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PHOT</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Hospitality Technology, LLC</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Plastiq</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Plastiq, Inc. and certain of its affiliates</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PRTH</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 million line issued under the Credit Agreement</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to medium-sized businesses</w:t>
            </w:r>
          </w:p>
        </w:tc>
        <w:tc>
          <w:tcPr>
            <w:tcW w:w="0" w:type="dxa"/>
            <w:vAlign w:val="bottom"/>
          </w:tcPr>
          <w:p>
            <w:pPr>
              <w:spacing w:after="0"/>
              <w:rPr>
                <w:sz w:val="1"/>
                <w:szCs w:val="1"/>
                <w:color w:val="auto"/>
              </w:rPr>
            </w:pPr>
          </w:p>
        </w:tc>
      </w:tr>
      <w:tr>
        <w:trPr>
          <w:trHeight w:val="184"/>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81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$620.0 million senior secured term loan facility issued under the Credit Agreement (including $320.0 million</w:t>
            </w:r>
          </w:p>
        </w:tc>
        <w:tc>
          <w:tcPr>
            <w:tcW w:w="0" w:type="dxa"/>
            <w:vAlign w:val="bottom"/>
          </w:tcPr>
          <w:p>
            <w:pPr>
              <w:spacing w:after="0"/>
              <w:rPr>
                <w:sz w:val="1"/>
                <w:szCs w:val="1"/>
                <w:color w:val="auto"/>
              </w:rPr>
            </w:pPr>
          </w:p>
        </w:tc>
      </w:tr>
      <w:tr>
        <w:trPr>
          <w:trHeight w:val="140"/>
        </w:trPr>
        <w:tc>
          <w:tcPr>
            <w:tcW w:w="3100" w:type="dxa"/>
            <w:vAlign w:val="bottom"/>
            <w:gridSpan w:val="2"/>
            <w:vMerge w:val="continue"/>
          </w:tcPr>
          <w:p>
            <w:pPr>
              <w:spacing w:after="0"/>
              <w:rPr>
                <w:sz w:val="12"/>
                <w:szCs w:val="12"/>
                <w:color w:val="auto"/>
              </w:rPr>
            </w:pPr>
          </w:p>
        </w:tc>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delayed draw facility)</w:t>
            </w: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74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0" w:type="dxa"/>
            <w:vAlign w:val="bottom"/>
          </w:tcPr>
          <w:p>
            <w:pPr>
              <w:spacing w:after="0"/>
              <w:rPr>
                <w:sz w:val="1"/>
                <w:szCs w:val="1"/>
                <w:color w:val="auto"/>
              </w:rPr>
            </w:pPr>
          </w:p>
        </w:tc>
      </w:tr>
      <w:tr>
        <w:trPr>
          <w:trHeight w:val="230"/>
        </w:trPr>
        <w:tc>
          <w:tcPr>
            <w:tcW w:w="7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0" w:type="dxa"/>
            <w:vAlign w:val="bottom"/>
          </w:tcPr>
          <w:p>
            <w:pPr>
              <w:spacing w:after="0"/>
              <w:rPr>
                <w:sz w:val="1"/>
                <w:szCs w:val="1"/>
                <w:color w:val="auto"/>
              </w:rPr>
            </w:pPr>
          </w:p>
        </w:tc>
      </w:tr>
      <w:tr>
        <w:trPr>
          <w:trHeight w:val="229"/>
        </w:trPr>
        <w:tc>
          <w:tcPr>
            <w:tcW w:w="7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$5,536 and $5,289, respectively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58,551</w:t>
            </w:r>
          </w:p>
        </w:tc>
        <w:tc>
          <w:tcPr>
            <w:tcW w:w="0" w:type="dxa"/>
            <w:vAlign w:val="bottom"/>
          </w:tcPr>
          <w:p>
            <w:pPr>
              <w:spacing w:after="0"/>
              <w:rPr>
                <w:sz w:val="1"/>
                <w:szCs w:val="1"/>
                <w:color w:val="auto"/>
              </w:rPr>
            </w:pPr>
          </w:p>
        </w:tc>
      </w:tr>
      <w:tr>
        <w:trPr>
          <w:trHeight w:val="229"/>
        </w:trPr>
        <w:tc>
          <w:tcPr>
            <w:tcW w:w="7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0" w:type="dxa"/>
            <w:vAlign w:val="bottom"/>
          </w:tcPr>
          <w:p>
            <w:pPr>
              <w:spacing w:after="0"/>
              <w:rPr>
                <w:sz w:val="1"/>
                <w:szCs w:val="1"/>
                <w:color w:val="auto"/>
              </w:rPr>
            </w:pPr>
          </w:p>
        </w:tc>
      </w:tr>
      <w:tr>
        <w:trPr>
          <w:trHeight w:val="230"/>
        </w:trPr>
        <w:tc>
          <w:tcPr>
            <w:tcW w:w="7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notes receivable, net of allowance of $0 and $0, respectively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Settlement assets and customer/subscriber account balances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752,590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756,475</w:t>
            </w:r>
          </w:p>
        </w:tc>
        <w:tc>
          <w:tcPr>
            <w:tcW w:w="0" w:type="dxa"/>
            <w:vAlign w:val="bottom"/>
          </w:tcPr>
          <w:p>
            <w:pPr>
              <w:spacing w:after="0"/>
              <w:rPr>
                <w:sz w:val="1"/>
                <w:szCs w:val="1"/>
                <w:color w:val="auto"/>
              </w:rPr>
            </w:pPr>
          </w:p>
        </w:tc>
      </w:tr>
      <w:tr>
        <w:trPr>
          <w:trHeight w:val="223"/>
        </w:trPr>
        <w:tc>
          <w:tcPr>
            <w:tcW w:w="74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881,294</w:t>
            </w:r>
          </w:p>
        </w:tc>
        <w:tc>
          <w:tcPr>
            <w:tcW w:w="0" w:type="dxa"/>
            <w:vAlign w:val="bottom"/>
          </w:tcPr>
          <w:p>
            <w:pPr>
              <w:spacing w:after="0"/>
              <w:rPr>
                <w:sz w:val="1"/>
                <w:szCs w:val="1"/>
                <w:color w:val="auto"/>
              </w:rPr>
            </w:pPr>
          </w:p>
        </w:tc>
      </w:tr>
      <w:tr>
        <w:trPr>
          <w:trHeight w:val="229"/>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30"/>
        </w:trPr>
        <w:tc>
          <w:tcPr>
            <w:tcW w:w="7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44,680</w:t>
            </w:r>
          </w:p>
        </w:tc>
        <w:tc>
          <w:tcPr>
            <w:tcW w:w="0" w:type="dxa"/>
            <w:vAlign w:val="bottom"/>
          </w:tcPr>
          <w:p>
            <w:pPr>
              <w:spacing w:after="0"/>
              <w:rPr>
                <w:sz w:val="1"/>
                <w:szCs w:val="1"/>
                <w:color w:val="auto"/>
              </w:rPr>
            </w:pPr>
          </w:p>
        </w:tc>
      </w:tr>
      <w:tr>
        <w:trPr>
          <w:trHeight w:val="229"/>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376,103</w:t>
            </w:r>
          </w:p>
        </w:tc>
        <w:tc>
          <w:tcPr>
            <w:tcW w:w="0" w:type="dxa"/>
            <w:vAlign w:val="bottom"/>
          </w:tcPr>
          <w:p>
            <w:pPr>
              <w:spacing w:after="0"/>
              <w:rPr>
                <w:sz w:val="1"/>
                <w:szCs w:val="1"/>
                <w:color w:val="auto"/>
              </w:rPr>
            </w:pPr>
          </w:p>
        </w:tc>
      </w:tr>
      <w:tr>
        <w:trPr>
          <w:trHeight w:val="229"/>
        </w:trPr>
        <w:tc>
          <w:tcPr>
            <w:tcW w:w="7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273,350</w:t>
            </w:r>
          </w:p>
        </w:tc>
        <w:tc>
          <w:tcPr>
            <w:tcW w:w="0" w:type="dxa"/>
            <w:vAlign w:val="bottom"/>
          </w:tcPr>
          <w:p>
            <w:pPr>
              <w:spacing w:after="0"/>
              <w:rPr>
                <w:sz w:val="1"/>
                <w:szCs w:val="1"/>
                <w:color w:val="auto"/>
              </w:rPr>
            </w:pPr>
          </w:p>
        </w:tc>
      </w:tr>
      <w:tr>
        <w:trPr>
          <w:trHeight w:val="23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22,533</w:t>
            </w:r>
          </w:p>
        </w:tc>
        <w:tc>
          <w:tcPr>
            <w:tcW w:w="0" w:type="dxa"/>
            <w:vAlign w:val="bottom"/>
          </w:tcPr>
          <w:p>
            <w:pPr>
              <w:spacing w:after="0"/>
              <w:rPr>
                <w:sz w:val="1"/>
                <w:szCs w:val="1"/>
                <w:color w:val="auto"/>
              </w:rPr>
            </w:pPr>
          </w:p>
        </w:tc>
      </w:tr>
      <w:tr>
        <w:trPr>
          <w:trHeight w:val="229"/>
        </w:trPr>
        <w:tc>
          <w:tcPr>
            <w:tcW w:w="7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0" w:type="dxa"/>
            <w:vAlign w:val="bottom"/>
          </w:tcPr>
          <w:p>
            <w:pPr>
              <w:spacing w:after="0"/>
              <w:rPr>
                <w:sz w:val="1"/>
                <w:szCs w:val="1"/>
                <w:color w:val="auto"/>
              </w:rPr>
            </w:pPr>
          </w:p>
        </w:tc>
      </w:tr>
      <w:tr>
        <w:trPr>
          <w:trHeight w:val="223"/>
        </w:trPr>
        <w:tc>
          <w:tcPr>
            <w:tcW w:w="746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1,609,957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1,615,337</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Senior Preferred Stock, Redeemable NCI, and Stockholders' Deficit</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52,643</w:t>
            </w:r>
          </w:p>
        </w:tc>
        <w:tc>
          <w:tcPr>
            <w:tcW w:w="0" w:type="dxa"/>
            <w:vAlign w:val="bottom"/>
          </w:tcPr>
          <w:p>
            <w:pPr>
              <w:spacing w:after="0"/>
              <w:rPr>
                <w:sz w:val="1"/>
                <w:szCs w:val="1"/>
                <w:color w:val="auto"/>
              </w:rPr>
            </w:pPr>
          </w:p>
        </w:tc>
      </w:tr>
      <w:tr>
        <w:trPr>
          <w:trHeight w:val="230"/>
        </w:trPr>
        <w:tc>
          <w:tcPr>
            <w:tcW w:w="7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33,025</w:t>
            </w:r>
          </w:p>
        </w:tc>
        <w:tc>
          <w:tcPr>
            <w:tcW w:w="0" w:type="dxa"/>
            <w:vAlign w:val="bottom"/>
          </w:tcPr>
          <w:p>
            <w:pPr>
              <w:spacing w:after="0"/>
              <w:rPr>
                <w:sz w:val="1"/>
                <w:szCs w:val="1"/>
                <w:color w:val="auto"/>
              </w:rPr>
            </w:pPr>
          </w:p>
        </w:tc>
      </w:tr>
      <w:tr>
        <w:trPr>
          <w:trHeight w:val="230"/>
        </w:trPr>
        <w:tc>
          <w:tcPr>
            <w:tcW w:w="7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230"/>
        </w:trPr>
        <w:tc>
          <w:tcPr>
            <w:tcW w:w="7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0" w:type="dxa"/>
            <w:vAlign w:val="bottom"/>
          </w:tcPr>
          <w:p>
            <w:pPr>
              <w:spacing w:after="0"/>
              <w:rPr>
                <w:sz w:val="1"/>
                <w:szCs w:val="1"/>
                <w:color w:val="auto"/>
              </w:rPr>
            </w:pPr>
          </w:p>
        </w:tc>
      </w:tr>
      <w:tr>
        <w:trPr>
          <w:trHeight w:val="229"/>
        </w:trPr>
        <w:tc>
          <w:tcPr>
            <w:tcW w:w="7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and customer/subscriber account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755,754</w:t>
            </w:r>
          </w:p>
        </w:tc>
        <w:tc>
          <w:tcPr>
            <w:tcW w:w="0" w:type="dxa"/>
            <w:vAlign w:val="bottom"/>
          </w:tcPr>
          <w:p>
            <w:pPr>
              <w:spacing w:after="0"/>
              <w:rPr>
                <w:sz w:val="1"/>
                <w:szCs w:val="1"/>
                <w:color w:val="auto"/>
              </w:rPr>
            </w:pPr>
          </w:p>
        </w:tc>
      </w:tr>
      <w:tr>
        <w:trPr>
          <w:trHeight w:val="223"/>
        </w:trPr>
        <w:tc>
          <w:tcPr>
            <w:tcW w:w="74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852,068</w:t>
            </w:r>
          </w:p>
        </w:tc>
        <w:tc>
          <w:tcPr>
            <w:tcW w:w="0" w:type="dxa"/>
            <w:vAlign w:val="bottom"/>
          </w:tcPr>
          <w:p>
            <w:pPr>
              <w:spacing w:after="0"/>
              <w:rPr>
                <w:sz w:val="1"/>
                <w:szCs w:val="1"/>
                <w:color w:val="auto"/>
              </w:rPr>
            </w:pPr>
          </w:p>
        </w:tc>
      </w:tr>
      <w:tr>
        <w:trPr>
          <w:trHeight w:val="229"/>
        </w:trPr>
        <w:tc>
          <w:tcPr>
            <w:tcW w:w="7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 discounts and debt issuance costs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631,965</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0" w:type="dxa"/>
            <w:vAlign w:val="bottom"/>
          </w:tcPr>
          <w:p>
            <w:pPr>
              <w:spacing w:after="0"/>
              <w:rPr>
                <w:sz w:val="1"/>
                <w:szCs w:val="1"/>
                <w:color w:val="auto"/>
              </w:rPr>
            </w:pPr>
          </w:p>
        </w:tc>
      </w:tr>
      <w:tr>
        <w:trPr>
          <w:trHeight w:val="223"/>
        </w:trPr>
        <w:tc>
          <w:tcPr>
            <w:tcW w:w="74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1,498,002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1,502,796</w:t>
            </w:r>
          </w:p>
        </w:tc>
        <w:tc>
          <w:tcPr>
            <w:tcW w:w="0" w:type="dxa"/>
            <w:vAlign w:val="bottom"/>
          </w:tcPr>
          <w:p>
            <w:pPr>
              <w:spacing w:after="0"/>
              <w:rPr>
                <w:sz w:val="1"/>
                <w:szCs w:val="1"/>
                <w:color w:val="auto"/>
              </w:rPr>
            </w:pPr>
          </w:p>
        </w:tc>
      </w:tr>
      <w:tr>
        <w:trPr>
          <w:trHeight w:val="169"/>
        </w:trPr>
        <w:tc>
          <w:tcPr>
            <w:tcW w:w="74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Commitments and contingencies (</w:t>
            </w:r>
            <w:r>
              <w:rPr>
                <w:rFonts w:ascii="Times New Roman" w:cs="Times New Roman" w:eastAsia="Times New Roman" w:hAnsi="Times New Roman"/>
                <w:sz w:val="18"/>
                <w:szCs w:val="18"/>
                <w:color w:val="0000FF"/>
              </w:rPr>
              <w:t>Note 14</w:t>
            </w: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senior preferred stock, net of discounts and issuance costs: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senior preferred stock, $0.001 par value; 250,000 shares authorized; 225,000 issued and</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outstanding at March 31, 2024 and December 31, 2023</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258,605</w:t>
            </w:r>
          </w:p>
        </w:tc>
        <w:tc>
          <w:tcPr>
            <w:tcW w:w="0" w:type="dxa"/>
            <w:vAlign w:val="bottom"/>
          </w:tcPr>
          <w:p>
            <w:pPr>
              <w:spacing w:after="0"/>
              <w:rPr>
                <w:sz w:val="1"/>
                <w:szCs w:val="1"/>
                <w:color w:val="auto"/>
              </w:rPr>
            </w:pPr>
          </w:p>
        </w:tc>
      </w:tr>
      <w:tr>
        <w:trPr>
          <w:trHeight w:val="230"/>
        </w:trPr>
        <w:tc>
          <w:tcPr>
            <w:tcW w:w="7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 in consolidated subsidiary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6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100,000,000 shares authorized; 0 issued or outstanding at March 31, 2024</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December 31, 2023</w:t>
            </w: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46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1,000,000,000 shares authorized; 80,018,209 and 79,589,055</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6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shares issued at March 31, 2024 and December 31, 2023, respectively; and 75,834,517 and</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76,956,889 shares outstanding at March 31, 2024 and December 31, 2023, respectively</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76"/>
        </w:trPr>
        <w:tc>
          <w:tcPr>
            <w:tcW w:w="746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4,183,692 and 2,632,166 shares at March 31, 2024 and December 31, 2023,</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0" w:type="dxa"/>
            <w:vAlign w:val="bottom"/>
          </w:tcPr>
          <w:p>
            <w:pPr>
              <w:spacing w:after="0"/>
              <w:rPr>
                <w:sz w:val="1"/>
                <w:szCs w:val="1"/>
                <w:color w:val="auto"/>
              </w:rPr>
            </w:pPr>
          </w:p>
        </w:tc>
      </w:tr>
      <w:tr>
        <w:trPr>
          <w:trHeight w:val="230"/>
        </w:trPr>
        <w:tc>
          <w:tcPr>
            <w:tcW w:w="7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(141,412)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(134,951)</w:t>
            </w:r>
          </w:p>
        </w:tc>
        <w:tc>
          <w:tcPr>
            <w:tcW w:w="0" w:type="dxa"/>
            <w:vAlign w:val="bottom"/>
          </w:tcPr>
          <w:p>
            <w:pPr>
              <w:spacing w:after="0"/>
              <w:rPr>
                <w:sz w:val="1"/>
                <w:szCs w:val="1"/>
                <w:color w:val="auto"/>
              </w:rPr>
            </w:pPr>
          </w:p>
        </w:tc>
      </w:tr>
      <w:tr>
        <w:trPr>
          <w:trHeight w:val="223"/>
        </w:trPr>
        <w:tc>
          <w:tcPr>
            <w:tcW w:w="74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deficit attributable to stockholders of PRTH</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(147,718)</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Non-controlling interests in consolidated subsidiaries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23"/>
        </w:trPr>
        <w:tc>
          <w:tcPr>
            <w:tcW w:w="74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(146,064)</w:t>
            </w:r>
          </w:p>
        </w:tc>
        <w:tc>
          <w:tcPr>
            <w:tcW w:w="0" w:type="dxa"/>
            <w:vAlign w:val="bottom"/>
          </w:tcPr>
          <w:p>
            <w:pPr>
              <w:spacing w:after="0"/>
              <w:rPr>
                <w:sz w:val="1"/>
                <w:szCs w:val="1"/>
                <w:color w:val="auto"/>
              </w:rPr>
            </w:pPr>
          </w:p>
        </w:tc>
      </w:tr>
      <w:tr>
        <w:trPr>
          <w:trHeight w:val="156"/>
        </w:trPr>
        <w:tc>
          <w:tcPr>
            <w:tcW w:w="7460" w:type="dxa"/>
            <w:vAlign w:val="bottom"/>
            <w:gridSpan w:val="3"/>
          </w:tcPr>
          <w:p>
            <w:pPr>
              <w:ind w:left="460"/>
              <w:spacing w:after="0" w:line="156" w:lineRule="exact"/>
              <w:rPr>
                <w:sz w:val="20"/>
                <w:szCs w:val="20"/>
                <w:color w:val="auto"/>
              </w:rPr>
            </w:pPr>
            <w:r>
              <w:rPr>
                <w:rFonts w:ascii="Times New Roman" w:cs="Times New Roman" w:eastAsia="Times New Roman" w:hAnsi="Times New Roman"/>
                <w:sz w:val="18"/>
                <w:szCs w:val="18"/>
                <w:b w:val="1"/>
                <w:bCs w:val="1"/>
                <w:color w:val="auto"/>
              </w:rPr>
              <w:t>Total liabilities, redeemable senior preferred stock, redeemable NCI and stockholders'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1,609,957</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1,615,337</w:t>
            </w:r>
          </w:p>
        </w:tc>
        <w:tc>
          <w:tcPr>
            <w:tcW w:w="0" w:type="dxa"/>
            <w:vAlign w:val="bottom"/>
          </w:tcPr>
          <w:p>
            <w:pPr>
              <w:spacing w:after="0"/>
              <w:rPr>
                <w:sz w:val="1"/>
                <w:szCs w:val="1"/>
                <w:color w:val="auto"/>
              </w:rPr>
            </w:pPr>
          </w:p>
        </w:tc>
      </w:tr>
      <w:tr>
        <w:trPr>
          <w:trHeight w:val="221"/>
        </w:trPr>
        <w:tc>
          <w:tcPr>
            <w:tcW w:w="74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3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736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7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185,028</w:t>
            </w: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 (excludes depreciation and amortization)</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121,966</w:t>
            </w: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19,048</w:t>
            </w: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r>
      <w:tr>
        <w:trPr>
          <w:trHeight w:val="230"/>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w:t>
            </w:r>
          </w:p>
        </w:tc>
      </w:tr>
      <w:tr>
        <w:trPr>
          <w:trHeight w:val="22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168,180</w:t>
            </w: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16,848</w:t>
            </w: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w:t>
            </w:r>
          </w:p>
        </w:tc>
      </w:tr>
      <w:tr>
        <w:trPr>
          <w:trHeight w:val="230"/>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(17,487)</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Dividends and accretion attributable to redeemable senior preferred stockholders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r>
      <w:tr>
        <w:trPr>
          <w:trHeight w:val="230"/>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Return on redeemable NCI in consolidated subsidiary</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57"/>
        </w:trPr>
        <w:tc>
          <w:tcPr>
            <w:tcW w:w="7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78,133</w:t>
            </w:r>
          </w:p>
        </w:tc>
      </w:tr>
    </w:tbl>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Stockholders' Deficit and Non-Controlling Interest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gridSpan w:val="2"/>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00" w:type="dxa"/>
            <w:vAlign w:val="bottom"/>
          </w:tcPr>
          <w:p>
            <w:pPr>
              <w:spacing w:after="0"/>
              <w:rPr>
                <w:sz w:val="5"/>
                <w:szCs w:val="5"/>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2"/>
                <w:szCs w:val="12"/>
                <w:color w:val="auto"/>
              </w:rPr>
            </w:pPr>
          </w:p>
        </w:tc>
        <w:tc>
          <w:tcPr>
            <w:tcW w:w="76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APIC</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AOCI</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NCIs</w:t>
            </w: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76,957</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(146,064)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Equity-classified 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20" w:type="dxa"/>
            <w:vAlign w:val="bottom"/>
          </w:tcPr>
          <w:p>
            <w:pPr>
              <w:spacing w:after="0"/>
              <w:rPr>
                <w:sz w:val="18"/>
                <w:szCs w:val="18"/>
                <w:color w:val="auto"/>
              </w:rPr>
            </w:pPr>
          </w:p>
        </w:tc>
        <w:tc>
          <w:tcPr>
            <w:tcW w:w="5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20" w:type="dxa"/>
            <w:vAlign w:val="bottom"/>
            <w:gridSpan w:val="2"/>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ESPP compensation and vesting of stock-based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4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6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gridSpan w:val="2"/>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Exchange for PHOT redeemable NCI</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Dividends on redeemable senior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(11,821)</w:t>
            </w:r>
          </w:p>
        </w:tc>
        <w:tc>
          <w:tcPr>
            <w:tcW w:w="120" w:type="dxa"/>
            <w:vAlign w:val="bottom"/>
          </w:tcPr>
          <w:p>
            <w:pPr>
              <w:spacing w:after="0"/>
              <w:rPr>
                <w:sz w:val="18"/>
                <w:szCs w:val="18"/>
                <w:color w:val="auto"/>
              </w:rPr>
            </w:pPr>
          </w:p>
        </w:tc>
        <w:tc>
          <w:tcPr>
            <w:tcW w:w="5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Accretion of redeemable senior preferred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profit interests/common equity in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5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subsidiaries</w:t>
            </w: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Reclassification of negative additional paid in capital</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11,654</w:t>
            </w:r>
          </w:p>
        </w:tc>
        <w:tc>
          <w:tcPr>
            <w:tcW w:w="120" w:type="dxa"/>
            <w:vAlign w:val="bottom"/>
          </w:tcPr>
          <w:p>
            <w:pPr>
              <w:spacing w:after="0"/>
              <w:rPr>
                <w:sz w:val="18"/>
                <w:szCs w:val="18"/>
                <w:color w:val="auto"/>
              </w:rPr>
            </w:pPr>
          </w:p>
        </w:tc>
        <w:tc>
          <w:tcPr>
            <w:tcW w:w="5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75,835</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76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4,183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$(18,491)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(42)</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(141,412)</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(159,869)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(158,122)</w:t>
            </w: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gridSpan w:val="2"/>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00" w:type="dxa"/>
            <w:vAlign w:val="bottom"/>
          </w:tcPr>
          <w:p>
            <w:pPr>
              <w:spacing w:after="0"/>
              <w:rPr>
                <w:sz w:val="5"/>
                <w:szCs w:val="5"/>
                <w:color w:val="auto"/>
              </w:rPr>
            </w:pPr>
          </w:p>
        </w:tc>
        <w:tc>
          <w:tcPr>
            <w:tcW w:w="130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2"/>
                <w:szCs w:val="12"/>
                <w:color w:val="auto"/>
              </w:rPr>
            </w:pPr>
          </w:p>
        </w:tc>
        <w:tc>
          <w:tcPr>
            <w:tcW w:w="76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APIC</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AOCI</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NCIs</w:t>
            </w: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76,044</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76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(102,208)</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(102,786)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Equity-classified 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20" w:type="dxa"/>
            <w:vAlign w:val="bottom"/>
          </w:tcPr>
          <w:p>
            <w:pPr>
              <w:spacing w:after="0"/>
              <w:rPr>
                <w:sz w:val="18"/>
                <w:szCs w:val="18"/>
                <w:color w:val="auto"/>
              </w:rPr>
            </w:pPr>
          </w:p>
        </w:tc>
        <w:tc>
          <w:tcPr>
            <w:tcW w:w="5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ESPP compensation and vesting of stock-based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4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8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6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shd w:val="clear" w:color="auto" w:fill="CCEEFF"/>
          </w:tcPr>
          <w:p>
            <w:pPr>
              <w:spacing w:after="0"/>
              <w:rPr>
                <w:sz w:val="7"/>
                <w:szCs w:val="7"/>
                <w:color w:val="auto"/>
              </w:rPr>
            </w:pPr>
          </w:p>
        </w:tc>
        <w:tc>
          <w:tcPr>
            <w:tcW w:w="3820" w:type="dxa"/>
            <w:vAlign w:val="bottom"/>
            <w:gridSpan w:val="2"/>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on redeemable senior preferred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Accretion of redeemable senior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Pr>
          <w:p>
            <w:pPr>
              <w:spacing w:after="0"/>
              <w:rPr>
                <w:sz w:val="18"/>
                <w:szCs w:val="18"/>
                <w:color w:val="auto"/>
              </w:rPr>
            </w:pPr>
          </w:p>
        </w:tc>
        <w:tc>
          <w:tcPr>
            <w:tcW w:w="5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to NCI</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24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76,404</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76</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2,498</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$(12,336)</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24</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(102,714)</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(114,622)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852</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(113,770)</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Stockholders' Deficit 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11"/>
        </w:trPr>
        <w:tc>
          <w:tcPr>
            <w:tcW w:w="78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3"/>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3"/>
        </w:trPr>
        <w:tc>
          <w:tcPr>
            <w:tcW w:w="7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of assets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18,048</w:t>
            </w:r>
          </w:p>
        </w:tc>
      </w:tr>
      <w:tr>
        <w:trPr>
          <w:trHeight w:val="21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ESPP and incentive units compensation</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w:t>
            </w:r>
          </w:p>
        </w:tc>
      </w:tr>
      <w:tr>
        <w:trPr>
          <w:trHeight w:val="213"/>
        </w:trPr>
        <w:tc>
          <w:tcPr>
            <w:tcW w:w="7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 and discounts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1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w:t>
            </w:r>
          </w:p>
        </w:tc>
      </w:tr>
      <w:tr>
        <w:trPr>
          <w:trHeight w:val="213"/>
        </w:trPr>
        <w:tc>
          <w:tcPr>
            <w:tcW w:w="7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non-cash items, net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7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1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taxes (receivable) payable</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w:t>
            </w:r>
          </w:p>
        </w:tc>
      </w:tr>
      <w:tr>
        <w:trPr>
          <w:trHeight w:val="213"/>
        </w:trPr>
        <w:tc>
          <w:tcPr>
            <w:tcW w:w="7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Notes receivable</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r>
      <w:tr>
        <w:trPr>
          <w:trHeight w:val="213"/>
        </w:trPr>
        <w:tc>
          <w:tcPr>
            <w:tcW w:w="7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deposits and advance payments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6"/>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13,307</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27,677</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to property, equipment and software</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Notes receivable, net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 of assets and other investing activities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8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(7,669)</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(7,583)</w:t>
            </w:r>
          </w:p>
        </w:tc>
      </w:tr>
      <w:tr>
        <w:trPr>
          <w:trHeight w:val="19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8"/>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r>
      <w:tr>
        <w:trPr>
          <w:trHeight w:val="213"/>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borrowings under revolving credit facility</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Repurchases of Common Stock and shares withheld for taxes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16"/>
        </w:trPr>
        <w:tc>
          <w:tcPr>
            <w:tcW w:w="780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Dividends paid to redeemable senior preferred stockholders</w:t>
            </w:r>
            <w:r>
              <w:rPr>
                <w:rFonts w:ascii="Times New Roman" w:cs="Times New Roman" w:eastAsia="Times New Roman" w:hAnsi="Times New Roman"/>
                <w:sz w:val="21"/>
                <w:szCs w:val="21"/>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(7,027)</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(11,435)</w:t>
            </w:r>
          </w:p>
        </w:tc>
      </w:tr>
      <w:tr>
        <w:trPr>
          <w:trHeight w:val="216"/>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Settlement and customer/subscriber accounts obligations, net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79,258</w:t>
            </w:r>
          </w:p>
        </w:tc>
      </w:tr>
      <w:tr>
        <w:trPr>
          <w:trHeight w:val="210"/>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contingent consideration related to business combination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8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(10,279)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57,537</w:t>
            </w:r>
          </w:p>
        </w:tc>
      </w:tr>
      <w:tr>
        <w:trPr>
          <w:trHeight w:val="19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 and restricted cash:</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8"/>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77,631</w:t>
            </w:r>
          </w:p>
        </w:tc>
      </w:tr>
      <w:tr>
        <w:trPr>
          <w:trHeight w:val="213"/>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796,223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560,610</w:t>
            </w: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791,582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638,241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Stockholders' Deficit 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Borders>
              <w:bottom w:val="single" w:sz="8" w:color="auto"/>
            </w:tcBorders>
            <w:gridSpan w:val="5"/>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68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15,882</w:t>
            </w:r>
          </w:p>
        </w:tc>
      </w:tr>
      <w:tr>
        <w:trPr>
          <w:trHeight w:val="219"/>
        </w:trPr>
        <w:tc>
          <w:tcPr>
            <w:tcW w:w="7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11,012</w:t>
            </w:r>
          </w:p>
        </w:tc>
      </w:tr>
      <w:tr>
        <w:trPr>
          <w:trHeight w:val="175"/>
        </w:trPr>
        <w:tc>
          <w:tcPr>
            <w:tcW w:w="7800" w:type="dxa"/>
            <w:vAlign w:val="bottom"/>
            <w:gridSpan w:val="3"/>
          </w:tcPr>
          <w:p>
            <w:pPr>
              <w:ind w:left="120"/>
              <w:spacing w:after="0" w:line="175" w:lineRule="exact"/>
              <w:rPr>
                <w:sz w:val="20"/>
                <w:szCs w:val="20"/>
                <w:color w:val="auto"/>
              </w:rPr>
            </w:pPr>
            <w:r>
              <w:rPr>
                <w:rFonts w:ascii="Times New Roman" w:cs="Times New Roman" w:eastAsia="Times New Roman" w:hAnsi="Times New Roman"/>
                <w:sz w:val="16"/>
                <w:szCs w:val="16"/>
                <w:color w:val="auto"/>
              </w:rPr>
              <w:t xml:space="preserve">Cash and cash equivalents included in settlement assets and customer/subscriber account balances (see </w:t>
            </w:r>
            <w:r>
              <w:rPr>
                <w:rFonts w:ascii="Times New Roman" w:cs="Times New Roman" w:eastAsia="Times New Roman" w:hAnsi="Times New Roman"/>
                <w:sz w:val="16"/>
                <w:szCs w:val="16"/>
                <w:color w:val="0000FF"/>
              </w:rPr>
              <w:t>Note 4</w:t>
            </w: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744,634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611,347</w:t>
            </w:r>
          </w:p>
        </w:tc>
      </w:tr>
      <w:tr>
        <w:trPr>
          <w:trHeight w:val="21"/>
        </w:trPr>
        <w:tc>
          <w:tcPr>
            <w:tcW w:w="68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0000FF"/>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4"/>
        </w:trPr>
        <w:tc>
          <w:tcPr>
            <w:tcW w:w="78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cash and cash equivalents, and restricted cash</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791,582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638,241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16,330</w:t>
            </w:r>
          </w:p>
        </w:tc>
      </w:tr>
      <w:tr>
        <w:trPr>
          <w:trHeight w:val="219"/>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Forfeiture of liability-classified award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9"/>
        </w:trPr>
        <w:tc>
          <w:tcPr>
            <w:tcW w:w="7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intangible asset</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0"/>
        </w:trPr>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Issuance of NCI</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47"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dividend payable for the quarter ended March 31, 2024, was paid on April 1, 2024.</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Stockholders' Deficit 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 and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Consolidation and Presentation</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Priority Technology Holdings, Inc. is a holding company with no material operations of its own. Priority Technology Holdings, Inc. and its consolidated subsidiaries are referred to herein collectively as "Priority," "PRTH," the "Company," "we," "our" or "us," unless the context requires otherwise. Priority is a provider of merchant acquiring, integrated payment software, money transmission services and commercial payments solutions.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6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w:t>
      </w:r>
    </w:p>
    <w:p>
      <w:pPr>
        <w:spacing w:after="0" w:line="1" w:lineRule="exact"/>
        <w:rPr>
          <w:sz w:val="20"/>
          <w:szCs w:val="20"/>
          <w:color w:val="auto"/>
        </w:rPr>
      </w:pPr>
    </w:p>
    <w:p>
      <w:pPr>
        <w:ind w:right="980"/>
        <w:spacing w:after="0" w:line="260" w:lineRule="auto"/>
        <w:rPr>
          <w:sz w:val="20"/>
          <w:szCs w:val="20"/>
          <w:color w:val="auto"/>
        </w:rPr>
      </w:pPr>
      <w:r>
        <w:rPr>
          <w:rFonts w:ascii="Times New Roman" w:cs="Times New Roman" w:eastAsia="Times New Roman" w:hAnsi="Times New Roman"/>
          <w:sz w:val="18"/>
          <w:szCs w:val="18"/>
          <w:color w:val="auto"/>
        </w:rPr>
        <w:t>of December 31, 2023 was derived from the audited financial statements included in the Company's Annual Report on Form 10-K for the year ended December 31, 2023 but does not include all disclosures required by GAAP for annual financial statements.</w:t>
      </w:r>
    </w:p>
    <w:p>
      <w:pPr>
        <w:spacing w:after="0" w:line="1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March 31, 2024, there was no income or loss attributable to NCI in accordance with the applicable operating agreements.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Redeemable NCI represents non-controlling ownership of certain redeemable preferred units in one of the Company's consolidated subsidiaries. These preferred units carry a compounded coupon rate of 6% per annum. The return on the redeemable NCI for the three months ended March 31, 2024, since the reissuance of these redeemable preferred units, is $0.6 million. Refer to </w:t>
      </w:r>
      <w:r>
        <w:rPr>
          <w:rFonts w:ascii="Times New Roman" w:cs="Times New Roman" w:eastAsia="Times New Roman" w:hAnsi="Times New Roman"/>
          <w:sz w:val="18"/>
          <w:szCs w:val="18"/>
          <w:u w:val="single" w:color="auto"/>
          <w:color w:val="0000FF"/>
        </w:rPr>
        <w:t>Note 13. Related Party 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2023.</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results for the quarter ended March 31, 2024 include the results of the Plastiq business acquired through Chapter 11 bankruptcy process on July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of the Indian subsidiary of the Company is Indian Rupee (i.e. local currency of Republic of India). The functional currency of the Canadian subsidiary of the Company is the Canadian Dollar. Accordingly, assets and liabilities denominated in a foreign currency are translated into U.S. dollars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January 2024, the Company changed the grouping of certain business activity to conform to the way we internally manage and monitor the business. As a result, certain immaterial activity was reassigned from the SMB Payments segment to the Enterprise Payments segment effective January 1, 2024. Impact on prior year segment results were determined to be immaterial and have not been reclassified to reflect this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Pending Adoption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ASU 2023-07</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incremental reportable segment disclosures, primarily about significant segment expenses. The amendments also require entities with a single reportable segment to provide all disclosures required by these amendments, and all existing segment disclosures. This guidance is effective for fiscal years beginning after December 15, 2023, and interim periods after December 15, 2024. The Company will adopt this guidance for the year ended December 31, 2024. This guidance is expected to only impact the disclosures with no impact on the results of operations, financial position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2023-09</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xml:space="preserve"> to enhance the transparency and decision usefulness of income tax disclosures. The guidance includes improvements to income tax disclosures primarily related to the rate reconciliation and income taxes paid. This guidance is effective for annual periods beginning after December 15, 2024, with early adoption permitted. The Company is in the process of evaluating the potential effects this guidance will have on its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 Interest ASU 2024-01</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Profit Interest and Similar Awards</w:t>
      </w:r>
      <w:r>
        <w:rPr>
          <w:rFonts w:ascii="Times New Roman" w:cs="Times New Roman" w:eastAsia="Times New Roman" w:hAnsi="Times New Roman"/>
          <w:sz w:val="18"/>
          <w:szCs w:val="18"/>
          <w:color w:val="auto"/>
        </w:rPr>
        <w:t xml:space="preserve"> ("ASU 2024-01"), to improve GAAP by adding an illustrative example to demonstrate how an entity should apply the scope in paragraph 718-10-15-3 to determine whether profit interest and similar awards should be accounted for in accordance with Topic 718, Compensation- Stock Compensation. This guidance is effective for annual periods beginning after December 15, 2024, with early adoption permitted. The Company is in the process of evaluating the potential effects this guidance will have on its disclosures.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9760" w:firstLine="8"/>
        <w:spacing w:after="0" w:line="503" w:lineRule="auto"/>
        <w:tabs>
          <w:tab w:leader="none" w:pos="30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Plastiq Acquisition</w:t>
      </w: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23, 2023, PRTH’s subsidiary, Plastiq, Powered by Priority, LLC (the "acquiring entity"), entered into a stalking horse equity and asset purchase agreement (the "Purchase Agreement") with Plastiq, Inc. and certain of its affiliates ("Plastiq") to acquire substantially all of the assets of Plastiq, including the equity interest in Plastiq Canada, Inc. Plastiq is a buyer funded B2B payments platform offering bill pay and instant access to working capital to its customers and will complement the Company's existing supplier-funded B2B payments business. On May 24, 2023, Plastiq filed voluntary petitions for relief under Chapter 11 of Title 11 of the United States Code in the United States Bankruptcy Court for the District of Delaware.</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purchase was completed on July 31, 2023 for a total purchase consideration of approximately $37.0 million. The total purchase consideration included $28.5 million in cash and the remaining consideration is in the nature of deferred or contingent consideration and certain equity interest in the acquiring entity. The cash consideration for the purchase was funded by borrowings from the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using the acquisition method of accounting, under which the acquired assets and assumed liabilities were recognized at their fair values as of July 31, 2023, with the excess of the fair value of consideration transferred over the fair value of the net assets acquired recognized as goodwill. The fair values of the acquired assets and assumed liabilities as of July 31, 2023 were estimated by management using the discounted cash flow method and other factors specific to certain assets and liabilities. The preliminary purchase price allocation is set forth in the table below and expected to be finalized as soon as practicable but no later than one year from the closing date.</w:t>
      </w: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Contingent consideration payments </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Common equity of acquiring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Less: cash and restricted cash acquired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purchase consideration, net of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32" w:lineRule="auto"/>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p>
      <w:pPr>
        <w:ind w:left="20"/>
        <w:spacing w:after="0" w:line="218" w:lineRule="auto"/>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obligations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r>
      <w:tr>
        <w:trPr>
          <w:trHeight w:val="229"/>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30"/>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4"/>
        </w:trPr>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36,971</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37"/>
        </w:trPr>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9"/>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r>
      <w:tr>
        <w:trPr>
          <w:trHeight w:val="229"/>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r>
      <w:tr>
        <w:trPr>
          <w:trHeight w:val="230"/>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30,460</w:t>
            </w:r>
          </w:p>
        </w:tc>
      </w:tr>
      <w:tr>
        <w:trPr>
          <w:trHeight w:val="229"/>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30"/>
        </w:trPr>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4"/>
        </w:trPr>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36,971</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121" w:right="339" w:bottom="1440" w:gutter="0" w:footer="0" w:header="0"/>
          <w:type w:val="continuous"/>
        </w:sectPr>
      </w:pPr>
    </w:p>
    <w:p>
      <w:pPr>
        <w:spacing w:after="0" w:line="92" w:lineRule="exact"/>
        <w:rPr>
          <w:sz w:val="20"/>
          <w:szCs w:val="20"/>
          <w:color w:val="auto"/>
        </w:rPr>
      </w:pPr>
    </w:p>
    <w:p>
      <w:pPr>
        <w:ind w:left="660" w:right="20" w:hanging="328"/>
        <w:spacing w:after="0" w:line="23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 contingent consideration payments issued was determined utilizing a Monte Carlo simulation. The contingent consideration payments were calculated based on the path for the simulated metrics and the contractual terms of the contingent consideration payments and were discounted to present value at a rate reflecting the risk associated with the payoffs. The fair value was estimated to be the average present value of the contingent consideration payments over all iterations of the simulation.</w:t>
      </w:r>
    </w:p>
    <w:p>
      <w:pPr>
        <w:ind w:left="660" w:right="200" w:hanging="328"/>
        <w:spacing w:after="0" w:line="21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$13.0 million for customer relationships, $7.0 million for referral partner relationships, $6.5 million for technology and $3.9 million for trade name.</w:t>
      </w:r>
    </w:p>
    <w:p>
      <w:pPr>
        <w:spacing w:after="0" w:line="1" w:lineRule="exact"/>
        <w:rPr>
          <w:rFonts w:ascii="Times New Roman" w:cs="Times New Roman" w:eastAsia="Times New Roman" w:hAnsi="Times New Roman"/>
          <w:sz w:val="23"/>
          <w:szCs w:val="23"/>
          <w:color w:val="auto"/>
          <w:vertAlign w:val="superscript"/>
        </w:rPr>
      </w:pPr>
    </w:p>
    <w:p>
      <w:pPr>
        <w:ind w:left="660" w:right="160" w:hanging="328"/>
        <w:spacing w:after="0" w:line="21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first quarter of 2024, the Company recorded an immaterial measurement period adjustment due to a pre-acquisition tax accrual which resulted in an adjustment to goodwill and 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Revenues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7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 disaggregation of our consolidated revenues by type:</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3"/>
        </w:trPr>
        <w:tc>
          <w:tcPr>
            <w:tcW w:w="7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149,644</w:t>
            </w: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transmission services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w:t>
            </w: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23"/>
        </w:trPr>
        <w:tc>
          <w:tcPr>
            <w:tcW w:w="7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revenues</w:t>
            </w:r>
            <w:r>
              <w:rPr>
                <w:rFonts w:ascii="Times New Roman" w:cs="Times New Roman" w:eastAsia="Times New Roman" w:hAnsi="Times New Roman"/>
                <w:sz w:val="23"/>
                <w:szCs w:val="23"/>
                <w:color w:val="auto"/>
                <w:vertAlign w:val="superscript"/>
              </w:rPr>
              <w:t>(1),(2)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205,719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185,028</w:t>
            </w:r>
          </w:p>
        </w:tc>
      </w:tr>
      <w:tr>
        <w:trPr>
          <w:trHeight w:val="21"/>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300" w:hanging="328"/>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ind w:left="660" w:right="40" w:hanging="328"/>
        <w:spacing w:after="0" w:line="234"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Approximately $11.9 million and $5.0 million of interest income for the three months ended March 31, 2024 and 2023, respectively, is included in outsourced services and other services revenue in the table above. Approximately $0.6 million and $0.2 million of interest income for the three months ended March 31, 2024, and 2023, respectively, is included in other income, net on the Company's Unaudited Consolidated Statements of Operations and Comprehensive Loss and not reflected in the table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disaggregation of our consolidated revenues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gridSpan w:val="1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4"/>
                <w:szCs w:val="14"/>
                <w:color w:val="auto"/>
              </w:rPr>
            </w:pPr>
          </w:p>
        </w:tc>
        <w:tc>
          <w:tcPr>
            <w:tcW w:w="1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20" w:type="dxa"/>
            <w:vAlign w:val="bottom"/>
          </w:tcPr>
          <w:p>
            <w:pPr>
              <w:spacing w:after="0"/>
              <w:rPr>
                <w:sz w:val="14"/>
                <w:szCs w:val="14"/>
                <w:color w:val="auto"/>
              </w:rPr>
            </w:pPr>
          </w:p>
        </w:tc>
        <w:tc>
          <w:tcPr>
            <w:tcW w:w="17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Money Transmission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Outsourced and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6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SMB Payments</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139,488</w:t>
            </w:r>
          </w:p>
        </w:tc>
        <w:tc>
          <w:tcPr>
            <w:tcW w:w="8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143,751</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B2B Payments</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0" w:type="dxa"/>
            <w:vAlign w:val="bottom"/>
          </w:tcPr>
          <w:p>
            <w:pPr>
              <w:spacing w:after="0"/>
              <w:rPr>
                <w:sz w:val="1"/>
                <w:szCs w:val="1"/>
                <w:color w:val="auto"/>
              </w:rPr>
            </w:pPr>
          </w:p>
        </w:tc>
      </w:tr>
      <w:tr>
        <w:trPr>
          <w:trHeight w:val="229"/>
        </w:trPr>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 Payments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5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205,719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1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15"/>
                <w:szCs w:val="15"/>
                <w:color w:val="auto"/>
              </w:rPr>
            </w:pPr>
          </w:p>
        </w:tc>
        <w:tc>
          <w:tcPr>
            <w:tcW w:w="1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20" w:type="dxa"/>
            <w:vAlign w:val="bottom"/>
          </w:tcPr>
          <w:p>
            <w:pPr>
              <w:spacing w:after="0"/>
              <w:rPr>
                <w:sz w:val="15"/>
                <w:szCs w:val="15"/>
                <w:color w:val="auto"/>
              </w:rPr>
            </w:pPr>
          </w:p>
        </w:tc>
        <w:tc>
          <w:tcPr>
            <w:tcW w:w="1720" w:type="dxa"/>
            <w:vAlign w:val="bottom"/>
            <w:gridSpan w:val="3"/>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Money Transmission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3"/>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8"/>
              </w:rPr>
              <w:t>Outsourced and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6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SMB Payments</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148,688</w:t>
            </w:r>
          </w:p>
        </w:tc>
        <w:tc>
          <w:tcPr>
            <w:tcW w:w="80" w:type="dxa"/>
            <w:vAlign w:val="bottom"/>
          </w:tcPr>
          <w:p>
            <w:pPr>
              <w:spacing w:after="0"/>
              <w:rPr>
                <w:sz w:val="19"/>
                <w:szCs w:val="19"/>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154,933</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B2B Payments</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 Payments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185,028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revenues were not material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Contract liabilities were $0.6 million and $0.6 million as of March 31, 2024 and December 31, 2023, respectively. Substantially all of these balances are recognized as revenue within 12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contract assets were not material for any period presented.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Impairment losses recognized on receivables or contract assets arising from the Company's contracts with customers were not material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Settlement Assets and Customer/Subscriber Account Balances and Related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SMB Payments Segment</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are not liabilities of the Company. Therefore, neither is recognized in the Company's Unaudited Consolidated Balance Sheets. Member banks held merchant funds of $109.2 million and $98.0 million at March 31, 2024 and December 31, 2023, respectively.</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Exception items that become the liability of the Company are recorded as merchant losses, a component of cost of revenue in the Company's Unaudited Consolidated Statements of Operations and Comprehensive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for the three months ended March 31, 2024 and 2023 were $4.7 million and $1.0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B2B Payments Segment</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the Company's B2B Payments segment, the Company earns revenues by processing transactions for FIs and other business customers. Customers transfer funds to the Company, which are held in either company-owned bank accounts controlled by the Company or bank-owned FBO accounts controlled by the banks, until such time that the transactions are settled with the customer payees. Amounts due to customer payees that are held by the Company in company-owned bank accounts are included in restricted cash. Amounts due to customer payees that are held in bank-owned FBO accounts are not assets of the Company, and the associated obligations are not liabilities of the Company. Therefore, neither is recognized in the Company's Unaudited Consolidated Balance Sheets. Bank-owned FBO accounts held funds of $79.1 million and $69.0 million at March 31, 2024 and December 31, 2023, respectively. Company-owned bank accounts held $1.6 million and $1.2 million at March 31, 2024 and December 31, 2023, respectively, which are included in restricted cash and settlement and customer/subscriber account obligations in the Company's Unaudited Consolidated Balance Sheets.</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Exception items that the Company is still attempting to collect from the customers through the funds settlement process are recognized as settlement assets and customer/subscriber account balances in the Company's Unaudited Consolidated Balance Sheets, with an offsetting reserve for those amounts the Company estimates it will not be able to recover. Expenses for these merchant losses for the three months ended March 31, 2024 were $0.2 million. There were no expenses for these merchant losses in 2023.</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Plastiq business, the Company accepts card payments from its customers and processes disbursements to their vendors. The time lag between authorization and settlement of card transactions creates certain receivables (from card networks)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payables (to the vendors of customers). These receivables and payables arise from the settlement activities that the Company performs on the behalf of its customers and therefore, are presented as Settlement assets and related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Payments Segment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Company's Enterprise Payments segment revenue is derived primarily from enrollment fees, monthly subscription fees and transaction-based fees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customer/subscriber account balances and the related obligations as settlement and customer/subscriber account obligations in the Company's Unaudited Consolidated Balance Sheets.</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certain states, the Company accepts deposits under agency arrangement with member banks wherein accepted deposits remain under the control of the member banks. Therefore, the Company does not record assets for the deposits accepted and liabilities for the associated obligation. Agency owned accounts held $46.2 million and $19.6 million at March 31, 2024 and December 31, 2023, respectively.</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consolidated settlement assets and customer/subscriber account balances and settlement and customer/subscriber account obligations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Settlement Assets, net of estimated losses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Card settlements due from merchants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Card settlements due from networks</w:t>
            </w:r>
          </w:p>
        </w:tc>
        <w:tc>
          <w:tcPr>
            <w:tcW w:w="3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settlement assets</w:t>
            </w:r>
          </w:p>
        </w:tc>
        <w:tc>
          <w:tcPr>
            <w:tcW w:w="3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Customer/subscriber account balances</w:t>
            </w:r>
          </w:p>
        </w:tc>
        <w:tc>
          <w:tcPr>
            <w:tcW w:w="3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744,696</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assets and customer/subscriber account balances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756,475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and Customer/Subscriber Account Obligations:</w:t>
            </w:r>
          </w:p>
        </w:tc>
        <w:tc>
          <w:tcPr>
            <w:tcW w:w="3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 obligations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703,212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710,775</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Subscriber account obligations</w:t>
            </w:r>
          </w:p>
        </w:tc>
        <w:tc>
          <w:tcPr>
            <w:tcW w:w="3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33,921</w:t>
            </w: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customer/subscriber account obligations</w:t>
            </w:r>
          </w:p>
        </w:tc>
        <w:tc>
          <w:tcPr>
            <w:tcW w:w="3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744,696</w:t>
            </w:r>
          </w:p>
        </w:tc>
      </w:tr>
      <w:tr>
        <w:trPr>
          <w:trHeight w:val="230"/>
        </w:trPr>
        <w:tc>
          <w:tcPr>
            <w:tcW w:w="6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Due to customers' payees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and customer/subscriber account obligations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753,850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755,754</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640" w:hanging="308"/>
        <w:spacing w:after="0"/>
        <w:tabs>
          <w:tab w:leader="none" w:pos="640" w:val="left"/>
        </w:tabs>
        <w:numPr>
          <w:ilvl w:val="1"/>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Allowance for estimated losses was $9.2 million and $6.6 million as of March 31, 2024 and December 31, 2023, respectively</w:t>
      </w:r>
    </w:p>
    <w:p>
      <w:pPr>
        <w:spacing w:after="0" w:line="1" w:lineRule="exact"/>
        <w:rPr>
          <w:rFonts w:ascii="Times New Roman" w:cs="Times New Roman" w:eastAsia="Times New Roman" w:hAnsi="Times New Roman"/>
          <w:sz w:val="23"/>
          <w:szCs w:val="23"/>
          <w:color w:val="auto"/>
          <w:vertAlign w:val="superscript"/>
        </w:rPr>
      </w:pPr>
    </w:p>
    <w:p>
      <w:pPr>
        <w:ind w:left="660" w:right="320" w:hanging="328"/>
        <w:spacing w:after="0" w:line="219" w:lineRule="auto"/>
        <w:tabs>
          <w:tab w:leader="none" w:pos="648" w:val="left"/>
        </w:tabs>
        <w:numPr>
          <w:ilvl w:val="1"/>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Card settlements due from networks includes $6.3 million and $8.2 million as of March 31, 2024 and December 31, 2023, respectively, related assets and remainder are included in restricted cash on our Unaudited Consolidated Balance Sheets.</w:t>
      </w:r>
    </w:p>
    <w:p>
      <w:pPr>
        <w:spacing w:after="0" w:line="200" w:lineRule="exact"/>
        <w:rPr>
          <w:rFonts w:ascii="Times New Roman" w:cs="Times New Roman" w:eastAsia="Times New Roman" w:hAnsi="Times New Roman"/>
          <w:sz w:val="23"/>
          <w:szCs w:val="23"/>
          <w:color w:val="auto"/>
          <w:vertAlign w:val="superscript"/>
        </w:rPr>
      </w:pPr>
    </w:p>
    <w:p>
      <w:pPr>
        <w:spacing w:after="0" w:line="344"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had notes receivable of $6.5 million and $5.2 million as of March 31, 2024 and December 31, 2023, respectively, which are reported as current portion of notes receivable and notes receivable less current portion on the Company's Unaudited Consolidated Balance Sheets. The notes receivable carried weighted-average interest rates of 18.5% and 18.6% as of March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2024 and December 31, 2023. The notes receivable are comprised of notes receivable from ISOs, and under the terms of the agreements the Company preserves the right to hold back residual payments due to the ISOs and to apply such residuals against future payments due to the Company. As of March 31, 2024 and December 31, 2023, the Company had no allowance for doubtful notes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principal payments for the Company's notes receivable are due as follows:</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ending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2028</w:t>
            </w: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6,521</w:t>
            </w:r>
          </w:p>
        </w:tc>
      </w:tr>
      <w:tr>
        <w:trPr>
          <w:trHeight w:val="21"/>
        </w:trPr>
        <w:tc>
          <w:tcPr>
            <w:tcW w:w="9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Equipment and Software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property, equipment and software, net was as follows: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7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78,492</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91,846</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(56,442)</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work in-progress</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44,680</w:t>
            </w: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r>
      <w:tr>
        <w:trPr>
          <w:trHeight w:val="547"/>
        </w:trPr>
        <w:tc>
          <w:tcPr>
            <w:tcW w:w="7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software represents purchased software and internally developed software that is used to provide the Company's services to its customers.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Fully depreciated assets are retained in property, equipment and software, net, until removed from service. During the quarter ended March 31, 2024, certain fully depreciated assets were removed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goodwill relates to the following reporting units: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Payments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124,139</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Payments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244,712</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Plastiq (B2B Payments)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23"/>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376,112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376,103</w:t>
            </w:r>
          </w:p>
        </w:tc>
        <w:tc>
          <w:tcPr>
            <w:tcW w:w="0" w:type="dxa"/>
            <w:vAlign w:val="bottom"/>
          </w:tcPr>
          <w:p>
            <w:pPr>
              <w:spacing w:after="0"/>
              <w:rPr>
                <w:sz w:val="1"/>
                <w:szCs w:val="1"/>
                <w:color w:val="auto"/>
              </w:rPr>
            </w:pPr>
          </w:p>
        </w:tc>
      </w:tr>
      <w:tr>
        <w:trPr>
          <w:trHeight w:val="21"/>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value of goodwill:</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376,103</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Plastiq adjustment</w:t>
            </w:r>
          </w:p>
        </w:tc>
        <w:tc>
          <w:tcPr>
            <w:tcW w:w="26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376,112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is not aware of any triggering events for impairment that have occurred since the last annual impairment test.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consisted of the following:</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00" w:type="dxa"/>
            <w:vAlign w:val="bottom"/>
          </w:tcPr>
          <w:p>
            <w:pPr>
              <w:spacing w:after="0"/>
              <w:rPr>
                <w:sz w:val="15"/>
                <w:szCs w:val="15"/>
                <w:color w:val="auto"/>
              </w:rPr>
            </w:pPr>
          </w:p>
        </w:tc>
        <w:tc>
          <w:tcPr>
            <w:tcW w:w="164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5"/>
                <w:szCs w:val="15"/>
                <w:color w:val="auto"/>
              </w:rPr>
            </w:pPr>
          </w:p>
        </w:tc>
        <w:tc>
          <w:tcPr>
            <w:tcW w:w="16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Net Carrying Value</w:t>
            </w:r>
          </w:p>
        </w:tc>
        <w:tc>
          <w:tcPr>
            <w:tcW w:w="100" w:type="dxa"/>
            <w:vAlign w:val="bottom"/>
          </w:tcPr>
          <w:p>
            <w:pPr>
              <w:spacing w:after="0"/>
              <w:rPr>
                <w:sz w:val="15"/>
                <w:szCs w:val="15"/>
                <w:color w:val="auto"/>
              </w:rPr>
            </w:pPr>
          </w:p>
        </w:tc>
        <w:tc>
          <w:tcPr>
            <w:tcW w:w="15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38"/>
        </w:trPr>
        <w:tc>
          <w:tcPr>
            <w:tcW w:w="4180" w:type="dxa"/>
            <w:vAlign w:val="bottom"/>
            <w:vMerge w:val="continue"/>
          </w:tcPr>
          <w:p>
            <w:pPr>
              <w:spacing w:after="0"/>
              <w:rPr>
                <w:sz w:val="20"/>
                <w:szCs w:val="20"/>
                <w:color w:val="auto"/>
              </w:rPr>
            </w:pPr>
          </w:p>
        </w:tc>
        <w:tc>
          <w:tcPr>
            <w:tcW w:w="184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142,515</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14.6</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6.3</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8.4</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23,785</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6.5</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580,103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(318,445)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261,658</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120" w:type="dxa"/>
            <w:vAlign w:val="bottom"/>
          </w:tcPr>
          <w:p>
            <w:pPr>
              <w:spacing w:after="0"/>
              <w:rPr>
                <w:sz w:val="14"/>
                <w:szCs w:val="14"/>
                <w:color w:val="auto"/>
              </w:rPr>
            </w:pPr>
          </w:p>
        </w:tc>
        <w:tc>
          <w:tcPr>
            <w:tcW w:w="17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4"/>
                <w:szCs w:val="14"/>
                <w:color w:val="auto"/>
              </w:rPr>
            </w:pPr>
          </w:p>
        </w:tc>
        <w:tc>
          <w:tcPr>
            <w:tcW w:w="16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4180" w:type="dxa"/>
            <w:vAlign w:val="bottom"/>
            <w:vMerge w:val="continue"/>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145,833</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14.7</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42,465</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6.3</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8.4</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27,211</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6.5</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34,927</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9.0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11.7</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580,103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(306,753)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273,350</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Amortization expense</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w:t>
            </w:r>
          </w:p>
        </w:tc>
      </w:tr>
    </w:tbl>
    <w:p>
      <w:pPr>
        <w:spacing w:after="0" w:line="279" w:lineRule="exact"/>
        <w:rPr>
          <w:sz w:val="20"/>
          <w:szCs w:val="20"/>
          <w:color w:val="auto"/>
        </w:rPr>
      </w:pPr>
    </w:p>
    <w:p>
      <w:pPr>
        <w:ind w:left="660" w:right="460" w:hanging="328"/>
        <w:spacing w:after="0" w:line="229"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amortization expense is $0.4 million and $0.1 million as of March 31, 2024 and 2023, respectively, related to the amortization of certain contract acquisition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there were no impairment indicators present.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 Obligations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debt obligations consisted of the following:</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7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64"/>
        </w:trPr>
        <w:tc>
          <w:tcPr>
            <w:tcW w:w="72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Term facility - matures April 27, 2027, interest rates of 11.19% and 11.21% at March 31, 2024 and</w:t>
            </w:r>
          </w:p>
        </w:tc>
        <w:tc>
          <w:tcPr>
            <w:tcW w:w="26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r>
      <w:tr>
        <w:trPr>
          <w:trHeight w:val="23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652,695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654,373</w:t>
            </w:r>
          </w:p>
        </w:tc>
      </w:tr>
      <w:tr>
        <w:trPr>
          <w:trHeight w:val="184"/>
        </w:trPr>
        <w:tc>
          <w:tcPr>
            <w:tcW w:w="7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Revolving credit facility - $65.0 million line as of March 31, 2024 and December 31, 2023,</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matures April 27, 2026, interest rate of 10.20% at March 31, 2024 and December 31, 2023</w:t>
            </w:r>
          </w:p>
        </w:tc>
        <w:tc>
          <w:tcPr>
            <w:tcW w:w="26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26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652,695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654,373</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discounts and deferred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w:t>
            </w:r>
          </w:p>
        </w:tc>
      </w:tr>
      <w:tr>
        <w:trPr>
          <w:trHeight w:val="223"/>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631,352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631,965</w:t>
            </w:r>
          </w:p>
        </w:tc>
      </w:tr>
      <w:tr>
        <w:trPr>
          <w:trHeight w:val="21"/>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Loan Costs and Discounts</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for outstanding debt, including fees for undrawn amounts and amortization of deferred financing costs and debt discounts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36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r>
      <w:tr>
        <w:trPr>
          <w:trHeight w:val="22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r>
      <w:tr>
        <w:trPr>
          <w:trHeight w:val="223"/>
        </w:trPr>
        <w:tc>
          <w:tcPr>
            <w:tcW w:w="72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(1),(2)</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r>
    </w:tbl>
    <w:p>
      <w:pPr>
        <w:spacing w:after="0" w:line="292" w:lineRule="exact"/>
        <w:rPr>
          <w:sz w:val="20"/>
          <w:szCs w:val="20"/>
          <w:color w:val="auto"/>
        </w:rPr>
      </w:pPr>
    </w:p>
    <w:p>
      <w:pPr>
        <w:ind w:left="660" w:right="340" w:hanging="328"/>
        <w:spacing w:after="0" w:line="229"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interest expense is $1.0 million and $0.1 million related to the accretion of contingent consideration from acquisitions for the three months ended March 31, 2024, and 2023, respectively.</w:t>
      </w:r>
    </w:p>
    <w:p>
      <w:pPr>
        <w:spacing w:after="0" w:line="198" w:lineRule="exact"/>
        <w:rPr>
          <w:rFonts w:ascii="Times New Roman" w:cs="Times New Roman" w:eastAsia="Times New Roman" w:hAnsi="Times New Roman"/>
          <w:sz w:val="23"/>
          <w:szCs w:val="23"/>
          <w:color w:val="auto"/>
          <w:vertAlign w:val="superscript"/>
        </w:rPr>
      </w:pPr>
    </w:p>
    <w:p>
      <w:pPr>
        <w:ind w:left="660" w:right="140" w:hanging="328"/>
        <w:spacing w:after="0" w:line="229"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expense included amortization of deferred financing costs and debt discounts of $1.1 million and $0.9 million for the three months ended March 31, 2024, and 2023,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Credit Agreement exceeds 35% of the total revolving credit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March 31, 2024, the Company was in compliance with the covenants in the Credit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Redeemable Senior Preferred Stock and Warrants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redeemable senior preferred stock ranks senior to the Company's Common Stock, equal with any other class of the Company's stock designated as being ranked on a parity basis with the redeemable senior preferred stock and junior to any other class of the Company's stock, including preferred stock, that is designated as being ranked senior to the redeemable senior preferred stock, with respect to the payment and distribution of dividends, the purchase or redemption of the Company's stock and the liquidation, winding up of and distribution of assets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redemption value of the redeemable senior preferred stock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senior preferred stock</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unpaid dividend</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43,498</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payable</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r>
      <w:tr>
        <w:trPr>
          <w:trHeight w:val="223"/>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Redemption value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275,525</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discounts and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senior preferred stock, net of discounts and issuance costs: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264,240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258,605</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carrying amounts of the redeemable senior preferred stock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258,605</w:t>
            </w: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dividend on redeemable senior preferred stock</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discounts and issuance costs</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portion of dividend outstanding at March 31, 2024</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cash portion of dividend outstanding at December 31, 2023</w:t>
            </w:r>
          </w:p>
        </w:tc>
        <w:tc>
          <w:tcPr>
            <w:tcW w:w="1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264,240</w:t>
            </w:r>
          </w:p>
        </w:tc>
      </w:tr>
      <w:tr>
        <w:trPr>
          <w:trHeight w:val="21"/>
        </w:trPr>
        <w:tc>
          <w:tcPr>
            <w:tcW w:w="7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rate as of March 31, 2024 and December 31, 2023, was 17.6% and 17.7%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dividends for the period presented:</w:t>
            </w: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Dividends paid in cash</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dividends accrued as part of the carrying value of redeemable senior preferred stock</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Dividends declared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b w:val="1"/>
          <w:bCs w:val="1"/>
          <w:i w:val="1"/>
          <w:iCs w:val="1"/>
          <w:color w:val="212529"/>
          <w:vertAlign w:val="superscript"/>
        </w:rPr>
        <w:t>(1)</w:t>
      </w:r>
      <w:r>
        <w:rPr>
          <w:sz w:val="20"/>
          <w:szCs w:val="20"/>
          <w:color w:val="auto"/>
        </w:rPr>
        <w:tab/>
      </w:r>
      <w:r>
        <w:rPr>
          <w:rFonts w:ascii="Times New Roman" w:cs="Times New Roman" w:eastAsia="Times New Roman" w:hAnsi="Times New Roman"/>
          <w:sz w:val="18"/>
          <w:szCs w:val="18"/>
          <w:color w:val="212529"/>
        </w:rPr>
        <w:t xml:space="preserve">Dividend payable for the three months ended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12529"/>
        </w:rPr>
        <w:t xml:space="preserve"> was paid on April 1, 2024.</w:t>
      </w:r>
    </w:p>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Amended Certificate of Designation, the dividend rate (capped at 22.50%) is equal to the three-month term SOFR (minimum of 1.00%), plus the three-month term SOFR spread adjustment of 0.26% plus the applicable margin of 12.00%. The dividend rate is subject to future increases if the Company doesn't comply with the minimum cash payment requirements outlined in the agreement, which includes required payments of dividends, required payments related to redemption or required prepayments. The dividend rate may also increase if the Company fails to obtain the required stockholder approval for a forced sale transaction triggered by investors or if an event of default as outlined in the agreement occurs.</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2021, the Company issued warrants to purchase up to 1,803,841 shares of the Common Stock, at an exercise price of $0.001. As of March 31, 2024, none of the warrants have been exercised.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consolidated effective income tax rate for the three months ended March 31, 2024, was 33.2% compared to a consolidated effective income tax rate of 20.8% for the three months ended March 31, 2023. The effective rates differed from the statutory rate of 21.0% primarily due to an increase in the valuation allowance against certain business interest carryover deferred tax assets, and certain forecasted nondeductible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 for Deferred Income Tax Assets</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is required to provide a valuation allowance against deferred income tax assets when it is "more likely than not" that some portion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Based on management's assessment, as of March 31, 2024,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 w:hanging="432"/>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100,000,000 shares of preferred stock with such designations, voting and other rights and preferences as may be determined from time to time by the Board of Directors. As of March 31, 2024 and December 31, 2023, the Company has not issued any shares of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2022, PRTH's Board of Directors authorized a general share repurchase program under which the Company may purchase up to 2.0 million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There have been no shares repurchased under this plan since December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was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8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 compensation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Incentive units compensation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ESPP compensation expense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Income tax benefit for stock-based compensation was immaterial for the three months ended March 31, 2024 and 2023. No stock-based compensation has been capitalized.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Plan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Stock Purchase Plan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2021 Stock Purchase Plan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2021 Stock Purchase Plan provides eligible employees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opportunity to purchase shares of the Company's Common Stock on a quarterly basis through payroll deductions at a price equal to 95% of the lesser of the fair value on the first and last trading day of each offering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Non-voting Incentive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issued non-voting incentive units to certain employees and partners in six subsidiaries. These non-voting incentive units were determined to be equity and are accounted for under ASC 718 Stock Compensation. The non-voting incentive units are either fully vested when granted, or vest according to the service period and/or performance measure noted in the grant agreement. As the non-voting incentive units are vested, they are recognized as NCI to the Company, who is the majority owner of the subsidiaries.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2019, PHOT, a subsidiary of the Company, received a contribution of substantially all of the operating assets of eTab and Cumulus under asset contribution agreements. PHOT is a part of the Company's SMB reportable segment. These contributed assets were primarily composed of technology-related assets. Prior to these transactions, eTab was 80.0% owned by the Company's Chairman and Chief Executive Officer ("CEO"). No cash consideration was paid to the contributors of the eTab or Cumulus assets on the date of the transactions. As consideration for these contributed assets, the contributors were issued redeemable non-controlling preferred equity interests ("redeemable NCIs") in PHOT. Under these redeemable NCIs, the contributors were eligible to receive up to $4.5 million of profits earned by PHOT, plus a preferred yield (6.0% per year) on any undistributed preferred equity interest ("Total Preferred Equity Interest"). Once the total preferred equity interest is distributed to the holders, the redeemable NCIs cease to exist. The Company's CEO initially owned 83.3% of the redeemable NCIs, which ownership interest was subsequently reduced to 35.3% through the CEO's disposition of interests to others.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debt refinancing.</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May 2021, the Company entered into exchange agreements and completed the exchange of 1,428,358 shares of common stock and $0.8 million of cash for the Total Preferred Equity Interests. The CEO received 605,623 shares of common stock of the Company in exchange for his 35.3% interest, and the Company's Chief Operating Officer (“COO”) received 413,081 shares of common stock of the Company in exchange for her 24.1% interest.</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31, 2023, a lawsuit was filed alleging that the Board breached its fiduciary duties by approving the above mentioned exchange transaction. The Company denied any wrongdoing. The lawsuit was settled on January 30, 2024, wherein the Company agreed to unwind the exchange transaction and received previously issued shares of common stock of the Company from the CEO, COO and others in exchange of the reissuance of PHOT redeemable preferred units. The returned shares of common stock of the Company are recorded as treasury stock at their closing market price as of the settlement date of January 30, 2024. The reissued PHOT redeemable preferred units are recorded as redeemable NCI at their estimated fair value as of the settlement date on the Company’s Unaudited Consolidated Balance Sheets. The redeemable preferred units were accreted to their redemption value as of March 31, 2024, through net loss available to common stockholders in the Company’s Unaudited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Annual Commitments with Third-party Processors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multi-year agreements with third parties to provide certain payment processing services to the Company. The Company pays processing fees under these agreements. Based on existing contracts in place, the Company is committed to pay minimum processing fees under these agreements of approximately $21.6 million in 2024 and $25.0 million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Commitment with Vendor</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Effective January 1, 2022, the Company entered into a three year business cooperation agreement with a vendor to resell its services. Under the agreement, the Company purchased vendor services worth $1.5 million for the year ended December 31, 2023, and is committed to purchase vendor services worth $2.3 million in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Commitments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committed to capital contributions to fund the operations of certain subsidiaries totaling $26.0 million as March 31, 2024 and December 31, 2023. The Company is obligated to make the contributions within 10 business days of receiving notice for such contribution from the subsidiary. As of March 31, 2024 and December 31, 2023, the Company has contributed $13.4 million and $11.8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4. Settlement Assets and Customer/Subscriber Account Balances and Related Obligations</w:t>
      </w:r>
      <w:r>
        <w:rPr>
          <w:rFonts w:ascii="Times New Roman" w:cs="Times New Roman" w:eastAsia="Times New Roman" w:hAnsi="Times New Roman"/>
          <w:sz w:val="18"/>
          <w:szCs w:val="18"/>
          <w:color w:val="auto"/>
        </w:rPr>
        <w:t>, for information about merchant reserves.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 of the Company's contingent consideration liabilities related to completed acquisitions: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0" w:type="dxa"/>
            <w:vAlign w:val="bottom"/>
          </w:tcPr>
          <w:p>
            <w:pPr>
              <w:spacing w:after="0"/>
              <w:rPr>
                <w:sz w:val="1"/>
                <w:szCs w:val="1"/>
                <w:color w:val="auto"/>
              </w:rPr>
            </w:pPr>
          </w:p>
        </w:tc>
      </w:tr>
      <w:tr>
        <w:trPr>
          <w:trHeight w:val="243"/>
        </w:trPr>
        <w:tc>
          <w:tcPr>
            <w:tcW w:w="886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29"/>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11,339</w:t>
            </w:r>
          </w:p>
        </w:tc>
        <w:tc>
          <w:tcPr>
            <w:tcW w:w="0" w:type="dxa"/>
            <w:vAlign w:val="bottom"/>
          </w:tcPr>
          <w:p>
            <w:pPr>
              <w:spacing w:after="0"/>
              <w:rPr>
                <w:sz w:val="1"/>
                <w:szCs w:val="1"/>
                <w:color w:val="auto"/>
              </w:rPr>
            </w:pPr>
          </w:p>
        </w:tc>
      </w:tr>
      <w:tr>
        <w:trPr>
          <w:trHeight w:val="21"/>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87"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7"/>
          <w:szCs w:val="17"/>
          <w:color w:val="auto"/>
        </w:rPr>
        <w:t>The Company is involved in a case that was filed on October 11, 2023 and is currently pending in the United States District Court for the Northern District of California (the “Complaint”). The Complaint is a putative class action against The Credit Wholesale Company, Inc. (“Wholesale”), Priority Technology</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Holdings, Inc., Priority Payment Systems (“PPS”), LLC and Wells Fargo Bank, N.A. (“Wells Fargo”). The Complaint alleges that Wholesale is an agent of Priority, PPS and Wells Fargo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it made non-consensual recordation of telephonic communications with California businesses in violation of California Invasion of Privacy Act</w:t>
      </w:r>
    </w:p>
    <w:p>
      <w:pPr>
        <w:spacing w:after="0" w:line="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(the “Act”).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Complaint seeks to certify a class of affected businesses and an award of $5,000 per violation of the Act. As of May 9, 2024, the financial impact, if any, of the outcome of this legal proceeding is neither probable nor estimable.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revenue is substantially derived from processing Visa and Mastercard bankcard transactions. Because the Company is not a member bank, in order to process these bankcard transactions, the Company maintains sponsorship agreements with member banks which require, among other things, that the Company abide by the by-laws and regulations of the card associations.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2024 , the Company's customer account balances of $703 million are maintained in FDIC insured eligible accounts with certain FIs (refer to </w:t>
      </w:r>
      <w:r>
        <w:rPr>
          <w:rFonts w:ascii="Times New Roman" w:cs="Times New Roman" w:eastAsia="Times New Roman" w:hAnsi="Times New Roman"/>
          <w:sz w:val="18"/>
          <w:szCs w:val="18"/>
          <w:u w:val="single" w:color="auto"/>
          <w:color w:val="0000FF"/>
        </w:rPr>
        <w:t>Note 4. Settlement Assets and Customer/Subscriber Account Balances and Related Obligations</w:t>
      </w:r>
      <w:r>
        <w:rPr>
          <w:rFonts w:ascii="Times New Roman" w:cs="Times New Roman" w:eastAsia="Times New Roman" w:hAnsi="Times New Roman"/>
          <w:sz w:val="18"/>
          <w:szCs w:val="18"/>
          <w:color w:val="auto"/>
        </w:rPr>
        <w:t>) A majority of the Company's cash and restricted cash is held in certain FIs, substantially all of which is in excess of FDIC limits. The Company does not believe it is exposed to any significant credit risk from these transactions.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Contingent consideration related to the Company's business combinations is estimated based on the present value of a weighted payout probability at the measurement date, which falls within Level 3 on the fair value hierarchy. The current portion of contingent consideration is included in accounts payable and accrued expenses on the Company's Unaudited Consolidated Balance Sheets and the noncurrent portion of contingent consideration is included in other noncurrent liabilities on the Company's Unaudited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measured at fair value on a recurring basis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Fair Value Hierarchy</w:t>
            </w: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noncurrent portion</w:t>
            </w:r>
          </w:p>
        </w:tc>
        <w:tc>
          <w:tcPr>
            <w:tcW w:w="22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7,487</w:t>
            </w:r>
          </w:p>
        </w:tc>
      </w:tr>
      <w:tr>
        <w:trPr>
          <w:trHeight w:val="248"/>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contingent consideration</w:t>
            </w: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there were no transfers into, out of, or between levels of the fair value hierarchy.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$6.5 million and $5.2 million at March 31, 2024 and December 31, 2023, respectively. On the fair value hierarchy, Level 3 inputs are used to estimate the fair value of these notes receivable.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Outstanding debt obligations (see </w:t>
      </w:r>
      <w:r>
        <w:rPr>
          <w:rFonts w:ascii="Times New Roman" w:cs="Times New Roman" w:eastAsia="Times New Roman" w:hAnsi="Times New Roman"/>
          <w:sz w:val="18"/>
          <w:szCs w:val="18"/>
          <w:u w:val="single" w:color="auto"/>
          <w:color w:val="0000FF"/>
        </w:rPr>
        <w:t>Note 8. Debt Obligations</w:t>
      </w:r>
      <w:r>
        <w:rPr>
          <w:rFonts w:ascii="Times New Roman" w:cs="Times New Roman" w:eastAsia="Times New Roman" w:hAnsi="Times New Roman"/>
          <w:sz w:val="18"/>
          <w:szCs w:val="18"/>
          <w:color w:val="auto"/>
        </w:rPr>
        <w:t>) are reflected in the Company's Unaudited Consolidated Balance Sheets at carrying value since the Company did not elect to remeasure debt obligations to fair value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term facility was estimated to be $651.9 million at March 31, 2024 and December 31, 2023 and was estimated using binding and non-binding quoted prices in an active secondary market, which considers the credit risk and market related conditions, and is within Level 2 of the fair value hierarchy.</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reportable segments:</w:t>
      </w:r>
    </w:p>
    <w:p>
      <w:pPr>
        <w:spacing w:after="0" w:line="223" w:lineRule="exact"/>
        <w:rPr>
          <w:sz w:val="20"/>
          <w:szCs w:val="20"/>
          <w:color w:val="auto"/>
        </w:rPr>
      </w:pPr>
    </w:p>
    <w:p>
      <w:pPr>
        <w:ind w:left="660" w:right="180" w:hanging="328"/>
        <w:spacing w:after="0" w:line="284"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SMB Payments – </w:t>
      </w:r>
      <w:r>
        <w:rPr>
          <w:rFonts w:ascii="Times New Roman" w:cs="Times New Roman" w:eastAsia="Times New Roman" w:hAnsi="Times New Roman"/>
          <w:sz w:val="18"/>
          <w:szCs w:val="18"/>
          <w:color w:val="auto"/>
        </w:rPr>
        <w:t>Provides full-service acquiring and payment-enabled solutions for B2C transactions, leveraging Priority's proprietary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distributed through ISO, direct sales and vertically focused ISV channels.</w:t>
      </w:r>
    </w:p>
    <w:p>
      <w:pPr>
        <w:spacing w:after="0" w:line="158" w:lineRule="exact"/>
        <w:rPr>
          <w:rFonts w:ascii="Times New Roman" w:cs="Times New Roman" w:eastAsia="Times New Roman" w:hAnsi="Times New Roman"/>
          <w:sz w:val="18"/>
          <w:szCs w:val="18"/>
          <w:i w:val="1"/>
          <w:iCs w:val="1"/>
          <w:color w:val="auto"/>
        </w:rPr>
      </w:pPr>
    </w:p>
    <w:p>
      <w:pPr>
        <w:ind w:left="660" w:right="40" w:hanging="328"/>
        <w:spacing w:after="0" w:line="284"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B2B Payments – </w:t>
      </w:r>
      <w:r>
        <w:rPr>
          <w:rFonts w:ascii="Times New Roman" w:cs="Times New Roman" w:eastAsia="Times New Roman" w:hAnsi="Times New Roman"/>
          <w:sz w:val="18"/>
          <w:szCs w:val="18"/>
          <w:color w:val="auto"/>
        </w:rPr>
        <w:t>provides market-leading AP automation solutions to corporations, software partners and industry leading FIs (including Citibank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Mastercard) in addition to working improving cash flow by providing instant access to working capital.</w:t>
      </w:r>
    </w:p>
    <w:p>
      <w:pPr>
        <w:spacing w:after="0" w:line="158" w:lineRule="exact"/>
        <w:rPr>
          <w:rFonts w:ascii="Times New Roman" w:cs="Times New Roman" w:eastAsia="Times New Roman" w:hAnsi="Times New Roman"/>
          <w:sz w:val="18"/>
          <w:szCs w:val="18"/>
          <w:i w:val="1"/>
          <w:iCs w:val="1"/>
          <w:color w:val="auto"/>
        </w:rPr>
      </w:pPr>
    </w:p>
    <w:p>
      <w:pPr>
        <w:ind w:left="660" w:right="240" w:hanging="328"/>
        <w:spacing w:after="0" w:line="28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Payments – </w:t>
      </w:r>
      <w:r>
        <w:rPr>
          <w:rFonts w:ascii="Times New Roman" w:cs="Times New Roman" w:eastAsia="Times New Roman" w:hAnsi="Times New Roman"/>
          <w:sz w:val="18"/>
          <w:szCs w:val="18"/>
          <w:color w:val="auto"/>
        </w:rPr>
        <w:t>Provides embedded finance and treasury solutions to enterprise customers to modernize legacy platforms and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partners' strategies to monetize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includes costs of corporate functions and shared services not allocated to our reportable segments.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the Company changed the grouping of certain business activity to conform to the way we internally manage and monitor the business. As a result, certain immaterial activity was reassigned from the SMB Payments segment to the Enterprise Payments segment effective January 1, 2024. Impact on prior year segment results were determined to be immaterial and have not been reclassified to reflect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Information on reportable segments and reconciliations to consolidated revenues, consolidated depreciation and amortization, and consolidated operating income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154,933</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r>
      <w:tr>
        <w:trPr>
          <w:trHeight w:val="229"/>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27,309</w:t>
            </w:r>
          </w:p>
        </w:tc>
      </w:tr>
      <w:tr>
        <w:trPr>
          <w:trHeight w:val="248"/>
        </w:trPr>
        <w:tc>
          <w:tcPr>
            <w:tcW w:w="8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185,028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18,048</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w:t>
            </w:r>
          </w:p>
        </w:tc>
      </w:tr>
      <w:tr>
        <w:trPr>
          <w:trHeight w:val="229"/>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w:t>
            </w:r>
          </w:p>
        </w:tc>
      </w:tr>
      <w:tr>
        <w:trPr>
          <w:trHeight w:val="248"/>
        </w:trPr>
        <w:tc>
          <w:tcPr>
            <w:tcW w:w="8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total operating income of reportable segments to the Company's net (loss) income is provided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 of reportable segments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23,825</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r>
      <w:tr>
        <w:trPr>
          <w:trHeight w:val="20"/>
        </w:trPr>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Loss per Common Share</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loss per common share:</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Dividends and accretion attributable to redeemable senior preferred stockholders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Return on redeemable NCI in consolidated subsidiary</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(11,801)</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Weighted-average common shares outstanding</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78,133</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right="740" w:hanging="328"/>
        <w:spacing w:after="0" w:line="204" w:lineRule="auto"/>
        <w:tabs>
          <w:tab w:leader="none" w:pos="656" w:val="left"/>
        </w:tabs>
        <w:numPr>
          <w:ilvl w:val="0"/>
          <w:numId w:val="15"/>
        </w:numPr>
        <w:rPr>
          <w:rFonts w:ascii="Arial" w:cs="Arial" w:eastAsia="Arial" w:hAnsi="Arial"/>
          <w:sz w:val="28"/>
          <w:szCs w:val="28"/>
          <w:color w:val="auto"/>
          <w:vertAlign w:val="superscript"/>
        </w:rPr>
      </w:pPr>
      <w:r>
        <w:rPr>
          <w:rFonts w:ascii="Times New Roman" w:cs="Times New Roman" w:eastAsia="Times New Roman" w:hAnsi="Times New Roman"/>
          <w:sz w:val="18"/>
          <w:szCs w:val="18"/>
          <w:color w:val="auto"/>
        </w:rPr>
        <w:t xml:space="preserve">The weighted-average common shares outstanding includes 1,803,841 warrants (refer to </w:t>
      </w:r>
      <w:r>
        <w:rPr>
          <w:rFonts w:ascii="Times New Roman" w:cs="Times New Roman" w:eastAsia="Times New Roman" w:hAnsi="Times New Roman"/>
          <w:sz w:val="18"/>
          <w:szCs w:val="18"/>
          <w:u w:val="single" w:color="auto"/>
          <w:color w:val="0000FF"/>
        </w:rPr>
        <w:t>Note 9. Redeemable Senior Preferred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Warrants</w:t>
      </w:r>
      <w:r>
        <w:rPr>
          <w:rFonts w:ascii="Times New Roman" w:cs="Times New Roman" w:eastAsia="Times New Roman" w:hAnsi="Times New Roman"/>
          <w:sz w:val="18"/>
          <w:szCs w:val="18"/>
          <w:color w:val="000000"/>
        </w:rPr>
        <w:t>).</w:t>
      </w:r>
    </w:p>
    <w:p>
      <w:pPr>
        <w:spacing w:after="0" w:line="19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For the three months ended March 31, 2024 and 2023, all potentially dilutive securities were anti-dilutive, so diluted net loss per share was equivalent to basic net loss per share. Potentially anti-dilutive securities that were excluded from the Company's loss per common share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p>
        </w:tc>
        <w:tc>
          <w:tcPr>
            <w:tcW w:w="2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Outstanding warrants on Common Stock</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options and warrants issued to adviser</w:t>
            </w:r>
            <w:r>
              <w:rPr>
                <w:rFonts w:ascii="Times New Roman" w:cs="Times New Roman" w:eastAsia="Times New Roman" w:hAnsi="Times New Roman"/>
                <w:sz w:val="23"/>
                <w:szCs w:val="23"/>
                <w:color w:val="auto"/>
                <w:vertAlign w:val="superscript"/>
              </w:rPr>
              <w:t>(2)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stock awards</w:t>
            </w:r>
            <w:r>
              <w:rPr>
                <w:rFonts w:ascii="Times New Roman" w:cs="Times New Roman" w:eastAsia="Times New Roman" w:hAnsi="Times New Roman"/>
                <w:sz w:val="23"/>
                <w:szCs w:val="23"/>
                <w:color w:val="auto"/>
                <w:vertAlign w:val="superscript"/>
              </w:rPr>
              <w:t>(3)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29"/>
        </w:trPr>
        <w:tc>
          <w:tcPr>
            <w:tcW w:w="8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stock option awards</w:t>
            </w:r>
            <w:r>
              <w:rPr>
                <w:rFonts w:ascii="Times New Roman" w:cs="Times New Roman" w:eastAsia="Times New Roman" w:hAnsi="Times New Roman"/>
                <w:sz w:val="23"/>
                <w:szCs w:val="23"/>
                <w:color w:val="auto"/>
                <w:vertAlign w:val="superscript"/>
              </w:rPr>
              <w:t>(3)</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warrants were issued in 2018 and were exercisable at $11.50 per share. These warrants expired on August 24, 2023.</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warrants were issued in 2018 and were exercisable at $12.00 per share. These warrants expired on August 24, 2023.</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Granted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2023. Certain amounts in this section may not add mathematically due to rounding.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92" w:lineRule="exact"/>
        <w:rPr>
          <w:sz w:val="20"/>
          <w:szCs w:val="20"/>
          <w:color w:val="auto"/>
        </w:rPr>
      </w:pPr>
    </w:p>
    <w:p>
      <w:pPr>
        <w:ind w:left="660" w:right="600" w:hanging="328"/>
        <w:spacing w:after="0" w:line="276" w:lineRule="auto"/>
        <w:tabs>
          <w:tab w:leader="none" w:pos="655" w:val="left"/>
        </w:tabs>
        <w:numPr>
          <w:ilvl w:val="0"/>
          <w:numId w:val="17"/>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dispositions or any risks associated with completed acquisitions or dispositions; and</w:t>
      </w:r>
    </w:p>
    <w:p>
      <w:pPr>
        <w:spacing w:after="0" w:line="9" w:lineRule="exact"/>
        <w:rPr>
          <w:rFonts w:ascii="Times New Roman" w:cs="Times New Roman" w:eastAsia="Times New Roman" w:hAnsi="Times New Roman"/>
          <w:sz w:val="18"/>
          <w:szCs w:val="18"/>
          <w:color w:val="auto"/>
        </w:rPr>
      </w:pPr>
    </w:p>
    <w:p>
      <w:pPr>
        <w:ind w:left="660" w:right="42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section of this Quarterly Report on Form 10-Q or our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8"/>
          <w:szCs w:val="18"/>
          <w:u w:val="single" w:color="auto"/>
          <w:color w:val="0000FF"/>
        </w:rPr>
        <w:t>Item 1A -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00"/>
        </w:rPr>
        <w:t>" section of this Quarterly Report on Form 10-Q or our Annual Report on Form 10-K, that may cause our actual results or performance to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Used in this Quarterly Report on Form 10-Q</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This section includes certain components of our results of operations for the three months ended March 31, 2024, compared to the three months ended March 31, 2023.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our consolidated revenue of $205.7 million increased by $20.7 million, or 11.2%, from $185.0 million for the three months ended March 31, 2023. The overall increase was driven by an increase in new enrollments and higher interest income in our Enterprise Payments segment and revenue from the Plastiq business in our B2B Payments segment that was acquired in the quarter ended September 30, 2023. These increases were partially offset by a decrease in revenues in our SMB Payments segment due to decreased volumes.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revenues by type: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7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157,947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149,644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8,303</w:t>
            </w:r>
          </w:p>
        </w:tc>
      </w:tr>
      <w:tr>
        <w:trPr>
          <w:trHeight w:val="23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transmission services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7,738</w:t>
            </w:r>
          </w:p>
        </w:tc>
      </w:tr>
      <w:tr>
        <w:trPr>
          <w:trHeight w:val="23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4,660</w:t>
            </w:r>
          </w:p>
        </w:tc>
      </w:tr>
      <w:tr>
        <w:trPr>
          <w:trHeight w:val="23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205,719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185,028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20,691</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 card fees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Merchant card fees revenue for the three months ended March 31, 2024 was $157.9 million an increase of $8.3 million or 5.5%, from $149.6 million for the three months ended March 31, 2023. The increase was primarily driven by the Plastiq business and rate increases. These increases were partially offset by a decrease in volume due to the diversification of our merchant portfolio by one of our referral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Money transmission services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Money transmission services for the three months ended March 31, 2024 was $29.1 million an increase of $7.7 million, or 36.1%, from $21.4 million for the three months ended March 31, 2023. This increase was primarily driven by an increase in customer enrollments.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Outsourced services and other services revenue</w:t>
      </w:r>
    </w:p>
    <w:p>
      <w:pPr>
        <w:spacing w:after="0" w:line="225"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Outsourced services and other services revenue of $15.7 million for the three months ended March 31, 2024 increased by $4.7 million, or 42.3%, from $11.0 million for the three months ended March 31, 2023, primarily due to growth in interest income due to higher interest rates and deposit balances.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Equipment revenue of $3.0 million for the three months ended March 31, 2024 remained consistent with $3.0 million for the three months ended March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were as follows: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7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 (excludes depreciation and amortization)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129,298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121,966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7,332</w:t>
            </w: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3,102</w:t>
            </w:r>
          </w:p>
        </w:tc>
      </w:tr>
      <w:tr>
        <w:trPr>
          <w:trHeight w:val="230"/>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(2,795)</w:t>
            </w: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9,118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1,876</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177,695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168,180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9,515</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services (excludes depreciation and amortization)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(excludes depreciation and amortization) of $129.3 million for the three months ended March 31, 2024, increased by $7.3 million, or 6.0%, from $122.0 million for the three months ended March 31, 2023, primarily due to the corresponding increase in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Salary and employee benefits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Salary and employee benefits expense of $22.2 million for the three months ended March 31, 2024 increased by $3.1 million, or 16.3%, from $19.0 million for the three months ended March 31, 2023, primarily due to merit increases, certain performance based non-recurring bonuses and increased headcount from the acquisition of the Plastiq business and to support the overall growth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 expense</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$15.3 million for the three months ended March 31, 2024 decreased by $2.8 million, or 15.5%, from $18.0 million for the three months ended March 31, 2023, primarily due to full amortization of certain intangible assets during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of $11.0 million for the three months ended March 31, 2024 increased by $1.9 million, or 20.6%, from $9.1 million for the three months ended March 31, 2023, primarily due to certain software and maintenance expenses and other expenses to support overall growth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7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(20,880)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(3,181)</w:t>
            </w:r>
          </w:p>
        </w:tc>
      </w:tr>
      <w:tr>
        <w:trPr>
          <w:trHeight w:val="22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(17,487)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(2,761)</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expense of $20.9 million for the three months ended March 31, 2024 increased by $3.2 million, or 18.0%, from $17.7 million for the three months ended March 31, 2023, due to increased interest rates and increased outstanding balance for the term loan facility used for the acquisition of the Plastiq business, offset by a decrease in the revolving credit facility.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was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7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7"/>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2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compute our interim period income tax expense or benefit by using a forecasted EAETR and adjust for any discrete items arising during the interim period and any changes in our projected full-year business interest expense and taxable income. The EAETR for 2024 is 29.9% and includes the income tax provision on pre-tax income and a tax provision related to establishment of a valuation allowance for deferred income tax on the future portion of the Section 163(j) limitation created by additional 2024 interest expense. The effective tax rate for 2024 changed primarily due to an increase in certain forecasted nondeductible expenses.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consolidated effective income tax rates differ from the statutory rate due to timing and permanent differences between amounts calculated under accounting principles GAAP and the U.S. tax code. The consolidated effective income tax rate for 2024 may not be indicative of our effective tax rate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SMB Payments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154,933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(11,182)</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131,368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142,922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(11,554)</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14,788,095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15,220,715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(432,620)</w:t>
            </w:r>
          </w:p>
        </w:tc>
        <w:tc>
          <w:tcPr>
            <w:tcW w:w="0" w:type="dxa"/>
            <w:vAlign w:val="bottom"/>
          </w:tcPr>
          <w:p>
            <w:pPr>
              <w:spacing w:after="0"/>
              <w:rPr>
                <w:sz w:val="1"/>
                <w:szCs w:val="1"/>
                <w:color w:val="auto"/>
              </w:rPr>
            </w:pPr>
          </w:p>
        </w:tc>
      </w:tr>
      <w:tr>
        <w:trPr>
          <w:trHeight w:val="234"/>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Merchant bankcard transaction count</w:t>
            </w: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175,228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163,406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11,822</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Revenue from our SMB Payments segment was $143.8 million for the three months ended March 31, 2024, compared to $154.9 million for the three months ended March 31, 2023. The decrease of $11.2 million, or 7.2%, was primarily driven by a decrease in certain incentives and, decreased transaction count and processed merchant bankcard volume due to diversification of merchant portfolios by one of the Company's referral partners. The Company's merchant card fee revenue from the SMB Payments segment ($139.5 million for 2024 and $148.7 million for 2023) as a percentage of merchant bankcard processing dollar value during 2024 decrease to 0.9% from 1.0% during 2023. The decrease was primarily driven by changes in merchant and card mix.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Operating income from our SMB Payments segment was $12.4 million for the three months ended March 31, 2024, compared to $12.0 million for the three months ended March 31, 2023. The increase of $0.4 million or 3.1% was the result of a decrease in operating income of $4.0 million in merchant card fee revenue driven by the diversification of merchant portfolios by one of the Company's referral partners, the mix related margin compression and a decrease in certain incentive revenue. This decrease was offset by decreases in the allocation of salary and employee benefits expense of $1.7 million, a decrease in selling, general and administrative expenses of $0.7 million due to efficiencies and realignment at the corporate level and a decrease in depreciation and amortization expense of $2.0 million due to full amortization of certain intangible assets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our SMB Payments segment was $8.8 million for the three months ended March 31, 2024, compared to $10.8 million for the three months ended March 31, 2023. The decrease of $2.0 million is due to full amortization of certain intangible assets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B2B Payments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18,329</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21,908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18,273</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B2B issuing dollar volume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227,811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198,546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29,265</w:t>
            </w:r>
          </w:p>
        </w:tc>
        <w:tc>
          <w:tcPr>
            <w:tcW w:w="0" w:type="dxa"/>
            <w:vAlign w:val="bottom"/>
          </w:tcPr>
          <w:p>
            <w:pPr>
              <w:spacing w:after="0"/>
              <w:rPr>
                <w:sz w:val="1"/>
                <w:szCs w:val="1"/>
                <w:color w:val="auto"/>
              </w:rPr>
            </w:pPr>
          </w:p>
        </w:tc>
      </w:tr>
      <w:tr>
        <w:trPr>
          <w:trHeight w:val="234"/>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B2B issuing transaction count</w:t>
            </w:r>
          </w:p>
        </w:tc>
        <w:tc>
          <w:tcPr>
            <w:tcW w:w="3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Revenue from our B2B Payments segment was $21.1 million for the three months ended March 31, 2024, compared to $2.8 million for the three months ended March 31, 2023. The increase of $18.3 million was primarily driven by revenue from the Plastiq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loss from our B2B Payments segment of $0.8 million for the three months ended March 31, 2024 remained consistent compared to the three months ended March 31, 2023. The increase in operating income due to increased revenue was offset by certain performance based non-recurring bonuses related to the Plastiq business and processing losses related to the CPX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from our B2B Payments segment was $1.6 million for the three months ended March 31, 2024, compared to $125.0 thousand depreciation and amortization expense for the three months ended March 31, 2023. The increase is primarily attributable to the Plastiq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Payments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27,309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13,544</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12,884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62.5 %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46.4 %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billed clients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238,668</w:t>
            </w:r>
          </w:p>
        </w:tc>
        <w:tc>
          <w:tcPr>
            <w:tcW w:w="0" w:type="dxa"/>
            <w:vAlign w:val="bottom"/>
          </w:tcPr>
          <w:p>
            <w:pPr>
              <w:spacing w:after="0"/>
              <w:rPr>
                <w:sz w:val="1"/>
                <w:szCs w:val="1"/>
                <w:color w:val="auto"/>
              </w:rPr>
            </w:pPr>
          </w:p>
        </w:tc>
      </w:tr>
      <w:tr>
        <w:trPr>
          <w:trHeight w:val="234"/>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new enrollments</w:t>
            </w: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7,603</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from our Enterprise Payments segment was $40.9 million for the three months ended March 31, 2024, compared to $27.3 million for the three months ended March 31, 2023. The increase of $13.5 million or 49.6%, was primarily driven by an increase in billed clients and customer enrollments, and growth in interest income due to higher interest rates and deposit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Operating income from our Enterprise Payments segment was $25.5 million for the three months ended March 31, 2024, compared to $12.7 million for the three months ended March 31, 2023. The increase of $12.9 million or 101.7%, was primarily driven by increases in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Depreciation and amortization from our Enterprise Payments segment was $4.4 million for the three months ended March 31, 2024, compared to $6.7 million depreciation and amortization expense for the three months ended March 31, 2023. The decrease of $2.3 million or 34.9%, was primarily driven by full amortization of certain intangible assets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2023. There have been no material changes to these critical accounting policies and estimates as of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uses of cash are to fund business operations and administrative costs, and to service our debt.</w:t>
      </w:r>
    </w:p>
    <w:p>
      <w:pPr>
        <w:spacing w:after="0" w:line="22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Our working capital, defined as current assets less current liabilities, was $32.4 million at March 31, 2024 and $8.9 million at March 31, 2023. As of March 31, 2024, we had cash totaling $34.3 million compared to $15.9 million at March 31, 2023. These cash balances do not include restricted cash of $12.7 million and $11.0 million at March 31, 2024 and March 31, 2023, respectively, which reflects cash accounts holding customer settlement funds and cash reserves for potential losses. The current portion of long-term debt included in current liabilities was $6.7 million and $6.2 million at March 31, 2024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respectively. At March 31, 2024, we had availability of approximately $65.0 million under our revolving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discussion reflect our changes in cash flows for the comparative three month periods.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27,677</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(7,583)</w:t>
            </w:r>
          </w:p>
        </w:tc>
      </w:tr>
      <w:tr>
        <w:trPr>
          <w:trHeight w:val="230"/>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57,537</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77,631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$13.3 million for the three months ended March 31, 2024 compared to $27.7 million for the three months ended March 31, 2023. The $14.4 million decrease in 2024 was primarily driven by changes in the operating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$7.7 million and $7.6 million for the three months ended March 31, 2024 and 2023, respectively. For the three months ended March 31, 2024, investing activities included additions to property, equipment and software of $6.6 million and $1.1 million related funding of new loans to ISOs. For the three months ended March 31, 2023, net cash used in investing activities included $2.7 million of cash used to fund acquisitions of intangible assets and $5.0 million of cash used to acquire property, equipment and software offset by $0.2 million related to net payments received on loans to ISOs.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was $10.3 million for the three months ended March 31, 2024, compared to $57.5 million of cash provided by financing activities for the three months ended March 31, 2023. The net cash used in financing activities for the three months ended March 31, 2024 included changes in the net obligations for funds held on the behalf of customers of $1.9 million, offset by $1.7 million of cash used for the repayment of debt, $7.0 million of cash dividends paid to redeemable senior preferred stockholders, $0.4 million of cash used for shares withheld for taxes and $3.1 million of payments of contingent consideration. The net cash provided by financing activities for the three months ended March 31, 2023 included $7.6 million of cash used for the repayment of debt, $11.4 million of cash dividends paid to redeemable senior preferred stockholders, $0.8 million of cash used for shares withheld for taxes and share repurchases, and $2.0 million of payments of contingent consideration for business combinations, which was offset by changes in the net obligations for funds held on the behalf of customers of $79.3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March 31, 2024, we had outstanding debt obligations, including the current portion and net of unamortized debt discount of $638.1 million, compared to $638.7 million at December 31, 2023, resulting in a decrease of $0.6 million. The debt balance at March 31, 2024 consisted of $652.7 million outstanding under the term facility offset by $14.6 million of unamortized debt discounts and issuance costs. Minimum amortization of the term facility are equal quarterly installments in aggregate annual amounts equal to 1.0% of the original principal, with the balance paid upon maturity. The term facility matures in April 2027 and the revolving credit facility expires in April 2026.</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Credit Agreement exceeds 35% of the total revolving credit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March 31, 2024, the Company was in compliance with the covenants in the Credit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FASB or other standards setting bodies that may affect our current and/or future financial statements. See </w:t>
      </w:r>
      <w:r>
        <w:rPr>
          <w:rFonts w:ascii="Times New Roman" w:cs="Times New Roman" w:eastAsia="Times New Roman" w:hAnsi="Times New Roman"/>
          <w:sz w:val="18"/>
          <w:szCs w:val="18"/>
          <w:u w:val="single" w:color="auto"/>
          <w:color w:val="0000FF"/>
        </w:rPr>
        <w:t>Note 1, Basis of Presentation and Significant Accounting Policies</w:t>
      </w:r>
      <w:r>
        <w:rPr>
          <w:rFonts w:ascii="Times New Roman" w:cs="Times New Roman" w:eastAsia="Times New Roman" w:hAnsi="Times New Roman"/>
          <w:sz w:val="18"/>
          <w:szCs w:val="18"/>
          <w:color w:val="auto"/>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For quantitative and qualitative disclosures about market risk, see Item 7A, "Quantitative and Qualitative Disclosures About Market Risk," of our Annual Report on Form 10-K for the year ended December 31, 2023. Our exposures to market risk have not changed materially since December 31, 2023.</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the CEO and CFO, has evaluated the effectiveness of the Company's disclosure controls and procedures as of March 31, 2024. Based on that evaluation, the Company's CEO and CFO concluded that the Company's disclosure controls and procedures were effective as of March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three months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may also materially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its Common Stock during the three months ended March 31, 2024 were as follows: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 Purchased as</w:t>
            </w:r>
          </w:p>
        </w:tc>
        <w:tc>
          <w:tcPr>
            <w:tcW w:w="1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 Shares that</w:t>
            </w:r>
          </w:p>
        </w:tc>
        <w:tc>
          <w:tcPr>
            <w:tcW w:w="0" w:type="dxa"/>
            <w:vAlign w:val="bottom"/>
          </w:tcPr>
          <w:p>
            <w:pPr>
              <w:spacing w:after="0"/>
              <w:rPr>
                <w:sz w:val="1"/>
                <w:szCs w:val="1"/>
                <w:color w:val="auto"/>
              </w:rPr>
            </w:pPr>
          </w:p>
        </w:tc>
      </w:tr>
      <w:tr>
        <w:trPr>
          <w:trHeight w:val="175"/>
        </w:trPr>
        <w:tc>
          <w:tcPr>
            <w:tcW w:w="21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 Announced Plans or</w:t>
            </w:r>
          </w:p>
        </w:tc>
        <w:tc>
          <w:tcPr>
            <w:tcW w:w="100" w:type="dxa"/>
            <w:vAlign w:val="bottom"/>
          </w:tcPr>
          <w:p>
            <w:pPr>
              <w:spacing w:after="0"/>
              <w:rPr>
                <w:sz w:val="15"/>
                <w:szCs w:val="15"/>
                <w:color w:val="auto"/>
              </w:rPr>
            </w:pPr>
          </w:p>
        </w:tc>
        <w:tc>
          <w:tcPr>
            <w:tcW w:w="2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May Yet Be Purchased Under the</w:t>
            </w:r>
          </w:p>
        </w:tc>
        <w:tc>
          <w:tcPr>
            <w:tcW w:w="0" w:type="dxa"/>
            <w:vAlign w:val="bottom"/>
          </w:tcPr>
          <w:p>
            <w:pPr>
              <w:spacing w:after="0"/>
              <w:rPr>
                <w:sz w:val="1"/>
                <w:szCs w:val="1"/>
                <w:color w:val="auto"/>
              </w:rPr>
            </w:pPr>
          </w:p>
        </w:tc>
      </w:tr>
      <w:tr>
        <w:trPr>
          <w:trHeight w:val="243"/>
        </w:trPr>
        <w:tc>
          <w:tcPr>
            <w:tcW w:w="2160" w:type="dxa"/>
            <w:vAlign w:val="bottom"/>
            <w:gridSpan w:val="2"/>
            <w:vMerge w:val="continue"/>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Purchased</w:t>
            </w:r>
            <w:r>
              <w:rPr>
                <w:rFonts w:ascii="Times New Roman" w:cs="Times New Roman" w:eastAsia="Times New Roman" w:hAnsi="Times New Roman"/>
                <w:sz w:val="23"/>
                <w:szCs w:val="23"/>
                <w:b w:val="1"/>
                <w:bCs w:val="1"/>
                <w:color w:val="auto"/>
                <w:w w:val="92"/>
                <w:vertAlign w:val="superscript"/>
              </w:rPr>
              <w:t>(1),(2)</w:t>
            </w:r>
          </w:p>
        </w:tc>
        <w:tc>
          <w:tcPr>
            <w:tcW w:w="8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0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3"/>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1-31, 2024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1,529,378</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1-29,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22,148</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9"/>
                <w:szCs w:val="19"/>
                <w:color w:val="auto"/>
              </w:rPr>
            </w:pPr>
          </w:p>
        </w:tc>
        <w:tc>
          <w:tcPr>
            <w:tcW w:w="314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140" w:type="dxa"/>
            <w:vAlign w:val="bottom"/>
            <w:tcBorders>
              <w:bottom w:val="single" w:sz="8" w:color="auto"/>
            </w:tcBorders>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1,551,526</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c>
          <w:tcPr>
            <w:tcW w:w="31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right="38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shares (in whole units) withheld to satisfy employees' tax withholding obligations related to the vesting of restricted stock awards, which was determined based on the fair market value on the vesting date.</w:t>
      </w:r>
    </w:p>
    <w:p>
      <w:pPr>
        <w:ind w:left="640" w:hanging="308"/>
        <w:spacing w:after="0" w:line="196" w:lineRule="auto"/>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1,428,358 treasury shares as a result of the PHOT settlement. See </w:t>
      </w:r>
      <w:r>
        <w:rPr>
          <w:rFonts w:ascii="Times New Roman" w:cs="Times New Roman" w:eastAsia="Times New Roman" w:hAnsi="Times New Roman"/>
          <w:sz w:val="18"/>
          <w:szCs w:val="18"/>
          <w:u w:val="single" w:color="auto"/>
          <w:color w:val="0000FF"/>
        </w:rPr>
        <w:t>Note 13. Related Party Transactions</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Director and Officer Trading Arrangements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June 16, 2023, Sean Kiewiet, an officer of the Company as defined in Section 16 of the Exchange Act, adopted a Rule 10b5-1 trading arrangement as defined in Item 408(a) of the SEC's Regulation S-K.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Officer or Director Name and</w:t>
            </w:r>
          </w:p>
        </w:tc>
        <w:tc>
          <w:tcPr>
            <w:tcW w:w="13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Plan Type</w:t>
            </w:r>
          </w:p>
        </w:tc>
        <w:tc>
          <w:tcPr>
            <w:tcW w:w="20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Shares to</w:t>
            </w:r>
          </w:p>
        </w:tc>
        <w:tc>
          <w:tcPr>
            <w:tcW w:w="20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320" w:type="dxa"/>
            <w:vAlign w:val="bottom"/>
            <w:gridSpan w:val="2"/>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be sold</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Sean Kiewiet,</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Strategy Officer</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Adopted</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16, 2023</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620,000</w:t>
            </w:r>
          </w:p>
        </w:tc>
        <w:tc>
          <w:tcPr>
            <w:tcW w:w="80" w:type="dxa"/>
            <w:vAlign w:val="bottom"/>
            <w:shd w:val="clear" w:color="auto" w:fill="CCEEFF"/>
          </w:tcPr>
          <w:p>
            <w:pPr>
              <w:spacing w:after="0"/>
              <w:rPr>
                <w:sz w:val="21"/>
                <w:szCs w:val="21"/>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00" w:type="dxa"/>
            <w:vAlign w:val="bottom"/>
            <w:tcBorders>
              <w:top w:val="single" w:sz="8" w:color="auto"/>
            </w:tcBorders>
          </w:tcPr>
          <w:p>
            <w:pPr>
              <w:ind w:left="20"/>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2.1</w:t>
              </w:r>
            </w:hyperlink>
          </w:p>
        </w:tc>
        <w:tc>
          <w:tcPr>
            <w:tcW w:w="100" w:type="dxa"/>
            <w:vAlign w:val="bottom"/>
          </w:tcPr>
          <w:p>
            <w:pPr>
              <w:spacing w:after="0"/>
              <w:rPr>
                <w:sz w:val="14"/>
                <w:szCs w:val="14"/>
                <w:color w:val="auto"/>
              </w:rPr>
            </w:pPr>
          </w:p>
        </w:tc>
        <w:tc>
          <w:tcPr>
            <w:tcW w:w="10040" w:type="dxa"/>
            <w:vAlign w:val="bottom"/>
            <w:tcBorders>
              <w:top w:val="single" w:sz="8" w:color="auto"/>
            </w:tcBorders>
          </w:tcPr>
          <w:p>
            <w:pPr>
              <w:ind w:left="20"/>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Second Amended and Restated Contribution Agreement, dated as of April 17, 2018, by and among Priority Investment Holdings, Priority</w:t>
              </w:r>
            </w:hyperlink>
          </w:p>
        </w:tc>
      </w:tr>
      <w:tr>
        <w:trPr>
          <w:trHeight w:val="175"/>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Incentive Equity Holdings, LLC and M I Acquisitions, Inc. (incorporated by reference to Annex A to the Company's Proxy Statement on</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20"/>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Schedule 14(a), filed July 5, 2018).</w:t>
              </w:r>
            </w:hyperlink>
          </w:p>
        </w:tc>
      </w:tr>
      <w:tr>
        <w:trPr>
          <w:trHeight w:val="180"/>
        </w:trPr>
        <w:tc>
          <w:tcPr>
            <w:tcW w:w="110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2.2</w:t>
              </w:r>
            </w:hyperlink>
          </w:p>
        </w:tc>
        <w:tc>
          <w:tcPr>
            <w:tcW w:w="100" w:type="dxa"/>
            <w:vAlign w:val="bottom"/>
            <w:shd w:val="clear" w:color="auto" w:fill="CCEEFF"/>
          </w:tcPr>
          <w:p>
            <w:pPr>
              <w:spacing w:after="0"/>
              <w:rPr>
                <w:sz w:val="15"/>
                <w:szCs w:val="15"/>
                <w:color w:val="auto"/>
              </w:rPr>
            </w:pPr>
          </w:p>
        </w:tc>
        <w:tc>
          <w:tcPr>
            <w:tcW w:w="1004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Agreement and Plan of Merger, dated as of March 5, 2021, by and among the Company, Finxera, Merger Sub, and the Equityholder</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4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Representative.</w:t>
              </w:r>
            </w:hyperlink>
          </w:p>
        </w:tc>
      </w:tr>
      <w:tr>
        <w:trPr>
          <w:trHeight w:val="230"/>
        </w:trPr>
        <w:tc>
          <w:tcPr>
            <w:tcW w:w="1100" w:type="dxa"/>
            <w:vAlign w:val="bottom"/>
          </w:tcPr>
          <w:p>
            <w:pPr>
              <w:ind w:left="2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2.3</w:t>
              </w:r>
            </w:hyperlink>
          </w:p>
        </w:tc>
        <w:tc>
          <w:tcPr>
            <w:tcW w:w="100" w:type="dxa"/>
            <w:vAlign w:val="bottom"/>
          </w:tcPr>
          <w:p>
            <w:pPr>
              <w:spacing w:after="0"/>
              <w:rPr>
                <w:sz w:val="19"/>
                <w:szCs w:val="19"/>
                <w:color w:val="auto"/>
              </w:rPr>
            </w:pPr>
          </w:p>
        </w:tc>
        <w:tc>
          <w:tcPr>
            <w:tcW w:w="10040" w:type="dxa"/>
            <w:vAlign w:val="bottom"/>
          </w:tcPr>
          <w:p>
            <w:pPr>
              <w:ind w:left="2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Certificate of Amendment to the Certificate of Incorporation of Priority Technology Holdings dated April 16, 2021, filed April 29, 2021</w:t>
              </w:r>
            </w:hyperlink>
          </w:p>
        </w:tc>
      </w:tr>
      <w:tr>
        <w:trPr>
          <w:trHeight w:val="175"/>
        </w:trPr>
        <w:tc>
          <w:tcPr>
            <w:tcW w:w="110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2.4</w:t>
              </w:r>
            </w:hyperlink>
          </w:p>
        </w:tc>
        <w:tc>
          <w:tcPr>
            <w:tcW w:w="100" w:type="dxa"/>
            <w:vAlign w:val="bottom"/>
            <w:shd w:val="clear" w:color="auto" w:fill="CCEEFF"/>
          </w:tcPr>
          <w:p>
            <w:pPr>
              <w:spacing w:after="0"/>
              <w:rPr>
                <w:sz w:val="15"/>
                <w:szCs w:val="15"/>
                <w:color w:val="auto"/>
              </w:rPr>
            </w:pPr>
          </w:p>
        </w:tc>
        <w:tc>
          <w:tcPr>
            <w:tcW w:w="1004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Agreement and Plan of Merger by and among the Company, Finxera Holdings, Inc., Prime Warrior Acquisition Corp., and Stone Point</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4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Capital LLC.</w:t>
              </w:r>
            </w:hyperlink>
          </w:p>
        </w:tc>
      </w:tr>
      <w:tr>
        <w:trPr>
          <w:trHeight w:val="176"/>
        </w:trPr>
        <w:tc>
          <w:tcPr>
            <w:tcW w:w="1100" w:type="dxa"/>
            <w:vAlign w:val="bottom"/>
          </w:tcPr>
          <w:p>
            <w:pPr>
              <w:ind w:left="20"/>
              <w:spacing w:after="0" w:line="17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3.1</w:t>
              </w:r>
            </w:hyperlink>
          </w:p>
        </w:tc>
        <w:tc>
          <w:tcPr>
            <w:tcW w:w="100" w:type="dxa"/>
            <w:vAlign w:val="bottom"/>
          </w:tcPr>
          <w:p>
            <w:pPr>
              <w:spacing w:after="0"/>
              <w:rPr>
                <w:sz w:val="15"/>
                <w:szCs w:val="15"/>
                <w:color w:val="auto"/>
              </w:rPr>
            </w:pPr>
          </w:p>
        </w:tc>
        <w:tc>
          <w:tcPr>
            <w:tcW w:w="10040" w:type="dxa"/>
            <w:vAlign w:val="bottom"/>
          </w:tcPr>
          <w:p>
            <w:pPr>
              <w:ind w:left="20"/>
              <w:spacing w:after="0" w:line="17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Second Amended and Restated Certificate of Incorporation of Priority Technology Holdings, Inc. (incorporated by reference to Exhibit 3.1</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2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to the Company's Current Report on Form 8-K, filed July 31, 2018).</w:t>
              </w:r>
            </w:hyperlink>
          </w:p>
        </w:tc>
      </w:tr>
      <w:tr>
        <w:trPr>
          <w:trHeight w:val="180"/>
        </w:trPr>
        <w:tc>
          <w:tcPr>
            <w:tcW w:w="110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3.2</w:t>
              </w:r>
            </w:hyperlink>
          </w:p>
        </w:tc>
        <w:tc>
          <w:tcPr>
            <w:tcW w:w="100" w:type="dxa"/>
            <w:vAlign w:val="bottom"/>
            <w:shd w:val="clear" w:color="auto" w:fill="CCEEFF"/>
          </w:tcPr>
          <w:p>
            <w:pPr>
              <w:spacing w:after="0"/>
              <w:rPr>
                <w:sz w:val="15"/>
                <w:szCs w:val="15"/>
                <w:color w:val="auto"/>
              </w:rPr>
            </w:pPr>
          </w:p>
        </w:tc>
        <w:tc>
          <w:tcPr>
            <w:tcW w:w="1004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Bylaws of Priority Technology Holdings, Inc. (incorporated by reference to Exhibit 3.2 to the Company's Current</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4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Report on Form 8-K, filed July 31, 2018).</w:t>
              </w:r>
            </w:hyperlink>
          </w:p>
        </w:tc>
      </w:tr>
      <w:tr>
        <w:trPr>
          <w:trHeight w:val="175"/>
        </w:trPr>
        <w:tc>
          <w:tcPr>
            <w:tcW w:w="1100" w:type="dxa"/>
            <w:vAlign w:val="bottom"/>
          </w:tcPr>
          <w:p>
            <w:pPr>
              <w:ind w:left="20"/>
              <w:spacing w:after="0" w:line="17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4.1</w:t>
              </w:r>
            </w:hyperlink>
          </w:p>
        </w:tc>
        <w:tc>
          <w:tcPr>
            <w:tcW w:w="100" w:type="dxa"/>
            <w:vAlign w:val="bottom"/>
          </w:tcPr>
          <w:p>
            <w:pPr>
              <w:spacing w:after="0"/>
              <w:rPr>
                <w:sz w:val="15"/>
                <w:szCs w:val="15"/>
                <w:color w:val="auto"/>
              </w:rPr>
            </w:pPr>
          </w:p>
        </w:tc>
        <w:tc>
          <w:tcPr>
            <w:tcW w:w="10040" w:type="dxa"/>
            <w:vAlign w:val="bottom"/>
          </w:tcPr>
          <w:p>
            <w:pPr>
              <w:ind w:left="20"/>
              <w:spacing w:after="0" w:line="17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Warrant Agreement, dated September 13, 2016, by and between American Stock Transfer &amp; Trust Company, LLC and the Registrant</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2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(incorporated by reference to Exhibit 4.1 to the Current Report on Form 8-K, filed September 16, 2016).</w:t>
              </w:r>
            </w:hyperlink>
          </w:p>
        </w:tc>
      </w:tr>
      <w:tr>
        <w:trPr>
          <w:trHeight w:val="234"/>
        </w:trPr>
        <w:tc>
          <w:tcPr>
            <w:tcW w:w="11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4.2</w:t>
              </w:r>
            </w:hyperlink>
          </w:p>
        </w:tc>
        <w:tc>
          <w:tcPr>
            <w:tcW w:w="100" w:type="dxa"/>
            <w:vAlign w:val="bottom"/>
            <w:shd w:val="clear" w:color="auto" w:fill="CCEEFF"/>
          </w:tcPr>
          <w:p>
            <w:pPr>
              <w:spacing w:after="0"/>
              <w:rPr>
                <w:sz w:val="20"/>
                <w:szCs w:val="20"/>
                <w:color w:val="auto"/>
              </w:rPr>
            </w:pPr>
          </w:p>
        </w:tc>
        <w:tc>
          <w:tcPr>
            <w:tcW w:w="1004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Designations of Senior Preferred Stock</w:t>
              </w:r>
            </w:hyperlink>
          </w:p>
        </w:tc>
      </w:tr>
      <w:tr>
        <w:trPr>
          <w:trHeight w:val="175"/>
        </w:trPr>
        <w:tc>
          <w:tcPr>
            <w:tcW w:w="1100" w:type="dxa"/>
            <w:vAlign w:val="bottom"/>
          </w:tcPr>
          <w:p>
            <w:pPr>
              <w:ind w:left="20"/>
              <w:spacing w:after="0" w:line="17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10.1</w:t>
              </w:r>
            </w:hyperlink>
          </w:p>
        </w:tc>
        <w:tc>
          <w:tcPr>
            <w:tcW w:w="100" w:type="dxa"/>
            <w:vAlign w:val="bottom"/>
          </w:tcPr>
          <w:p>
            <w:pPr>
              <w:spacing w:after="0"/>
              <w:rPr>
                <w:sz w:val="15"/>
                <w:szCs w:val="15"/>
                <w:color w:val="auto"/>
              </w:rPr>
            </w:pPr>
          </w:p>
        </w:tc>
        <w:tc>
          <w:tcPr>
            <w:tcW w:w="10040" w:type="dxa"/>
            <w:vAlign w:val="bottom"/>
          </w:tcPr>
          <w:p>
            <w:pPr>
              <w:ind w:left="20"/>
              <w:spacing w:after="0" w:line="17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Registration Rights Agreement dated as of July 25, 2018 by and among M I Acquisitions, Inc. and the other parties thereto (incorporated</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2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by reference to Exhibit 10.1 to the Company's Current Report on Form 8-K, filed July 31, 2018).</w:t>
              </w:r>
            </w:hyperlink>
          </w:p>
        </w:tc>
      </w:tr>
      <w:tr>
        <w:trPr>
          <w:trHeight w:val="180"/>
        </w:trPr>
        <w:tc>
          <w:tcPr>
            <w:tcW w:w="110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10.2</w:t>
              </w:r>
            </w:hyperlink>
          </w:p>
        </w:tc>
        <w:tc>
          <w:tcPr>
            <w:tcW w:w="100" w:type="dxa"/>
            <w:vAlign w:val="bottom"/>
            <w:shd w:val="clear" w:color="auto" w:fill="CCEEFF"/>
          </w:tcPr>
          <w:p>
            <w:pPr>
              <w:spacing w:after="0"/>
              <w:rPr>
                <w:sz w:val="15"/>
                <w:szCs w:val="15"/>
                <w:color w:val="auto"/>
              </w:rPr>
            </w:pPr>
          </w:p>
        </w:tc>
        <w:tc>
          <w:tcPr>
            <w:tcW w:w="1004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Priority Technology Holdings, Inc. 2018 Equity Incentive Plan (incorporated by reference to Exhibit 10.2 to the Company's Current</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4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Report on Form 8-K, filed July 31, 2018).</w:t>
              </w:r>
            </w:hyperlink>
          </w:p>
        </w:tc>
      </w:tr>
      <w:tr>
        <w:trPr>
          <w:trHeight w:val="230"/>
        </w:trPr>
        <w:tc>
          <w:tcPr>
            <w:tcW w:w="1100" w:type="dxa"/>
            <w:vAlign w:val="bottom"/>
          </w:tcPr>
          <w:p>
            <w:pPr>
              <w:ind w:left="20"/>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10.3</w:t>
              </w:r>
            </w:hyperlink>
          </w:p>
        </w:tc>
        <w:tc>
          <w:tcPr>
            <w:tcW w:w="100" w:type="dxa"/>
            <w:vAlign w:val="bottom"/>
          </w:tcPr>
          <w:p>
            <w:pPr>
              <w:spacing w:after="0"/>
              <w:rPr>
                <w:sz w:val="19"/>
                <w:szCs w:val="19"/>
                <w:color w:val="auto"/>
              </w:rPr>
            </w:pPr>
          </w:p>
        </w:tc>
        <w:tc>
          <w:tcPr>
            <w:tcW w:w="10040" w:type="dxa"/>
            <w:vAlign w:val="bottom"/>
          </w:tcPr>
          <w:p>
            <w:pPr>
              <w:ind w:left="20"/>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Priority Technology Holdings, Inc. 2021 Employee Stock Purchase Plan</w:t>
              </w:r>
            </w:hyperlink>
          </w:p>
        </w:tc>
      </w:tr>
      <w:tr>
        <w:trPr>
          <w:trHeight w:val="229"/>
        </w:trPr>
        <w:tc>
          <w:tcPr>
            <w:tcW w:w="11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10.3.1</w:t>
              </w:r>
            </w:hyperlink>
          </w:p>
        </w:tc>
        <w:tc>
          <w:tcPr>
            <w:tcW w:w="100" w:type="dxa"/>
            <w:vAlign w:val="bottom"/>
            <w:shd w:val="clear" w:color="auto" w:fill="CCEEFF"/>
          </w:tcPr>
          <w:p>
            <w:pPr>
              <w:spacing w:after="0"/>
              <w:rPr>
                <w:sz w:val="19"/>
                <w:szCs w:val="19"/>
                <w:color w:val="auto"/>
              </w:rPr>
            </w:pPr>
          </w:p>
        </w:tc>
        <w:tc>
          <w:tcPr>
            <w:tcW w:w="1004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Amendment No. 1 to Priority Technology Holdings, Inc. 2021 Employee Stock Purchase Plan</w:t>
              </w:r>
            </w:hyperlink>
          </w:p>
        </w:tc>
      </w:tr>
      <w:tr>
        <w:trPr>
          <w:trHeight w:val="176"/>
        </w:trPr>
        <w:tc>
          <w:tcPr>
            <w:tcW w:w="1200" w:type="dxa"/>
            <w:vAlign w:val="bottom"/>
            <w:gridSpan w:val="2"/>
          </w:tcPr>
          <w:p>
            <w:pPr>
              <w:ind w:left="20"/>
              <w:spacing w:after="0" w:line="175"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 xml:space="preserve">10.4 </w:t>
              </w:r>
            </w:hyperlink>
            <w:r>
              <w:rPr>
                <w:rFonts w:ascii="Arial" w:cs="Arial" w:eastAsia="Arial" w:hAnsi="Arial"/>
                <w:sz w:val="18"/>
                <w:szCs w:val="18"/>
                <w:color w:val="000000"/>
              </w:rPr>
              <w:t>†</w:t>
            </w:r>
          </w:p>
        </w:tc>
        <w:tc>
          <w:tcPr>
            <w:tcW w:w="10040" w:type="dxa"/>
            <w:vAlign w:val="bottom"/>
          </w:tcPr>
          <w:p>
            <w:pPr>
              <w:ind w:left="20"/>
              <w:spacing w:after="0" w:line="17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Director Agreement by and among Priority Holdings LLC, Pipeline Cynergy Holdings, LLC, Priority Payment Systems Holdings, LLC</w:t>
              </w:r>
            </w:hyperlink>
          </w:p>
        </w:tc>
      </w:tr>
      <w:tr>
        <w:trPr>
          <w:trHeight w:val="175"/>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and Thomas C. Priore, dated May 21, 2014 (incorporated by reference to Exhibit 10.6 to the Company's Registration Statement on Form</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20"/>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S-4/A, filed December 26, 2018).</w:t>
              </w:r>
            </w:hyperlink>
          </w:p>
        </w:tc>
      </w:tr>
      <w:tr>
        <w:trPr>
          <w:trHeight w:val="180"/>
        </w:trPr>
        <w:tc>
          <w:tcPr>
            <w:tcW w:w="1200" w:type="dxa"/>
            <w:vAlign w:val="bottom"/>
            <w:gridSpan w:val="2"/>
            <w:shd w:val="clear" w:color="auto" w:fill="CCEEFF"/>
          </w:tcPr>
          <w:p>
            <w:pPr>
              <w:ind w:left="20"/>
              <w:spacing w:after="0" w:line="180"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 xml:space="preserve">10.5 </w:t>
              </w:r>
            </w:hyperlink>
            <w:r>
              <w:rPr>
                <w:rFonts w:ascii="Arial" w:cs="Arial" w:eastAsia="Arial" w:hAnsi="Arial"/>
                <w:sz w:val="18"/>
                <w:szCs w:val="18"/>
                <w:color w:val="000000"/>
              </w:rPr>
              <w:t>†</w:t>
            </w:r>
          </w:p>
        </w:tc>
        <w:tc>
          <w:tcPr>
            <w:tcW w:w="1004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Amendment No. 1 to Director Agreement by and among Priority Holdings LLC, Pipeline Cynergy Holdings, LLC, Priority Payment</w:t>
              </w:r>
            </w:hyperlink>
          </w:p>
        </w:tc>
      </w:tr>
      <w:tr>
        <w:trPr>
          <w:trHeight w:val="175"/>
        </w:trPr>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4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Systems Holdings, LLC and Thomas C. Priore, dated April 19, 2018 (incorporated by reference to Exhibit 10.7 to the Company's</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4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Registration Statement on Form S-4/A, filed December 26, 2018).</w:t>
              </w:r>
            </w:hyperlink>
          </w:p>
        </w:tc>
      </w:tr>
      <w:tr>
        <w:trPr>
          <w:trHeight w:val="175"/>
        </w:trPr>
        <w:tc>
          <w:tcPr>
            <w:tcW w:w="1100" w:type="dxa"/>
            <w:vAlign w:val="bottom"/>
          </w:tcPr>
          <w:p>
            <w:pPr>
              <w:ind w:left="20"/>
              <w:spacing w:after="0" w:line="17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10.6</w:t>
              </w:r>
            </w:hyperlink>
          </w:p>
        </w:tc>
        <w:tc>
          <w:tcPr>
            <w:tcW w:w="100" w:type="dxa"/>
            <w:vAlign w:val="bottom"/>
          </w:tcPr>
          <w:p>
            <w:pPr>
              <w:spacing w:after="0"/>
              <w:rPr>
                <w:sz w:val="15"/>
                <w:szCs w:val="15"/>
                <w:color w:val="auto"/>
              </w:rPr>
            </w:pPr>
          </w:p>
        </w:tc>
        <w:tc>
          <w:tcPr>
            <w:tcW w:w="10040" w:type="dxa"/>
            <w:vAlign w:val="bottom"/>
          </w:tcPr>
          <w:p>
            <w:pPr>
              <w:ind w:left="20"/>
              <w:spacing w:after="0" w:line="17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Form of Independent Director Agreement (incorporated by reference to Exhibit 10.19 to the Company's Annual Report on Form 10-K,</w:t>
              </w:r>
            </w:hyperlink>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20"/>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filed March 29, 2019).</w:t>
              </w:r>
            </w:hyperlink>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10.7</w:t>
              </w:r>
            </w:hyperlink>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Asset Purchase Agreement by and between MRI Payments LLC, MRI Software LLC, and Priority Real Estate Technology LLC, dated</w:t>
              </w:r>
            </w:hyperlink>
          </w:p>
        </w:tc>
      </w:tr>
      <w:tr>
        <w:trPr>
          <w:trHeight w:val="243"/>
        </w:trPr>
        <w:tc>
          <w:tcPr>
            <w:tcW w:w="102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August 31, 2020 (incorporated by reference to Exhibit 10.1 to the Company's Current Report on Form 8-K filed September 1, 2020).</w:t>
              </w:r>
            </w:hyperlink>
          </w:p>
        </w:tc>
      </w:tr>
      <w:tr>
        <w:trPr>
          <w:trHeight w:val="229"/>
        </w:trPr>
        <w:tc>
          <w:tcPr>
            <w:tcW w:w="1020" w:type="dxa"/>
            <w:vAlign w:val="bottom"/>
          </w:tcPr>
          <w:p>
            <w:pPr>
              <w:ind w:left="20"/>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10.8</w:t>
              </w:r>
            </w:hyperlink>
          </w:p>
        </w:tc>
        <w:tc>
          <w:tcPr>
            <w:tcW w:w="10220" w:type="dxa"/>
            <w:vAlign w:val="bottom"/>
          </w:tcPr>
          <w:p>
            <w:pPr>
              <w:ind w:left="200"/>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Support Agreement, dated as of March 5, 2021, by and among the Stockholders and Finxera</w:t>
              </w:r>
            </w:hyperlink>
          </w:p>
        </w:tc>
      </w:tr>
      <w:tr>
        <w:trPr>
          <w:trHeight w:val="229"/>
        </w:trPr>
        <w:tc>
          <w:tcPr>
            <w:tcW w:w="10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10.9</w:t>
              </w:r>
            </w:hyperlink>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Debt Commitment Letter, dated as of March 5, 2021, between Priority Holdings, LLC and Truist Securities, Inc.</w:t>
              </w:r>
            </w:hyperlink>
          </w:p>
        </w:tc>
      </w:tr>
      <w:tr>
        <w:trPr>
          <w:trHeight w:val="176"/>
        </w:trPr>
        <w:tc>
          <w:tcPr>
            <w:tcW w:w="1020" w:type="dxa"/>
            <w:vAlign w:val="bottom"/>
          </w:tcPr>
          <w:p>
            <w:pPr>
              <w:ind w:left="20"/>
              <w:spacing w:after="0" w:line="17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10.10</w:t>
              </w:r>
            </w:hyperlink>
          </w:p>
        </w:tc>
        <w:tc>
          <w:tcPr>
            <w:tcW w:w="10220" w:type="dxa"/>
            <w:vAlign w:val="bottom"/>
          </w:tcPr>
          <w:p>
            <w:pPr>
              <w:ind w:left="200"/>
              <w:spacing w:after="0" w:line="17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Preferred Stock Commitment Letter, dated as of March 5, 2021, among the Company and certain affiliates of Ares Capital Management</w:t>
              </w:r>
            </w:hyperlink>
          </w:p>
        </w:tc>
      </w:tr>
      <w:tr>
        <w:trPr>
          <w:trHeight w:val="239"/>
        </w:trPr>
        <w:tc>
          <w:tcPr>
            <w:tcW w:w="102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LLC</w:t>
              </w:r>
            </w:hyperlink>
          </w:p>
        </w:tc>
      </w:tr>
      <w:tr>
        <w:trPr>
          <w:trHeight w:val="234"/>
        </w:trPr>
        <w:tc>
          <w:tcPr>
            <w:tcW w:w="10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10.11</w:t>
              </w:r>
            </w:hyperlink>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Securities Purchase Agreement, dated as of April 27, 2021, among the Company and the Investors named therein</w:t>
              </w:r>
            </w:hyperlink>
          </w:p>
        </w:tc>
      </w:tr>
      <w:tr>
        <w:trPr>
          <w:trHeight w:val="229"/>
        </w:trPr>
        <w:tc>
          <w:tcPr>
            <w:tcW w:w="1020" w:type="dxa"/>
            <w:vAlign w:val="bottom"/>
          </w:tcPr>
          <w:p>
            <w:pPr>
              <w:ind w:left="20"/>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10.12</w:t>
              </w:r>
            </w:hyperlink>
          </w:p>
        </w:tc>
        <w:tc>
          <w:tcPr>
            <w:tcW w:w="10220" w:type="dxa"/>
            <w:vAlign w:val="bottom"/>
          </w:tcPr>
          <w:p>
            <w:pPr>
              <w:ind w:left="200"/>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Registration Rights Agreement, dated as of April 27, 2021, among the Company and the Investors name therein</w:t>
              </w:r>
            </w:hyperlink>
          </w:p>
        </w:tc>
      </w:tr>
      <w:tr>
        <w:trPr>
          <w:trHeight w:val="230"/>
        </w:trPr>
        <w:tc>
          <w:tcPr>
            <w:tcW w:w="10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10.13</w:t>
              </w:r>
            </w:hyperlink>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Credit Agreement, dated as of April 27, 2021, among the Loan Parties name therein and Truist Bank</w:t>
              </w:r>
            </w:hyperlink>
          </w:p>
        </w:tc>
      </w:tr>
      <w:tr>
        <w:trPr>
          <w:trHeight w:val="175"/>
        </w:trPr>
        <w:tc>
          <w:tcPr>
            <w:tcW w:w="1020" w:type="dxa"/>
            <w:vAlign w:val="bottom"/>
          </w:tcPr>
          <w:p>
            <w:pPr>
              <w:ind w:left="20"/>
              <w:spacing w:after="0" w:line="17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10.14</w:t>
              </w:r>
            </w:hyperlink>
          </w:p>
        </w:tc>
        <w:tc>
          <w:tcPr>
            <w:tcW w:w="10220" w:type="dxa"/>
            <w:vAlign w:val="bottom"/>
          </w:tcPr>
          <w:p>
            <w:pPr>
              <w:ind w:left="200"/>
              <w:spacing w:after="0" w:line="17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Amendment No. 2, dated September 17, 2021, to the Credit Agreement, dated as of April 27, 2021, by and among the Loan Parties named</w:t>
              </w:r>
            </w:hyperlink>
          </w:p>
        </w:tc>
      </w:tr>
      <w:tr>
        <w:trPr>
          <w:trHeight w:val="239"/>
        </w:trPr>
        <w:tc>
          <w:tcPr>
            <w:tcW w:w="102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therein and Truist Bank.</w:t>
              </w:r>
            </w:hyperlink>
          </w:p>
        </w:tc>
      </w:tr>
      <w:tr>
        <w:trPr>
          <w:trHeight w:val="180"/>
        </w:trPr>
        <w:tc>
          <w:tcPr>
            <w:tcW w:w="102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10.15</w:t>
              </w:r>
            </w:hyperlink>
          </w:p>
        </w:tc>
        <w:tc>
          <w:tcPr>
            <w:tcW w:w="10220" w:type="dxa"/>
            <w:vAlign w:val="bottom"/>
            <w:shd w:val="clear" w:color="auto" w:fill="CCEEFF"/>
          </w:tcPr>
          <w:p>
            <w:pPr>
              <w:ind w:left="200"/>
              <w:spacing w:after="0" w:line="180"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Third Amendment to the Credit and Guaranty Agreement, dated as of June 30, 2023, by and among Priority Holdings, LLC, as the Initial</w:t>
              </w:r>
            </w:hyperlink>
          </w:p>
        </w:tc>
      </w:tr>
      <w:tr>
        <w:trPr>
          <w:trHeight w:val="184"/>
        </w:trPr>
        <w:tc>
          <w:tcPr>
            <w:tcW w:w="1020" w:type="dxa"/>
            <w:vAlign w:val="bottom"/>
            <w:shd w:val="clear" w:color="auto" w:fill="CCEEFF"/>
          </w:tcPr>
          <w:p>
            <w:pPr>
              <w:spacing w:after="0"/>
              <w:rPr>
                <w:sz w:val="16"/>
                <w:szCs w:val="16"/>
                <w:color w:val="auto"/>
              </w:rPr>
            </w:pPr>
          </w:p>
        </w:tc>
        <w:tc>
          <w:tcPr>
            <w:tcW w:w="10220" w:type="dxa"/>
            <w:vAlign w:val="bottom"/>
            <w:shd w:val="clear" w:color="auto" w:fill="CCEEFF"/>
          </w:tcPr>
          <w:p>
            <w:pPr>
              <w:ind w:left="200"/>
              <w:spacing w:after="0" w:line="184"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Borrower, the Credit Parties thereto, the 2023 Incremental Revolving Credit Lender and Truist Bank, as Administrative Agent and</w:t>
              </w:r>
            </w:hyperlink>
          </w:p>
        </w:tc>
      </w:tr>
      <w:tr>
        <w:trPr>
          <w:trHeight w:val="234"/>
        </w:trPr>
        <w:tc>
          <w:tcPr>
            <w:tcW w:w="1020" w:type="dxa"/>
            <w:vAlign w:val="bottom"/>
            <w:shd w:val="clear" w:color="auto" w:fill="CCEEFF"/>
          </w:tcPr>
          <w:p>
            <w:pPr>
              <w:spacing w:after="0"/>
              <w:rPr>
                <w:sz w:val="20"/>
                <w:szCs w:val="20"/>
                <w:color w:val="auto"/>
              </w:rPr>
            </w:pP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Collateral Agent.</w:t>
              </w:r>
            </w:hyperlink>
          </w:p>
        </w:tc>
      </w:tr>
      <w:tr>
        <w:trPr>
          <w:trHeight w:val="175"/>
        </w:trPr>
        <w:tc>
          <w:tcPr>
            <w:tcW w:w="1020" w:type="dxa"/>
            <w:vAlign w:val="bottom"/>
          </w:tcPr>
          <w:p>
            <w:pPr>
              <w:ind w:left="20"/>
              <w:spacing w:after="0" w:line="17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10.16</w:t>
              </w:r>
            </w:hyperlink>
          </w:p>
        </w:tc>
        <w:tc>
          <w:tcPr>
            <w:tcW w:w="10220" w:type="dxa"/>
            <w:vAlign w:val="bottom"/>
          </w:tcPr>
          <w:p>
            <w:pPr>
              <w:ind w:left="200"/>
              <w:spacing w:after="0" w:line="17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Fourth Amendment to the Credit and Guaranty Agreement, dated as of October 2, 2023, by and among Priority Holdings, LLC, as the</w:t>
              </w:r>
            </w:hyperlink>
          </w:p>
        </w:tc>
      </w:tr>
      <w:tr>
        <w:trPr>
          <w:trHeight w:val="184"/>
        </w:trPr>
        <w:tc>
          <w:tcPr>
            <w:tcW w:w="1020" w:type="dxa"/>
            <w:vAlign w:val="bottom"/>
          </w:tcPr>
          <w:p>
            <w:pPr>
              <w:spacing w:after="0"/>
              <w:rPr>
                <w:sz w:val="16"/>
                <w:szCs w:val="16"/>
                <w:color w:val="auto"/>
              </w:rPr>
            </w:pPr>
          </w:p>
        </w:tc>
        <w:tc>
          <w:tcPr>
            <w:tcW w:w="10220" w:type="dxa"/>
            <w:vAlign w:val="bottom"/>
          </w:tcPr>
          <w:p>
            <w:pPr>
              <w:ind w:left="200"/>
              <w:spacing w:after="0" w:line="184"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Initial Borrower, the Credit Parties party thereto, the 2023-1 Incremental Term Lender and Truist Bank, as Administrative Agent and</w:t>
              </w:r>
            </w:hyperlink>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Collateral Agent.</w:t>
              </w:r>
            </w:hyperlink>
          </w:p>
        </w:tc>
      </w:tr>
      <w:tr>
        <w:trPr>
          <w:trHeight w:val="230"/>
        </w:trPr>
        <w:tc>
          <w:tcPr>
            <w:tcW w:w="10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10.17</w:t>
              </w:r>
            </w:hyperlink>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Restricted Stock Unit Award Agreement.</w:t>
              </w:r>
            </w:hyperlink>
          </w:p>
        </w:tc>
      </w:tr>
      <w:tr>
        <w:trPr>
          <w:trHeight w:val="229"/>
        </w:trPr>
        <w:tc>
          <w:tcPr>
            <w:tcW w:w="1020" w:type="dxa"/>
            <w:vAlign w:val="bottom"/>
          </w:tcPr>
          <w:p>
            <w:pPr>
              <w:ind w:left="20"/>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 xml:space="preserve">10.18 </w:t>
              </w:r>
            </w:hyperlink>
            <w:r>
              <w:rPr>
                <w:rFonts w:ascii="Arial" w:cs="Arial" w:eastAsia="Arial" w:hAnsi="Arial"/>
                <w:sz w:val="18"/>
                <w:szCs w:val="18"/>
                <w:color w:val="000000"/>
              </w:rPr>
              <w:t>†</w:t>
            </w:r>
          </w:p>
        </w:tc>
        <w:tc>
          <w:tcPr>
            <w:tcW w:w="10220" w:type="dxa"/>
            <w:vAlign w:val="bottom"/>
          </w:tcPr>
          <w:p>
            <w:pPr>
              <w:ind w:left="200"/>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Executive Employment Agreement between Priority Technology Holdings, Inc. and Tim O'Leary, dated September 19, 2022.</w:t>
              </w:r>
            </w:hyperlink>
          </w:p>
        </w:tc>
      </w:tr>
      <w:tr>
        <w:trPr>
          <w:trHeight w:val="229"/>
        </w:trPr>
        <w:tc>
          <w:tcPr>
            <w:tcW w:w="10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10.19</w:t>
              </w:r>
            </w:hyperlink>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Priority Technology Holdings, Inc. Recoupment Policy adopted March 1, 2023</w:t>
              </w:r>
            </w:hyperlink>
          </w:p>
        </w:tc>
      </w:tr>
      <w:tr>
        <w:trPr>
          <w:trHeight w:val="176"/>
        </w:trPr>
        <w:tc>
          <w:tcPr>
            <w:tcW w:w="1020" w:type="dxa"/>
            <w:vAlign w:val="bottom"/>
          </w:tcPr>
          <w:p>
            <w:pPr>
              <w:ind w:left="20"/>
              <w:spacing w:after="0" w:line="17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10.20</w:t>
              </w:r>
            </w:hyperlink>
          </w:p>
        </w:tc>
        <w:tc>
          <w:tcPr>
            <w:tcW w:w="10220" w:type="dxa"/>
            <w:vAlign w:val="bottom"/>
          </w:tcPr>
          <w:p>
            <w:pPr>
              <w:ind w:left="200"/>
              <w:spacing w:after="0" w:line="17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Amendment No. 1 to Equity and Asset Purchase Agreement, dated July 31, 2023, by and among Plastiq, Powered by Priority, LLC,</w:t>
              </w:r>
            </w:hyperlink>
          </w:p>
        </w:tc>
      </w:tr>
      <w:tr>
        <w:trPr>
          <w:trHeight w:val="239"/>
        </w:trPr>
        <w:tc>
          <w:tcPr>
            <w:tcW w:w="102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Plastiq Inc., PLV Inc. and Nearside Business Corp.</w:t>
              </w:r>
            </w:hyperlink>
          </w:p>
        </w:tc>
      </w:tr>
      <w:tr>
        <w:trPr>
          <w:trHeight w:val="234"/>
        </w:trPr>
        <w:tc>
          <w:tcPr>
            <w:tcW w:w="10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10.21</w:t>
              </w:r>
            </w:hyperlink>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Side Letter Agreement, dated July 28, 2023, by and between Plastiq, Powered by Priority, LLC and Colonnade Acquisition Corp. II.</w:t>
              </w:r>
            </w:hyperlink>
          </w:p>
        </w:tc>
      </w:tr>
      <w:tr>
        <w:trPr>
          <w:trHeight w:val="176"/>
        </w:trPr>
        <w:tc>
          <w:tcPr>
            <w:tcW w:w="1020" w:type="dxa"/>
            <w:vAlign w:val="bottom"/>
          </w:tcPr>
          <w:p>
            <w:pPr>
              <w:ind w:left="20"/>
              <w:spacing w:after="0" w:line="17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10.22</w:t>
              </w:r>
            </w:hyperlink>
          </w:p>
        </w:tc>
        <w:tc>
          <w:tcPr>
            <w:tcW w:w="10220" w:type="dxa"/>
            <w:vAlign w:val="bottom"/>
          </w:tcPr>
          <w:p>
            <w:pPr>
              <w:ind w:left="200"/>
              <w:spacing w:after="0" w:line="17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Earnout Agreement, dated July 31, 2023, by and among Plastiq, Powered by Priority, LLC, Plastiq Inc., PLV Inc., Nearside Business</w:t>
              </w:r>
            </w:hyperlink>
          </w:p>
        </w:tc>
      </w:tr>
      <w:tr>
        <w:trPr>
          <w:trHeight w:val="239"/>
        </w:trPr>
        <w:tc>
          <w:tcPr>
            <w:tcW w:w="102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Corp., Blue Torch Finance, LLC and Priority Holdings, LLC.</w:t>
              </w:r>
            </w:hyperlink>
          </w:p>
        </w:tc>
      </w:tr>
      <w:tr>
        <w:trPr>
          <w:trHeight w:val="180"/>
        </w:trPr>
        <w:tc>
          <w:tcPr>
            <w:tcW w:w="102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10.23</w:t>
              </w:r>
            </w:hyperlink>
          </w:p>
        </w:tc>
        <w:tc>
          <w:tcPr>
            <w:tcW w:w="10220" w:type="dxa"/>
            <w:vAlign w:val="bottom"/>
            <w:shd w:val="clear" w:color="auto" w:fill="CCEEFF"/>
          </w:tcPr>
          <w:p>
            <w:pPr>
              <w:ind w:left="200"/>
              <w:spacing w:after="0" w:line="180"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Priority Technology Holdings, Inc. Amended and Restated Certificate of Designations of the Powers, Preferences and Relative,</w:t>
              </w:r>
            </w:hyperlink>
          </w:p>
        </w:tc>
      </w:tr>
      <w:tr>
        <w:trPr>
          <w:trHeight w:val="243"/>
        </w:trPr>
        <w:tc>
          <w:tcPr>
            <w:tcW w:w="102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Participating, Optional and Other Special Rights, and Qualifications, Limitations and Restrictions thereof, of Senior Preferred Stock.</w:t>
              </w:r>
            </w:hyperlink>
          </w:p>
        </w:tc>
      </w:tr>
      <w:tr>
        <w:trPr>
          <w:trHeight w:val="229"/>
        </w:trPr>
        <w:tc>
          <w:tcPr>
            <w:tcW w:w="1020" w:type="dxa"/>
            <w:vAlign w:val="bottom"/>
          </w:tcPr>
          <w:p>
            <w:pPr>
              <w:ind w:left="20"/>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10.24</w:t>
              </w:r>
            </w:hyperlink>
          </w:p>
        </w:tc>
        <w:tc>
          <w:tcPr>
            <w:tcW w:w="10220" w:type="dxa"/>
            <w:vAlign w:val="bottom"/>
          </w:tcPr>
          <w:p>
            <w:pPr>
              <w:ind w:left="200"/>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Rule 10b5-1 Sales Plan, dated June 16, 2023, by and between Sean Kiewiet and J.P. Morgan Securities LLC.</w:t>
              </w:r>
            </w:hyperlink>
          </w:p>
        </w:tc>
      </w:tr>
      <w:tr>
        <w:trPr>
          <w:trHeight w:val="230"/>
        </w:trPr>
        <w:tc>
          <w:tcPr>
            <w:tcW w:w="10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21.1</w:t>
              </w:r>
            </w:hyperlink>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Subsidiaries</w:t>
              </w:r>
            </w:hyperlink>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0000FF"/>
              </w:rPr>
              <w:t xml:space="preserve">31.1 </w:t>
            </w:r>
            <w:r>
              <w:rPr>
                <w:rFonts w:ascii="Times New Roman" w:cs="Times New Roman" w:eastAsia="Times New Roman" w:hAnsi="Times New Roman"/>
                <w:sz w:val="18"/>
                <w:szCs w:val="18"/>
                <w:color w:val="000000"/>
              </w:rPr>
              <w:t>*</w:t>
            </w:r>
          </w:p>
        </w:tc>
        <w:tc>
          <w:tcPr>
            <w:tcW w:w="102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 and Rule 15d-14(a), promulgated under the Securities and Exchange Act</w:t>
            </w:r>
          </w:p>
        </w:tc>
      </w:tr>
      <w:tr>
        <w:trPr>
          <w:trHeight w:val="239"/>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of 1934, as amended.</w:t>
            </w:r>
          </w:p>
        </w:tc>
      </w:tr>
      <w:tr>
        <w:trPr>
          <w:trHeight w:val="180"/>
        </w:trPr>
        <w:tc>
          <w:tcPr>
            <w:tcW w:w="10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0000FF"/>
              </w:rPr>
              <w:t xml:space="preserve">31.2 </w:t>
            </w:r>
            <w:r>
              <w:rPr>
                <w:rFonts w:ascii="Times New Roman" w:cs="Times New Roman" w:eastAsia="Times New Roman" w:hAnsi="Times New Roman"/>
                <w:sz w:val="18"/>
                <w:szCs w:val="18"/>
                <w:color w:val="000000"/>
              </w:rPr>
              <w:t>*</w:t>
            </w:r>
          </w:p>
        </w:tc>
        <w:tc>
          <w:tcPr>
            <w:tcW w:w="102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 and Rule 15d-14(a), promulgated under the Securities and Exchange Act</w:t>
            </w:r>
          </w:p>
        </w:tc>
      </w:tr>
      <w:tr>
        <w:trPr>
          <w:trHeight w:val="243"/>
        </w:trPr>
        <w:tc>
          <w:tcPr>
            <w:tcW w:w="102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0000FF"/>
              </w:rPr>
              <w:t>of 1934, as amended.</w:t>
            </w: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0000FF"/>
              </w:rPr>
              <w:t xml:space="preserve">32 </w:t>
            </w:r>
            <w:r>
              <w:rPr>
                <w:rFonts w:ascii="Times New Roman" w:cs="Times New Roman" w:eastAsia="Times New Roman" w:hAnsi="Times New Roman"/>
                <w:sz w:val="18"/>
                <w:szCs w:val="18"/>
                <w:color w:val="000000"/>
              </w:rPr>
              <w:t>**</w:t>
            </w:r>
          </w:p>
        </w:tc>
        <w:tc>
          <w:tcPr>
            <w:tcW w:w="102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239"/>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906 of the Sarbanes-Oxley Act of 2002.</w:t>
            </w:r>
          </w:p>
        </w:tc>
      </w:tr>
      <w:tr>
        <w:trPr>
          <w:trHeight w:val="180"/>
        </w:trPr>
        <w:tc>
          <w:tcPr>
            <w:tcW w:w="10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101.INS *</w:t>
            </w:r>
          </w:p>
        </w:tc>
        <w:tc>
          <w:tcPr>
            <w:tcW w:w="102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43"/>
        </w:trPr>
        <w:tc>
          <w:tcPr>
            <w:tcW w:w="102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 *</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 *</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 *</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 *</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 *</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8"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6720" w:type="dxa"/>
            <w:vAlign w:val="bottom"/>
            <w:gridSpan w:val="4"/>
          </w:tcPr>
          <w:p>
            <w:pPr>
              <w:ind w:left="1720"/>
              <w:spacing w:after="0"/>
              <w:rPr>
                <w:sz w:val="20"/>
                <w:szCs w:val="20"/>
                <w:color w:val="auto"/>
              </w:rPr>
            </w:pPr>
            <w:r>
              <w:rPr>
                <w:rFonts w:ascii="Times New Roman" w:cs="Times New Roman" w:eastAsia="Times New Roman" w:hAnsi="Times New Roman"/>
                <w:sz w:val="18"/>
                <w:szCs w:val="18"/>
                <w:color w:val="auto"/>
              </w:rPr>
              <w:t>PRIORITY TECHNOLOGY HOLDINGS, INC.</w:t>
            </w:r>
          </w:p>
        </w:tc>
      </w:tr>
      <w:tr>
        <w:trPr>
          <w:trHeight w:val="36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316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149"/>
        </w:trPr>
        <w:tc>
          <w:tcPr>
            <w:tcW w:w="26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5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Thomas C. Priore</w:t>
            </w: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82"/>
        </w:trPr>
        <w:tc>
          <w:tcPr>
            <w:tcW w:w="26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5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President, Chief Executive Officer and Chairman</w:t>
            </w:r>
          </w:p>
        </w:tc>
      </w:tr>
      <w:tr>
        <w:trPr>
          <w:trHeight w:val="236"/>
        </w:trPr>
        <w:tc>
          <w:tcPr>
            <w:tcW w:w="2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331"/>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316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Timothy M. O'Leary</w:t>
            </w:r>
          </w:p>
        </w:tc>
      </w:tr>
      <w:tr>
        <w:trPr>
          <w:trHeight w:val="171"/>
        </w:trPr>
        <w:tc>
          <w:tcPr>
            <w:tcW w:w="26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00" w:type="dxa"/>
            <w:vAlign w:val="bottom"/>
            <w:tcBorders>
              <w:top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Tim O'Leary</w:t>
            </w:r>
          </w:p>
        </w:tc>
        <w:tc>
          <w:tcPr>
            <w:tcW w:w="1860" w:type="dxa"/>
            <w:vAlign w:val="bottom"/>
          </w:tcPr>
          <w:p>
            <w:pPr>
              <w:spacing w:after="0"/>
              <w:rPr>
                <w:sz w:val="14"/>
                <w:szCs w:val="14"/>
                <w:color w:val="auto"/>
              </w:rPr>
            </w:pPr>
          </w:p>
        </w:tc>
      </w:tr>
    </w:tbl>
    <w:p>
      <w:pPr>
        <w:ind w:left="584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20" w:top="121"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 AS ADOPTED PURSUANT TO SECTION 303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2" w:lineRule="exact"/>
        <w:rPr>
          <w:sz w:val="20"/>
          <w:szCs w:val="20"/>
          <w:color w:val="auto"/>
        </w:rPr>
      </w:pPr>
    </w:p>
    <w:p>
      <w:pPr>
        <w:ind w:left="1020"/>
        <w:spacing w:after="0"/>
        <w:tabs>
          <w:tab w:leader="none" w:pos="6420" w:val="left"/>
        </w:tabs>
        <w:rPr>
          <w:sz w:val="20"/>
          <w:szCs w:val="20"/>
          <w:color w:val="auto"/>
        </w:rPr>
      </w:pP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wp:posOffset>
            </wp:positionV>
            <wp:extent cx="36944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3">
                      <a:extLst>
                        <a:ext uri="{28A0092B-C50C-407E-A947-70E740481C1C}"/>
                      </a:extLst>
                    </a:blip>
                    <a:srcRect/>
                    <a:stretch>
                      <a:fillRect/>
                    </a:stretch>
                  </pic:blipFill>
                  <pic:spPr bwMode="auto">
                    <a:xfrm>
                      <a:off x="0" y="0"/>
                      <a:ext cx="3694430" cy="17145"/>
                    </a:xfrm>
                    <a:prstGeom prst="rect">
                      <a:avLst/>
                    </a:prstGeom>
                    <a:noFill/>
                  </pic:spPr>
                </pic:pic>
              </a:graphicData>
            </a:graphic>
          </wp:anchor>
        </w:drawing>
      </w:r>
    </w:p>
    <w:p>
      <w:pPr>
        <w:spacing w:after="0" w:line="30"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23"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40" w:right="26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M. O’Leary, certify that:</w:t>
      </w:r>
    </w:p>
    <w:p>
      <w:pPr>
        <w:spacing w:after="0" w:line="252"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120"/>
        <w:spacing w:after="0"/>
        <w:tabs>
          <w:tab w:leader="none" w:pos="7660" w:val="left"/>
        </w:tabs>
        <w:rPr>
          <w:sz w:val="20"/>
          <w:szCs w:val="20"/>
          <w:color w:val="auto"/>
        </w:rPr>
      </w:pP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0600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4">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Timothy M. O’Leary</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Priority Technology Holdings, Inc. (the "Company") for the quarter ended March 31, 2024 as filed with the Securities and Exchange Commission (the "Report"), each of the undersigned, on the dates indicated below, hereby certifies pursuant to 18 U.S.C. Section 1350, as adopted pursuant to Section 906 of the Sarbanes-Oxley Act of 2002, that:</w:t>
      </w:r>
    </w:p>
    <w:p>
      <w:pPr>
        <w:spacing w:after="0" w:line="20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5">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6">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Timothy M. O’Leary</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lvl w:ilvl="1">
      <w:lvlJc w:val="left"/>
      <w:lvlText w:val="(%2)"/>
      <w:numFmt w:val="decimal"/>
      <w:start w:val="1"/>
    </w:lvl>
  </w:abstractNum>
  <w:abstractNum w:abstractNumId="7">
    <w:nsid w:val="1BEFD79F"/>
    <w:multiLevelType w:val="hybridMultilevel"/>
    <w:lvl w:ilvl="0">
      <w:lvlJc w:val="left"/>
      <w:lvlText w:val="%1."/>
      <w:numFmt w:val="decimal"/>
      <w:start w:val="5"/>
    </w:lvl>
    <w:lvl w:ilvl="1">
      <w:lvlJc w:val="left"/>
      <w:lvlText w:val="%2"/>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2" Type="http://schemas.openxmlformats.org/officeDocument/2006/relationships/image" Target="media/image50.png"/><Relationship Id="rId92" Type="http://schemas.openxmlformats.org/officeDocument/2006/relationships/image" Target="media/image51.png"/><Relationship Id="rId93" Type="http://schemas.openxmlformats.org/officeDocument/2006/relationships/image" Target="media/image52.png"/><Relationship Id="rId94" Type="http://schemas.openxmlformats.org/officeDocument/2006/relationships/image" Target="media/image53.png"/><Relationship Id="rId95" Type="http://schemas.openxmlformats.org/officeDocument/2006/relationships/image" Target="media/image54.png"/><Relationship Id="rId96" Type="http://schemas.openxmlformats.org/officeDocument/2006/relationships/image" Target="media/image55.png"/><Relationship Id="rId57" Type="http://schemas.openxmlformats.org/officeDocument/2006/relationships/hyperlink" Target="https://www.sec.gov/Archives/edgar/data/1653558/000161577418006226/s111183_defm14a.htm" TargetMode="External"/><Relationship Id="rId58" Type="http://schemas.openxmlformats.org/officeDocument/2006/relationships/hyperlink" Target="https://www.sec.gov/Archives/edgar/data/1653558/000165355821000031/projectwarriorfinxera-merg.htm" TargetMode="External"/><Relationship Id="rId59" Type="http://schemas.openxmlformats.org/officeDocument/2006/relationships/hyperlink" Target="https://www.sec.gov/Archives/edgar/data/1653558/000165355821000060/annex1certificateofamendme.htm" TargetMode="External"/><Relationship Id="rId60" Type="http://schemas.openxmlformats.org/officeDocument/2006/relationships/hyperlink" Target="https://www.sec.gov/Archives/edgar/data/0001653558/000165355821000031/projectwarriorfinxera-merg.htm" TargetMode="External"/><Relationship Id="rId61" Type="http://schemas.openxmlformats.org/officeDocument/2006/relationships/hyperlink" Target="https://www.sec.gov/Archives/edgar/data/1653558/000161577418007231/s111606_ex3-1.htm" TargetMode="External"/><Relationship Id="rId62" Type="http://schemas.openxmlformats.org/officeDocument/2006/relationships/hyperlink" Target="https://www.sec.gov/Archives/edgar/data/1653558/000161577418007231/s111606_ex3-2.htm" TargetMode="External"/><Relationship Id="rId63" Type="http://schemas.openxmlformats.org/officeDocument/2006/relationships/hyperlink" Target="https://www.sec.gov/Archives/edgar/data/1653558/000161577416007233/s104127_ex4-1.htm" TargetMode="External"/><Relationship Id="rId64" Type="http://schemas.openxmlformats.org/officeDocument/2006/relationships/hyperlink" Target="https://www.sec.gov/Archives/edgar/data/1653558/000165355821000065/exhibit31-priorityxcertifi.htm" TargetMode="External"/><Relationship Id="rId65" Type="http://schemas.openxmlformats.org/officeDocument/2006/relationships/hyperlink" Target="https://www.sec.gov/Archives/edgar/data/1653558/000161577418007231/s111606_ex10-1.htm" TargetMode="External"/><Relationship Id="rId66" Type="http://schemas.openxmlformats.org/officeDocument/2006/relationships/hyperlink" Target="https://www.sec.gov/Archives/edgar/data/1653558/000161577418007231/s111606_ex10-2.htm" TargetMode="External"/><Relationship Id="rId67" Type="http://schemas.openxmlformats.org/officeDocument/2006/relationships/hyperlink" Target="https://www.sec.gov/Archives/edgar/data/0001653558/000165355821000101/ex1021prioritytechnologyq2.htm" TargetMode="External"/><Relationship Id="rId68" Type="http://schemas.openxmlformats.org/officeDocument/2006/relationships/hyperlink" Target="https://www.sec.gov/Archives/edgar/data/1653558/000165355822000028/prioritytechnology-ex1031x.htm" TargetMode="External"/><Relationship Id="rId69" Type="http://schemas.openxmlformats.org/officeDocument/2006/relationships/hyperlink" Target="https://www.sec.gov/Archives/edgar/data/1653558/000161577418014981/s114881_ex10-6.htm" TargetMode="External"/><Relationship Id="rId70" Type="http://schemas.openxmlformats.org/officeDocument/2006/relationships/hyperlink" Target="https://www.sec.gov/Archives/edgar/data/1653558/000161577418014981/s114881_ex10-7.htm" TargetMode="External"/><Relationship Id="rId71" Type="http://schemas.openxmlformats.org/officeDocument/2006/relationships/hyperlink" Target="http://www.sec.gov/Archives/edgar/data/1653558/000162828019003666/prioritytechnology-ex1019.htm" TargetMode="External"/><Relationship Id="rId73" Type="http://schemas.openxmlformats.org/officeDocument/2006/relationships/hyperlink" Target="https://www.sec.gov/Archives/edgar/data/1653558/000165355820000148/assetpurchaseagreement.htm" TargetMode="External"/><Relationship Id="rId74" Type="http://schemas.openxmlformats.org/officeDocument/2006/relationships/hyperlink" Target="https://www.sec.gov/Archives/edgar/data/0001653558/000165355821000031/exhibith-supportagreemente.htm" TargetMode="External"/><Relationship Id="rId75" Type="http://schemas.openxmlformats.org/officeDocument/2006/relationships/hyperlink" Target="https://www.sec.gov/Archives/edgar/data/0001653558/000165355821000031/priorityprojectwarrior-tru.htm" TargetMode="External"/><Relationship Id="rId76" Type="http://schemas.openxmlformats.org/officeDocument/2006/relationships/hyperlink" Target="https://www.sec.gov/Archives/edgar/data/0001653558/000165355821000031/priority-arespreferredcomm.htm" TargetMode="External"/><Relationship Id="rId77" Type="http://schemas.openxmlformats.org/officeDocument/2006/relationships/hyperlink" Target="https://www.sec.gov/Archives/edgar/data/0001653558/000165355821000065/exhibit101-priorityxpurcha.htm" TargetMode="External"/><Relationship Id="rId78" Type="http://schemas.openxmlformats.org/officeDocument/2006/relationships/hyperlink" Target="https://www.sec.gov/Archives/edgar/data/0001653558/000165355821000065/exhibit102-priorityxregist.htm" TargetMode="External"/><Relationship Id="rId79" Type="http://schemas.openxmlformats.org/officeDocument/2006/relationships/hyperlink" Target="https://www.sec.gov/Archives/edgar/data/0001653558/000165355821000065/exhibit103-prioritypayment.htm" TargetMode="External"/><Relationship Id="rId80" Type="http://schemas.openxmlformats.org/officeDocument/2006/relationships/hyperlink" Target="https://www.sec.gov/Archives/edgar/data/0001653558/000165355821000114/prioritypayments-secondame.htm" TargetMode="External"/><Relationship Id="rId81" Type="http://schemas.openxmlformats.org/officeDocument/2006/relationships/hyperlink" Target="https://www.sec.gov/Archives/edgar/data/1653558/000165355823000078/a063023exhibit101vf.htm" TargetMode="External"/><Relationship Id="rId82" Type="http://schemas.openxmlformats.org/officeDocument/2006/relationships/hyperlink" Target="https://www.sec.gov/Archives/edgar/data/1653558/000165355823000123/exhibit1011.htm" TargetMode="External"/><Relationship Id="rId83" Type="http://schemas.openxmlformats.org/officeDocument/2006/relationships/hyperlink" Target="https://www.sec.gov/Archives/edgar/data/1653558/000165355822000094/ex1023formrestrictedstocku.htm" TargetMode="External"/><Relationship Id="rId84" Type="http://schemas.openxmlformats.org/officeDocument/2006/relationships/hyperlink" Target="https://www.sec.gov/Archives/edgar/data/1653558/000165355823000030/prioritytechnology-ex108.htm" TargetMode="External"/><Relationship Id="rId85" Type="http://schemas.openxmlformats.org/officeDocument/2006/relationships/hyperlink" Target="https://www.sec.gov/Archives/edgar/data/1653558/000165355823000056/ex1025priorityrecoupmentcl.htm" TargetMode="External"/><Relationship Id="rId86" Type="http://schemas.openxmlformats.org/officeDocument/2006/relationships/hyperlink" Target="https://www.sec.gov/Archives/edgar/data/1653558/000165355823000087/ex101projectbellamy-amen.htm" TargetMode="External"/><Relationship Id="rId87" Type="http://schemas.openxmlformats.org/officeDocument/2006/relationships/hyperlink" Target="https://www.sec.gov/Archives/edgar/data/1653558/000165355823000087/ex102priority-sideletter.htm" TargetMode="External"/><Relationship Id="rId88" Type="http://schemas.openxmlformats.org/officeDocument/2006/relationships/hyperlink" Target="https://www.sec.gov/Archives/edgar/data/1653558/000165355823000087/ex103projectbellamy-earnou.htm" TargetMode="External"/><Relationship Id="rId89" Type="http://schemas.openxmlformats.org/officeDocument/2006/relationships/hyperlink" Target="https://www.sec.gov/Archives/edgar/data/1653558/000165355823000100/ex1023priority-amendedandr.htm" TargetMode="External"/><Relationship Id="rId90" Type="http://schemas.openxmlformats.org/officeDocument/2006/relationships/hyperlink" Target="https://www.sec.gov/ix?doc=/Archives/edgar/data/0001653558/000165355824000039/prth-20231231.htm" TargetMode="External"/><Relationship Id="rId91" Type="http://schemas.openxmlformats.org/officeDocument/2006/relationships/hyperlink" Target="https://www.sec.gov/Archives/edgar/data/1653558/000165355823000100/ex211subsidiariesofprior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2024-05-09T06:59:11Z</dcterms:created>
  <dcterms:modified xsi:type="dcterms:W3CDTF">2024-05-09T06:59:11Z</dcterms:modified>
</cp:coreProperties>
</file>